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ANEXO I - ACUERDO DE CONFIDENCIALIDAD Y ÉTICA TÉCNICA</w:t>
      </w:r>
    </w:p>
    <w:p w:rsidR="00000000" w:rsidDel="00000000" w:rsidP="00000000" w:rsidRDefault="00000000" w:rsidRPr="00000000" w14:paraId="00000002">
      <w:pPr>
        <w:spacing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3">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Entre el señor Laureano Gaspar Enrique Zabala, en adelante el Prestador, y el Locatario identificado en el contrato principal, se celebra el presente Acuerdo de Confidencialidad y Ética Técnica, el cual forma parte integrante e inseparable del Contrato de Locación de Servicios.</w:t>
      </w:r>
    </w:p>
    <w:p w:rsidR="00000000" w:rsidDel="00000000" w:rsidP="00000000" w:rsidRDefault="00000000" w:rsidRPr="00000000" w14:paraId="00000004">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PRIMERA. OBJETO Y DEFINICIÓN DE INFORMACIÓN CONFIDENCIAL.</w:t>
      </w:r>
      <w:r w:rsidDel="00000000" w:rsidR="00000000" w:rsidRPr="00000000">
        <w:rPr>
          <w:rFonts w:ascii="Bookman Old Style" w:cs="Bookman Old Style" w:eastAsia="Bookman Old Style" w:hAnsi="Bookman Old Style"/>
          <w:rtl w:val="0"/>
        </w:rPr>
        <w:t xml:space="preserve"> El presente acuerdo tiene por objeto garantizar que toda la información comercial, técnica y operativa a la que el Prestador tenga acceso en razón de su rol de Administrador sea tratada con absoluta reserva. Se considera Información Confidencial, sin que la enumeración sea taxativa: listas de clientes (Jugadores), estadísticas de facturación, volumen de reservas, estrategias de precios, informes de rendimiento del establecimiento y cualquier dato personal procesado en la plataforma.---------------------------------------------</w:t>
      </w:r>
    </w:p>
    <w:p w:rsidR="00000000" w:rsidDel="00000000" w:rsidP="00000000" w:rsidRDefault="00000000" w:rsidRPr="00000000" w14:paraId="00000005">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SEGUNDA. ÉTICA EN EL MANEJO DE PRIVILEGIOS DE ADMINISTRADOR.</w:t>
      </w:r>
      <w:r w:rsidDel="00000000" w:rsidR="00000000" w:rsidRPr="00000000">
        <w:rPr>
          <w:rFonts w:ascii="Bookman Old Style" w:cs="Bookman Old Style" w:eastAsia="Bookman Old Style" w:hAnsi="Bookman Old Style"/>
          <w:rtl w:val="0"/>
        </w:rPr>
        <w:t xml:space="preserve"> El Prestador, en su carácter de titular y Superadmin del software, posee facultades técnicas superiores para la gestión del sistema. El Prestador se compromete y garantiza que: No utilizará la información comercial del Locatario para beneficio propio o de terceros. No realizará modificaciones manuales en los saldos, turnos o registros de los Usuarios sin mediar un requerimiento previo, expreso y por escrito del Locatario por los canales oficiales. El uso de herramientas de corrección de errores (Debugging) o mantenimiento se limitará estrictamente a la resolución de fallas técnicas.-----</w:t>
      </w:r>
    </w:p>
    <w:p w:rsidR="00000000" w:rsidDel="00000000" w:rsidP="00000000" w:rsidRDefault="00000000" w:rsidRPr="00000000" w14:paraId="00000006">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TERCERA. REGISTRO DE ACTIVIDAD (AUDIT TRAIL).</w:t>
      </w:r>
      <w:r w:rsidDel="00000000" w:rsidR="00000000" w:rsidRPr="00000000">
        <w:rPr>
          <w:rFonts w:ascii="Bookman Old Style" w:cs="Bookman Old Style" w:eastAsia="Bookman Old Style" w:hAnsi="Bookman Old Style"/>
          <w:rtl w:val="0"/>
        </w:rPr>
        <w:t xml:space="preserve"> El Locatario toma conocimiento de que toda intervención del Administrador sobre la base de datos queda registrada mediante Logs de auditoría. Estos registros garantizan la trazabilidad de las acciones y sirven como prueba de que la carga de créditos o modificación de datos solo se ha realizado bajo los parámetros éticos aquí establecidos. Las partes acuerdan otorgar pleno valor probatorio a los registros de Logs y auditoría técnica del sistema, los cuales constituirán prueba suficiente sobre la autoría, fecha y alcance de cualquier intervención realizada por el Administrador sobre la base de datos.------------------------------</w:t>
      </w:r>
    </w:p>
    <w:p w:rsidR="00000000" w:rsidDel="00000000" w:rsidP="00000000" w:rsidRDefault="00000000" w:rsidRPr="00000000" w14:paraId="00000007">
      <w:pPr>
        <w:spacing w:line="360" w:lineRule="auto"/>
        <w:jc w:val="both"/>
        <w:rPr/>
      </w:pPr>
      <w:r w:rsidDel="00000000" w:rsidR="00000000" w:rsidRPr="00000000">
        <w:rPr>
          <w:rFonts w:ascii="Bookman Old Style" w:cs="Bookman Old Style" w:eastAsia="Bookman Old Style" w:hAnsi="Bookman Old Style"/>
          <w:b w:val="1"/>
          <w:bCs w:val="1"/>
          <w:rtl w:val="0"/>
        </w:rPr>
        <w:t xml:space="preserve">CUARTA. PROPIEDAD DE LOS DATOS.</w:t>
      </w:r>
      <w:r w:rsidDel="00000000" w:rsidR="00000000" w:rsidRPr="00000000">
        <w:rPr>
          <w:rFonts w:ascii="Bookman Old Style" w:cs="Bookman Old Style" w:eastAsia="Bookman Old Style" w:hAnsi="Bookman Old Style"/>
          <w:rtl w:val="0"/>
        </w:rPr>
        <w:t xml:space="preserve"> El Prestador reconoce que el Locatario es el titular de la información comercial cargada en su instancia del software. El Prestador actúa exclusivamente como un Encargado de Tratamiento (Data Processor) bajo los términos de la Ley 25.326 de Protección de Datos Personales, obligándose a no ceder, vender ni transferir dicha información a terceros bajo ningún concepto, salvo requerimiento judicial expreso.--------------------------------------------------------------------------------------</w:t>
      </w:r>
      <w:r w:rsidDel="00000000" w:rsidR="00000000" w:rsidRPr="00000000">
        <w:rPr>
          <w:rtl w:val="0"/>
        </w:rPr>
        <w:t xml:space="preserve"> </w:t>
      </w:r>
    </w:p>
    <w:p w:rsidR="00000000" w:rsidDel="00000000" w:rsidP="00000000" w:rsidRDefault="00000000" w:rsidRPr="00000000" w14:paraId="00000008">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QUINTA. GARANTÍA DE LICITUD Y CONSENTIMIENTO.</w:t>
      </w:r>
      <w:r w:rsidDel="00000000" w:rsidR="00000000" w:rsidRPr="00000000">
        <w:rPr>
          <w:rFonts w:ascii="Bookman Old Style" w:cs="Bookman Old Style" w:eastAsia="Bookman Old Style" w:hAnsi="Bookman Old Style"/>
          <w:rtl w:val="0"/>
        </w:rPr>
        <w:t xml:space="preserve"> El Locatario garantiza que cuenta con el consentimiento previo, expreso e informado de sus Usuarios (Jugadores) para el tratamiento de sus datos personales a través de la plataforma. El Locatario asume la total responsabilidad y se compromete a mantener indemne al Prestador ante cualquier reclamo administrativo de la Agencia de Acceso a la Información Pública o demandas judiciales derivadas de la falta de dicha autorización.--------------------------------------------------------</w:t>
      </w:r>
    </w:p>
    <w:p w:rsidR="00000000" w:rsidDel="00000000" w:rsidP="00000000" w:rsidRDefault="00000000" w:rsidRPr="00000000" w14:paraId="00000009">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SEXTA. NOTIFICACIÓN DE INCIDENTES.</w:t>
      </w:r>
      <w:r w:rsidDel="00000000" w:rsidR="00000000" w:rsidRPr="00000000">
        <w:rPr>
          <w:rFonts w:ascii="Bookman Old Style" w:cs="Bookman Old Style" w:eastAsia="Bookman Old Style" w:hAnsi="Bookman Old Style"/>
          <w:rtl w:val="0"/>
        </w:rPr>
        <w:t xml:space="preserve"> Tanto el Prestador como el Locatario se comprometen a informar, sin dilaciones indebidas y en un plazo máximo de veinticuatro (24) horas de detectado el evento, cualquier incidente de seguridad que comprometa la integridad o confidencialidad de la Información Confidencial, a fin de coordinar las medidas de mitigación necesarias.----------------------------------------------------------------------------------</w:t>
      </w:r>
    </w:p>
    <w:p w:rsidR="00000000" w:rsidDel="00000000" w:rsidP="00000000" w:rsidRDefault="00000000" w:rsidRPr="00000000" w14:paraId="0000000A">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SEPTIMA. EXCEPCIONES A LA CONFIDENCIALIDAD.</w:t>
      </w:r>
      <w:r w:rsidDel="00000000" w:rsidR="00000000" w:rsidRPr="00000000">
        <w:rPr>
          <w:rFonts w:ascii="Bookman Old Style" w:cs="Bookman Old Style" w:eastAsia="Bookman Old Style" w:hAnsi="Bookman Old Style"/>
          <w:rtl w:val="0"/>
        </w:rPr>
        <w:t xml:space="preserve"> No se considerará violación del presente acuerdo cuando la información deba ser revelada por imperativo legal, orden judicial o requerimiento de autoridad administrativa competente. En tales casos, el Prestador procurará informar al Locatario sobre dicha exigencia, siempre que la ley lo permita.----------------------------------------</w:t>
      </w:r>
    </w:p>
    <w:p w:rsidR="00000000" w:rsidDel="00000000" w:rsidP="00000000" w:rsidRDefault="00000000" w:rsidRPr="00000000" w14:paraId="0000000B">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OCTAVA. VIGENCIA DE LA CONFIDENCIALIDAD.</w:t>
      </w:r>
      <w:r w:rsidDel="00000000" w:rsidR="00000000" w:rsidRPr="00000000">
        <w:rPr>
          <w:rFonts w:ascii="Bookman Old Style" w:cs="Bookman Old Style" w:eastAsia="Bookman Old Style" w:hAnsi="Bookman Old Style"/>
          <w:rtl w:val="0"/>
        </w:rPr>
        <w:t xml:space="preserve"> Las obligaciones de reserva y confidencialidad aquí pactadas entrarán en vigor a partir de la firma del presente y subsistirán incluso después de finalizada la relación contractual por un plazo de dos (2) años, o el plazo máximo que la normativa local de la Ciudad Autónoma de Buenos Aires o la Provincia donde se contrate el servicio disponga según el caso.-------------------------------------------------------------------</w:t>
      </w:r>
    </w:p>
    <w:p w:rsidR="00000000" w:rsidDel="00000000" w:rsidP="00000000" w:rsidRDefault="00000000" w:rsidRPr="00000000" w14:paraId="0000000C">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NOVENA. RESPONSABILIDAD POR INCUMPLIMIENTO.</w:t>
      </w:r>
      <w:r w:rsidDel="00000000" w:rsidR="00000000" w:rsidRPr="00000000">
        <w:rPr>
          <w:rFonts w:ascii="Bookman Old Style" w:cs="Bookman Old Style" w:eastAsia="Bookman Old Style" w:hAnsi="Bookman Old Style"/>
          <w:rtl w:val="0"/>
        </w:rPr>
        <w:t xml:space="preserve"> El incumplimiento de las obligaciones de confidencialidad y ética técnica dará derecho a la parte afectada a reclamar los daños y perjuicios correspondientes. Asimismo, constituirá causa de rescisión culpable del contrato principal sin necesidad de preaviso.-------------------------------------------------------------------------------------</w:t>
      </w:r>
    </w:p>
    <w:p w:rsidR="00000000" w:rsidDel="00000000" w:rsidP="00000000" w:rsidRDefault="00000000" w:rsidRPr="00000000" w14:paraId="0000000D">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DECIMA. AUTONOMÍA Y JURISDICCIÓN.</w:t>
      </w:r>
      <w:r w:rsidDel="00000000" w:rsidR="00000000" w:rsidRPr="00000000">
        <w:rPr>
          <w:rFonts w:ascii="Bookman Old Style" w:cs="Bookman Old Style" w:eastAsia="Bookman Old Style" w:hAnsi="Bookman Old Style"/>
          <w:rtl w:val="0"/>
        </w:rPr>
        <w:t xml:space="preserve"> La invalidez de alguna cláusula de este anexo no afectará la vigencia del resto del documento. Para cualquier controversia, las partes se someten a la misma jurisdicción pactada en la cláusula décima segunda del contrato principal.</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