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u w:val="single"/>
        </w:rPr>
      </w:pPr>
      <w:r w:rsidDel="00000000" w:rsidR="00000000" w:rsidRPr="00000000">
        <w:rPr>
          <w:rFonts w:ascii="Bookman Old Style" w:cs="Bookman Old Style" w:eastAsia="Bookman Old Style" w:hAnsi="Bookman Old Style"/>
          <w:b w:val="1"/>
          <w:bCs w:val="1"/>
          <w:u w:val="single"/>
          <w:rtl w:val="0"/>
        </w:rPr>
        <w:t xml:space="preserve">CONTRATO DE LOCACIÓN DE SERVICIOS INFORMÁTICOS</w:t>
      </w:r>
    </w:p>
    <w:p w:rsidR="00000000" w:rsidDel="00000000" w:rsidP="00000000" w:rsidRDefault="00000000" w:rsidRPr="00000000" w14:paraId="00000002">
      <w:pPr>
        <w:spacing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3">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Entre Laureano Gaspar Enrique Zabala, CUIT 20-43980678-9, con domicilio legal en la calle Rodríguez Peña 507, piso 6°, Ciudad Autónoma de Buenos Aires, en adelante denominado el Prestador, por una parte; y por la otra (completar con nombre y apellido o razón social del titular del complejo), (DNI o CUIT), con domicilio en (completar con domicilio real/legal del complejo), representado en este acto por (completar con datos del firmante si es persona jurídica), en adelante denominado el Locatario; ambas partes plenamente capaces para contratar, convienen en celebrar el presente Contrato de Locación de Servicios sujeto a las siguientes cláusulas:</w:t>
      </w:r>
    </w:p>
    <w:p w:rsidR="00000000" w:rsidDel="00000000" w:rsidP="00000000" w:rsidRDefault="00000000" w:rsidRPr="00000000" w14:paraId="00000004">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PRIMERA. OBJETO.</w:t>
      </w:r>
      <w:r w:rsidDel="00000000" w:rsidR="00000000" w:rsidRPr="00000000">
        <w:rPr>
          <w:rFonts w:ascii="Bookman Old Style" w:cs="Bookman Old Style" w:eastAsia="Bookman Old Style" w:hAnsi="Bookman Old Style"/>
          <w:rtl w:val="0"/>
        </w:rPr>
        <w:t xml:space="preserve"> El Prestador se obliga a proveer al Locatario el acceso y uso de una plataforma tecnológica de gestión de reservas deportivas bajo la modalidad de Software as a Service (SaaS). El servicio incluye el acceso al Backend de administración para la configuración de </w:t>
      </w:r>
      <w:r w:rsidDel="00000000" w:rsidR="00000000" w:rsidRPr="00000000">
        <w:rPr>
          <w:rFonts w:ascii="Bookman Old Style" w:cs="Bookman Old Style" w:eastAsia="Bookman Old Style" w:hAnsi="Bookman Old Style"/>
          <w:highlight w:val="yellow"/>
          <w:rtl w:val="0"/>
        </w:rPr>
        <w:t xml:space="preserve">turnos, precios y gestión de usuarios</w:t>
      </w:r>
      <w:r w:rsidDel="00000000" w:rsidR="00000000" w:rsidRPr="00000000">
        <w:rPr>
          <w:rFonts w:ascii="Bookman Old Style" w:cs="Bookman Old Style" w:eastAsia="Bookman Old Style" w:hAnsi="Bookman Old Style"/>
          <w:rtl w:val="0"/>
        </w:rPr>
        <w:t xml:space="preserve">, así como el mantenimiento técnico de la infraestructura alojada en Cloud Hosting.--------------------------------------------------------------------------</w:t>
      </w:r>
    </w:p>
    <w:p w:rsidR="00000000" w:rsidDel="00000000" w:rsidP="00000000" w:rsidRDefault="00000000" w:rsidRPr="00000000" w14:paraId="00000005">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SEGUNDA. CANON LOCATIVO Y ACTUALIZACIÓN TRIMESTRAL.</w:t>
      </w:r>
      <w:r w:rsidDel="00000000" w:rsidR="00000000" w:rsidRPr="00000000">
        <w:rPr>
          <w:rFonts w:ascii="Bookman Old Style" w:cs="Bookman Old Style" w:eastAsia="Bookman Old Style" w:hAnsi="Bookman Old Style"/>
          <w:rtl w:val="0"/>
        </w:rPr>
        <w:t xml:space="preserve"> Como contraprestación por el servicio, el Locatario abonará al Prestador un abono mensual fijo (Monthly Fee) inicial de pesos (completar monto en números y letras). El pago deberá realizarse del día 1 al 10 de cada mes calendario mediante transferencia bancaria a la cuenta que el Prestador designe.-----------</w:t>
      </w:r>
    </w:p>
    <w:p w:rsidR="00000000" w:rsidDel="00000000" w:rsidP="00000000" w:rsidRDefault="00000000" w:rsidRPr="00000000" w14:paraId="00000006">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Dicho canon locativo se actualizará con una periodicidad trimestral. El nuevo monto se determinará aplicando sobre el valor del mes inmediato anterior el coeficiente de variación del Índice de Precios al Consumidor (IPC), con cobertura nacional, publicado por el INDEC (o el organismo que en el futuro lo reemplace), correspondiente al trimestre inmediato anterior al mes de la actualización. En caso de que a la fecha de la actualización el índice referido no se encontrara publicado, se aplicará el último índice disponible. Asimismo, las partes acuerdan que bajo ninguna circunstancia la aplicación del índice podrá resultar en una disminución del canon locativo vigente al momento de la actualización, el cual operará como piso mínimo.---------------------------------</w:t>
      </w:r>
    </w:p>
    <w:p w:rsidR="00000000" w:rsidDel="00000000" w:rsidP="00000000" w:rsidRDefault="00000000" w:rsidRPr="00000000" w14:paraId="00000007">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 Prestador notificará al Locatario el nuevo monto resultante de la actualización con una antelación mínima de cinco días corridos al primer vencimiento del trimestre que se inicia. La mora en el pago del canon actualizado se producirá de pleno derecho por el solo vencimiento de los plazos, en tal supuesto, el Locatario deberá abonar al Prestador, en concepto de cláusula penal (Art. 790 y concordantes del CCyCN), un interés punitorio equivalente a una vez y media (1 y ½) la tasa para descubiertos en cuenta corriente no solicitados del Banco de la Nación Argentina, calculada por cada día de retraso hasta su efectivo pago. Asimismo, si la mora superase los diez (10) días corridos, el Prestador queda facultado para suspender el acceso al Backend del sistema y reclamar un cargo fijo por gestión de mora equivalente al diez por ciento (10%) del valor del canon mensual vigente.---------------------- </w:t>
      </w:r>
    </w:p>
    <w:p w:rsidR="00000000" w:rsidDel="00000000" w:rsidP="00000000" w:rsidRDefault="00000000" w:rsidRPr="00000000" w14:paraId="00000008">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TERCERA. OBLIGACIONES DEL PRESTADOR.</w:t>
      </w:r>
      <w:r w:rsidDel="00000000" w:rsidR="00000000" w:rsidRPr="00000000">
        <w:rPr>
          <w:rFonts w:ascii="Bookman Old Style" w:cs="Bookman Old Style" w:eastAsia="Bookman Old Style" w:hAnsi="Bookman Old Style"/>
          <w:rtl w:val="0"/>
        </w:rPr>
        <w:t xml:space="preserve"> El Prestador se compromete a: 1. Garantizar la disponibilidad técnica del software en la medida de sus posibilidades. 2. Realizar actualizaciones (Updates) de seguridad y optimización del sistema. 3. Brindar soporte técnico remoto ante incidentes que afecten la operatividad de la plataforma. El soporte técnico se limita exclusivamente a errores intrínsecos del software. El Prestador no será responsable por la falta de conectividad a internet del Locatario, fallas en el hardware utilizado para acceder al sistema, ni por la configuración incorrecta de los dispositivos locales del establecimiento deportivo.----------------------------</w:t>
      </w:r>
    </w:p>
    <w:p w:rsidR="00000000" w:rsidDel="00000000" w:rsidP="00000000" w:rsidRDefault="00000000" w:rsidRPr="00000000" w14:paraId="00000009">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CUARTA. OBLIGACIONES DEL LOCATARIO.</w:t>
      </w:r>
      <w:r w:rsidDel="00000000" w:rsidR="00000000" w:rsidRPr="00000000">
        <w:rPr>
          <w:rFonts w:ascii="Bookman Old Style" w:cs="Bookman Old Style" w:eastAsia="Bookman Old Style" w:hAnsi="Bookman Old Style"/>
          <w:rtl w:val="0"/>
        </w:rPr>
        <w:t xml:space="preserve"> El Locatario se obliga a: 1. Proporcionar información veraz para la configuración del sistema. 2. Utilizar la plataforma exclusivamente para los fines previstos. 3. Emitir los comprobantes fiscales correspondientes a sus clientes por los servicios deportivos y las señas percibidas a través del Gateway de pagos de Mercado Pago. </w:t>
      </w:r>
    </w:p>
    <w:p w:rsidR="00000000" w:rsidDel="00000000" w:rsidP="00000000" w:rsidRDefault="00000000" w:rsidRPr="00000000" w14:paraId="0000000A">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QUINTA. PROCESAMIENTO DE PAGOS Y DESLINDE FISCAL.</w:t>
      </w:r>
      <w:r w:rsidDel="00000000" w:rsidR="00000000" w:rsidRPr="00000000">
        <w:rPr>
          <w:rFonts w:ascii="Bookman Old Style" w:cs="Bookman Old Style" w:eastAsia="Bookman Old Style" w:hAnsi="Bookman Old Style"/>
          <w:rtl w:val="0"/>
        </w:rPr>
        <w:t xml:space="preserve"> El procesamiento de las señas y pagos se realiza a través de la plataforma Mercado Pago. El Locatario reconoce que dicha operatoria puede estar sujeta a retenciones impositivas de carácter nacional, provincial o municipal según su propia situación fiscal. El Prestador es ajeno a dicha relación financiera y no tiene injerencia sobre los fondos, por lo que el Locatario renuncia a realizar cualquier reclamo contra el Prestador por fondos retenidos, demoras en las acreditaciones o bloqueos de cuenta efectuados por la pasarela de pagos.-------</w:t>
      </w:r>
    </w:p>
    <w:p w:rsidR="00000000" w:rsidDel="00000000" w:rsidP="00000000" w:rsidRDefault="00000000" w:rsidRPr="00000000" w14:paraId="0000000B">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SEXTA. INDEMNIDAD DEL PRESTADOR.</w:t>
      </w:r>
      <w:r w:rsidDel="00000000" w:rsidR="00000000" w:rsidRPr="00000000">
        <w:rPr>
          <w:rFonts w:ascii="Bookman Old Style" w:cs="Bookman Old Style" w:eastAsia="Bookman Old Style" w:hAnsi="Bookman Old Style"/>
          <w:rtl w:val="0"/>
        </w:rPr>
        <w:t xml:space="preserve"> El Locatario reconoce ser el único responsable frente a los organismos recaudadores (AFIP, ARBA, AGIP u otros) por la facturación de su actividad comercial. El Locatario mantendrá indemne al Prestador frente a cualquier reclamo laboral, civil, administrativo, penal o de cualquier índole, derivado del uso de las instalaciones deportivas o de la relación con sus dependientes y clientes. Asimismo, el Locatario asume la obligación de mantener indemne al Prestador frente a cualquier reclamo, demanda o sanción derivada de lesiones, accidentes o daños a la integridad física de los Usuarios (Jugadores) ocurridos dentro de las instalaciones del Complejo. El Locatario declara contar con los seguros de Responsabilidad Civil y Accidentes Personales exigidos por la normativa local vigente en la jurisdicción donde opera.</w:t>
      </w:r>
      <w:r w:rsidDel="00000000" w:rsidR="00000000" w:rsidRPr="00000000">
        <w:rPr>
          <w:rtl w:val="0"/>
        </w:rPr>
        <w:t xml:space="preserve"> </w:t>
      </w:r>
      <w:r w:rsidDel="00000000" w:rsidR="00000000" w:rsidRPr="00000000">
        <w:rPr>
          <w:rFonts w:ascii="Bookman Old Style" w:cs="Bookman Old Style" w:eastAsia="Bookman Old Style" w:hAnsi="Bookman Old Style"/>
          <w:rtl w:val="0"/>
        </w:rPr>
        <w:t xml:space="preserve">Las partes declaran que la relación que las une es de naturaleza estrictamente comercial y civil, no existiendo vínculo de subordinación, dependencia ni relación laboral alguna entre el Prestador (o su personal) y el Locatario (o su personal). El Prestador actúa con total autonomía técnica y profesional en la ejecución de los servicios informáticos contratados.--------------------------------------------------------------------------------- </w:t>
      </w:r>
    </w:p>
    <w:p w:rsidR="00000000" w:rsidDel="00000000" w:rsidP="00000000" w:rsidRDefault="00000000" w:rsidRPr="00000000" w14:paraId="0000000C">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SEPTIMA. PROPIEDAD INTELECTUAL.</w:t>
      </w:r>
      <w:r w:rsidDel="00000000" w:rsidR="00000000" w:rsidRPr="00000000">
        <w:rPr>
          <w:rFonts w:ascii="Bookman Old Style" w:cs="Bookman Old Style" w:eastAsia="Bookman Old Style" w:hAnsi="Bookman Old Style"/>
          <w:rtl w:val="0"/>
        </w:rPr>
        <w:t xml:space="preserve"> El Locatario reconoce que la propiedad del software, el código fuente (Source Code), las marcas y los diseños pertenecen exclusivamente al Prestador. La celebración de este contrato otorga únicamente una licencia de uso no exclusiva, limitada y revocable. Si bien el Locatario es dueño de la información comercial cargada, el diseño de las tablas, la arquitectura de la base de datos y los métodos de indexación son propiedad intelectual exclusiva del Prestador. Al finalizar el contrato, el Prestador solo está obligado a entregar los datos en un formato estándar (como CSV o JSON) y no el esquema técnico del software.--------------</w:t>
      </w:r>
    </w:p>
    <w:p w:rsidR="00000000" w:rsidDel="00000000" w:rsidP="00000000" w:rsidRDefault="00000000" w:rsidRPr="00000000" w14:paraId="0000000D">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OCTAVA. VIGENCIA Y RESCISIÓN.</w:t>
      </w:r>
      <w:r w:rsidDel="00000000" w:rsidR="00000000" w:rsidRPr="00000000">
        <w:rPr>
          <w:rFonts w:ascii="Bookman Old Style" w:cs="Bookman Old Style" w:eastAsia="Bookman Old Style" w:hAnsi="Bookman Old Style"/>
          <w:rtl w:val="0"/>
        </w:rPr>
        <w:t xml:space="preserve"> El presente contrato tendrá una vigencia de (completar plazo), renovable automáticamente. Cualquiera de las partes podrá rescindir el contrato sin expresión de causa, notificando a la otra parte con una antelación mínima de treinta (30) días corridos. Al finalizar el contrato por cualquier causa, el Prestador pondrá a disposición del Locatario un archivo con la información comercial básica por un plazo de sesenta (60) días corridos. Transcurrido dicho plazo, el Prestador quedará facultado para eliminar de forma definitiva toda la información alojada en sus servidores, sin que ello genere derecho a indemnización alguna.-------------------------------------</w:t>
      </w:r>
    </w:p>
    <w:p w:rsidR="00000000" w:rsidDel="00000000" w:rsidP="00000000" w:rsidRDefault="00000000" w:rsidRPr="00000000" w14:paraId="0000000E">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NOVENA. CONFIDENCIALIDAD Y ANEXO I.</w:t>
      </w:r>
      <w:r w:rsidDel="00000000" w:rsidR="00000000" w:rsidRPr="00000000">
        <w:rPr>
          <w:rFonts w:ascii="Bookman Old Style" w:cs="Bookman Old Style" w:eastAsia="Bookman Old Style" w:hAnsi="Bookman Old Style"/>
          <w:rtl w:val="0"/>
        </w:rPr>
        <w:t xml:space="preserve"> Ambas partes se obligan a mantener estricta reserva sobre la información técnica y comercial. Las obligaciones específicas de confidencialidad, ética técnica y manejo de privilegios de Superadmin se rigen por lo establecido en el Anexo I (Acuerdo de Confidencialidad y Ética Técnica), el cual se adjunta al presente, forma parte integrante de este contrato y es firmado por las partes en este mismo acto.-----</w:t>
      </w:r>
    </w:p>
    <w:p w:rsidR="00000000" w:rsidDel="00000000" w:rsidP="00000000" w:rsidRDefault="00000000" w:rsidRPr="00000000" w14:paraId="0000000F">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DÉCIMA. ACEPTACIÓN DE TyC Y POLÍTICA DE PRIVACIDAD.</w:t>
      </w:r>
      <w:r w:rsidDel="00000000" w:rsidR="00000000" w:rsidRPr="00000000">
        <w:rPr>
          <w:rFonts w:ascii="Bookman Old Style" w:cs="Bookman Old Style" w:eastAsia="Bookman Old Style" w:hAnsi="Bookman Old Style"/>
          <w:rtl w:val="0"/>
        </w:rPr>
        <w:t xml:space="preserve"> El Locatario declara bajo juramento haber leído, comprendido y aceptado en su totalidad los Términos y Condiciones de Uso y la Política de Privacidad publicados en la plataforma. El Locatario reconoce que dichos documentos digitales son complementarios al presente contrato y regulan aspectos técnicos y de protección de datos personales (Ley 25.326) esenciales para la prestación del servicio. Cualquier modificación en los TyC o en la Política de Privacidad que sea notificada a través de la plataforma se considerará aceptada por el Locatario si este continúa utilizando el servicio.-------------------------------------- </w:t>
      </w:r>
    </w:p>
    <w:p w:rsidR="00000000" w:rsidDel="00000000" w:rsidP="00000000" w:rsidRDefault="00000000" w:rsidRPr="00000000" w14:paraId="00000010">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DÉCIMA PRIMERA. OBLIGACIÓN DE REGISTRO Y LICITUD.</w:t>
      </w:r>
      <w:r w:rsidDel="00000000" w:rsidR="00000000" w:rsidRPr="00000000">
        <w:rPr>
          <w:rFonts w:ascii="Bookman Old Style" w:cs="Bookman Old Style" w:eastAsia="Bookman Old Style" w:hAnsi="Bookman Old Style"/>
          <w:rtl w:val="0"/>
        </w:rPr>
        <w:t xml:space="preserve"> El Locatario se obliga expresamente a dar cumplimiento con la inscripción de sus bases de datos ante la Agencia de Acceso a la Información Pública (AAIP) conforme a la Ley 25.326. Asimismo, el Locatario garantiza que posee las autorizaciones legales, previas e informadas de sus Usuarios para que el Prestador realice el tratamiento técnico de los datos en su carácter de Encargado de Tratamiento. El incumplimiento de esta obligación por parte del Locatario será causa de rescisión culpable y este deberá mantener indemne al Prestador ante cualquier sanción del organismo de control.-------------------------------------------</w:t>
      </w:r>
    </w:p>
    <w:p w:rsidR="00000000" w:rsidDel="00000000" w:rsidP="00000000" w:rsidRDefault="00000000" w:rsidRPr="00000000" w14:paraId="00000011">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DÉCIMA SEGUNDA. JURISDICCIÓN Y LEY APLICABLE.</w:t>
      </w:r>
      <w:r w:rsidDel="00000000" w:rsidR="00000000" w:rsidRPr="00000000">
        <w:rPr>
          <w:rFonts w:ascii="Bookman Old Style" w:cs="Bookman Old Style" w:eastAsia="Bookman Old Style" w:hAnsi="Bookman Old Style"/>
          <w:rtl w:val="0"/>
        </w:rPr>
        <w:t xml:space="preserve"> Para todos los efectos legales, las partes constituyen domicilio en los indicados en el encabezamiento. Cualquier controversia derivada del presente será sometida a la jurisdicción de los tribunales ordinarios de la Ciudad Autónoma de Buenos Aires, renunciando a cualquier otro fuero o jurisdicción que pudiera corresponderles.</w:t>
      </w:r>
    </w:p>
    <w:p w:rsidR="00000000" w:rsidDel="00000000" w:rsidP="00000000" w:rsidRDefault="00000000" w:rsidRPr="00000000" w14:paraId="00000012">
      <w:pPr>
        <w:spacing w:line="360" w:lineRule="auto"/>
        <w:jc w:val="both"/>
        <w:rPr/>
      </w:pPr>
      <w:r w:rsidDel="00000000" w:rsidR="00000000" w:rsidRPr="00000000">
        <w:rPr>
          <w:rFonts w:ascii="Bookman Old Style" w:cs="Bookman Old Style" w:eastAsia="Bookman Old Style" w:hAnsi="Bookman Old Style"/>
          <w:rtl w:val="0"/>
        </w:rPr>
        <w:t xml:space="preserve">En prueba de conformidad, se firman dos ejemplares de un mismo tenor y a un solo efecto en la Ciudad de (completar ciudad), a los (completar día) días del mes de (completar mes) del año 2026.</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