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F2DD" w14:textId="6511403D" w:rsidR="003C4341" w:rsidRPr="003C4341" w:rsidRDefault="003C4341" w:rsidP="00C0172C">
      <w:pPr>
        <w:jc w:val="both"/>
        <w:rPr>
          <w:rFonts w:ascii="Times New Roman" w:hAnsi="Times New Roman" w:cs="Times New Roman"/>
          <w:b/>
          <w:bCs/>
          <w:sz w:val="24"/>
          <w:szCs w:val="24"/>
        </w:rPr>
      </w:pPr>
      <w:r w:rsidRPr="003C4341">
        <w:rPr>
          <w:rFonts w:ascii="Times New Roman" w:hAnsi="Times New Roman" w:cs="Times New Roman"/>
          <w:b/>
          <w:bCs/>
          <w:sz w:val="24"/>
          <w:szCs w:val="24"/>
        </w:rPr>
        <w:t>ARTEFACT COMMENTARY</w:t>
      </w:r>
    </w:p>
    <w:p w14:paraId="20DF6AB5" w14:textId="43C66C34" w:rsidR="00C0172C" w:rsidRDefault="00000000" w:rsidP="00C0172C">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4341">
        <w:rPr>
          <w:rFonts w:ascii="Times New Roman" w:hAnsi="Times New Roman" w:cs="Times New Roman"/>
          <w:sz w:val="24"/>
          <w:szCs w:val="24"/>
        </w:rPr>
        <w:t xml:space="preserve">This discussion critically examined the benefits and risks of AI writers across administrative, academic, and creative domains. In my initial post, I explored how language models such as GPT-3 streamline efficiency in administrative tasks and support academic productivity, while also introducing challenges of bias, hallucination, and reduced originality (Hutson, 2021; Hidayatullah et al., 2025). I concluded that AI should function as a collaborator rather than a replacement, an idea grounded in the need </w:t>
      </w:r>
      <w:r w:rsidR="00C0172C" w:rsidRPr="00C0172C">
        <w:rPr>
          <w:rFonts w:ascii="Times New Roman" w:hAnsi="Times New Roman" w:cs="Times New Roman"/>
          <w:sz w:val="24"/>
          <w:szCs w:val="24"/>
        </w:rPr>
        <w:t>for transparency, human oversight, and ethical literacy in writing education (Begum, 2025).</w:t>
      </w:r>
      <w:r w:rsidRPr="003C4341">
        <w:rPr>
          <w:rFonts w:ascii="Times New Roman" w:hAnsi="Times New Roman" w:cs="Times New Roman"/>
          <w:sz w:val="24"/>
          <w:szCs w:val="24"/>
        </w:rPr>
        <w:br/>
      </w:r>
      <w:r w:rsidRPr="003C4341">
        <w:rPr>
          <w:rFonts w:ascii="Times New Roman" w:hAnsi="Times New Roman" w:cs="Times New Roman"/>
          <w:sz w:val="24"/>
          <w:szCs w:val="24"/>
        </w:rPr>
        <w:br/>
        <w:t>Peer feedback deepened this stance by highlighting the philosophical and socio-technical dimensions of authorship. One peer expanded on my point about authenticity through Floridi’s (2018) concept of semantic responsibility and Bender et al.’s (2021) warning that large language models are “stochastic parrots”</w:t>
      </w:r>
      <w:r w:rsidR="003C4341">
        <w:rPr>
          <w:rFonts w:ascii="Times New Roman" w:hAnsi="Times New Roman" w:cs="Times New Roman"/>
          <w:sz w:val="24"/>
          <w:szCs w:val="24"/>
        </w:rPr>
        <w:t xml:space="preserve"> </w:t>
      </w:r>
      <w:r w:rsidRPr="003C4341">
        <w:rPr>
          <w:rFonts w:ascii="Times New Roman" w:hAnsi="Times New Roman" w:cs="Times New Roman"/>
          <w:sz w:val="24"/>
          <w:szCs w:val="24"/>
        </w:rPr>
        <w:t xml:space="preserve">machines that reproduce linguistic patterns without true understanding. This challenged me to consider </w:t>
      </w:r>
      <w:r w:rsidR="00C0172C" w:rsidRPr="003C4341">
        <w:rPr>
          <w:rFonts w:ascii="Times New Roman" w:hAnsi="Times New Roman" w:cs="Times New Roman"/>
          <w:sz w:val="24"/>
          <w:szCs w:val="24"/>
        </w:rPr>
        <w:t>meaning making</w:t>
      </w:r>
      <w:r w:rsidRPr="003C4341">
        <w:rPr>
          <w:rFonts w:ascii="Times New Roman" w:hAnsi="Times New Roman" w:cs="Times New Roman"/>
          <w:sz w:val="24"/>
          <w:szCs w:val="24"/>
        </w:rPr>
        <w:t xml:space="preserve"> and intent as integral aspects of authorship that technology cannot replicate.</w:t>
      </w:r>
      <w:r w:rsidR="00C0172C">
        <w:rPr>
          <w:rFonts w:ascii="Times New Roman" w:hAnsi="Times New Roman" w:cs="Times New Roman"/>
          <w:sz w:val="24"/>
          <w:szCs w:val="24"/>
        </w:rPr>
        <w:t xml:space="preserve"> </w:t>
      </w:r>
      <w:r w:rsidR="00C0172C" w:rsidRPr="00C0172C">
        <w:rPr>
          <w:rFonts w:ascii="Times New Roman" w:hAnsi="Times New Roman" w:cs="Times New Roman"/>
          <w:sz w:val="24"/>
          <w:szCs w:val="24"/>
        </w:rPr>
        <w:t xml:space="preserve">Another peer addressed </w:t>
      </w:r>
      <w:r w:rsidR="00C0172C" w:rsidRPr="00C0172C">
        <w:rPr>
          <w:rFonts w:ascii="Times New Roman" w:hAnsi="Times New Roman" w:cs="Times New Roman"/>
          <w:i/>
          <w:iCs/>
          <w:sz w:val="24"/>
          <w:szCs w:val="24"/>
        </w:rPr>
        <w:t>automation bias</w:t>
      </w:r>
      <w:r w:rsidR="00C0172C" w:rsidRPr="00C0172C">
        <w:rPr>
          <w:rFonts w:ascii="Times New Roman" w:hAnsi="Times New Roman" w:cs="Times New Roman"/>
          <w:sz w:val="24"/>
          <w:szCs w:val="24"/>
        </w:rPr>
        <w:t xml:space="preserve"> (Romeo and Conti, 2025), noting that collaboration with AI requires defined boundaries and critical discernment. These perspectives reinforced that ethical engagement with AI must include the ability to decide </w:t>
      </w:r>
      <w:r w:rsidR="00C0172C" w:rsidRPr="00C0172C">
        <w:rPr>
          <w:rFonts w:ascii="Times New Roman" w:hAnsi="Times New Roman" w:cs="Times New Roman"/>
          <w:i/>
          <w:iCs/>
          <w:sz w:val="24"/>
          <w:szCs w:val="24"/>
        </w:rPr>
        <w:t>when not</w:t>
      </w:r>
      <w:r w:rsidR="00C0172C" w:rsidRPr="00C0172C">
        <w:rPr>
          <w:rFonts w:ascii="Times New Roman" w:hAnsi="Times New Roman" w:cs="Times New Roman"/>
          <w:sz w:val="24"/>
          <w:szCs w:val="24"/>
        </w:rPr>
        <w:t xml:space="preserve"> to rely on it (Ng</w:t>
      </w:r>
      <w:r w:rsidR="00C0172C">
        <w:rPr>
          <w:rFonts w:ascii="Times New Roman" w:hAnsi="Times New Roman" w:cs="Times New Roman"/>
          <w:sz w:val="24"/>
          <w:szCs w:val="24"/>
        </w:rPr>
        <w:t xml:space="preserve"> et al., 2024). </w:t>
      </w:r>
      <w:r w:rsidRPr="003C4341">
        <w:rPr>
          <w:rFonts w:ascii="Times New Roman" w:hAnsi="Times New Roman" w:cs="Times New Roman"/>
          <w:sz w:val="24"/>
          <w:szCs w:val="24"/>
        </w:rPr>
        <w:br/>
      </w:r>
      <w:r w:rsidRPr="003C4341">
        <w:rPr>
          <w:rFonts w:ascii="Times New Roman" w:hAnsi="Times New Roman" w:cs="Times New Roman"/>
          <w:sz w:val="24"/>
          <w:szCs w:val="24"/>
        </w:rPr>
        <w:br/>
        <w:t>Further dialogue introduced concerns about homogenisation and loss of diversity in academic writing (Anderson, Shah and Kreminski, 2024). This insight prompted me to reflect on how excessive AI reliance could lead to stylistic convergence, threatening the individuality that underpins creative and scholarly expression. Peers also emphasised institutional governance, arguing for disclosure protocols and literacy frameworks to sustain authenticity and trust in AI-assisted communication (Cardon and Coman, 2025</w:t>
      </w:r>
      <w:r w:rsidR="00C0172C">
        <w:rPr>
          <w:rFonts w:ascii="Times New Roman" w:hAnsi="Times New Roman" w:cs="Times New Roman"/>
          <w:sz w:val="24"/>
          <w:szCs w:val="24"/>
        </w:rPr>
        <w:t>)</w:t>
      </w:r>
      <w:r w:rsidRPr="003C4341">
        <w:rPr>
          <w:rFonts w:ascii="Times New Roman" w:hAnsi="Times New Roman" w:cs="Times New Roman"/>
          <w:sz w:val="24"/>
          <w:szCs w:val="24"/>
        </w:rPr>
        <w:br/>
      </w:r>
      <w:r w:rsidRPr="003C4341">
        <w:rPr>
          <w:rFonts w:ascii="Times New Roman" w:hAnsi="Times New Roman" w:cs="Times New Roman"/>
          <w:sz w:val="24"/>
          <w:szCs w:val="24"/>
        </w:rPr>
        <w:br/>
        <w:t>In my own responses, I extended these conversations to issues of copyright, misinformation, and data privacy. I referenced Wang et al. (2024) and Ye et al. (2024) to propose governance mechanisms that safeguard originality and prevent data leakage, and I argued that AI can also enhance inclusivity for non-native speakers and users with disabilities when embedded responsibly. Together, these exchanges fostered a balanced understanding of AI’s dual role</w:t>
      </w:r>
      <w:r w:rsidR="00C0172C">
        <w:rPr>
          <w:rFonts w:ascii="Times New Roman" w:hAnsi="Times New Roman" w:cs="Times New Roman"/>
          <w:sz w:val="24"/>
          <w:szCs w:val="24"/>
        </w:rPr>
        <w:t xml:space="preserve"> </w:t>
      </w:r>
      <w:r w:rsidRPr="003C4341">
        <w:rPr>
          <w:rFonts w:ascii="Times New Roman" w:hAnsi="Times New Roman" w:cs="Times New Roman"/>
          <w:sz w:val="24"/>
          <w:szCs w:val="24"/>
        </w:rPr>
        <w:t>as both a catalyst for accessibility and a potential th</w:t>
      </w:r>
      <w:r w:rsidR="00C0172C">
        <w:rPr>
          <w:rFonts w:ascii="Times New Roman" w:hAnsi="Times New Roman" w:cs="Times New Roman"/>
          <w:sz w:val="24"/>
          <w:szCs w:val="24"/>
        </w:rPr>
        <w:t xml:space="preserve">reat </w:t>
      </w:r>
      <w:r w:rsidR="00C0172C" w:rsidRPr="00C0172C">
        <w:rPr>
          <w:rFonts w:ascii="Times New Roman" w:hAnsi="Times New Roman" w:cs="Times New Roman"/>
          <w:sz w:val="24"/>
          <w:szCs w:val="24"/>
        </w:rPr>
        <w:t>to creative diversity and integrity.</w:t>
      </w:r>
      <w:r w:rsidRPr="003C4341">
        <w:rPr>
          <w:rFonts w:ascii="Times New Roman" w:hAnsi="Times New Roman" w:cs="Times New Roman"/>
          <w:sz w:val="24"/>
          <w:szCs w:val="24"/>
        </w:rPr>
        <w:br/>
      </w:r>
      <w:r w:rsidRPr="003C4341">
        <w:rPr>
          <w:rFonts w:ascii="Times New Roman" w:hAnsi="Times New Roman" w:cs="Times New Roman"/>
          <w:sz w:val="24"/>
          <w:szCs w:val="24"/>
        </w:rPr>
        <w:br/>
        <w:t xml:space="preserve">This discussion advanced my critical appreciation of AI ethics and its pedagogical implications. I now </w:t>
      </w:r>
      <w:proofErr w:type="gramStart"/>
      <w:r w:rsidR="00C0172C">
        <w:rPr>
          <w:rFonts w:ascii="Times New Roman" w:hAnsi="Times New Roman" w:cs="Times New Roman"/>
          <w:sz w:val="24"/>
          <w:szCs w:val="24"/>
        </w:rPr>
        <w:t>have an understanding of</w:t>
      </w:r>
      <w:proofErr w:type="gramEnd"/>
      <w:r w:rsidR="00C0172C">
        <w:rPr>
          <w:rFonts w:ascii="Times New Roman" w:hAnsi="Times New Roman" w:cs="Times New Roman"/>
          <w:sz w:val="24"/>
          <w:szCs w:val="24"/>
        </w:rPr>
        <w:t xml:space="preserve"> </w:t>
      </w:r>
      <w:r w:rsidRPr="003C4341">
        <w:rPr>
          <w:rFonts w:ascii="Times New Roman" w:hAnsi="Times New Roman" w:cs="Times New Roman"/>
          <w:sz w:val="24"/>
          <w:szCs w:val="24"/>
        </w:rPr>
        <w:t>AI literacy as a multidimensional competency encompassing technical understanding, ethical discernment, and cultural sensitivity. The dialogue also strengthened my ability to communicate complex ethical issues collaboratively</w:t>
      </w:r>
      <w:r w:rsidR="00C0172C">
        <w:rPr>
          <w:rFonts w:ascii="Times New Roman" w:hAnsi="Times New Roman" w:cs="Times New Roman"/>
          <w:sz w:val="24"/>
          <w:szCs w:val="24"/>
        </w:rPr>
        <w:t xml:space="preserve"> </w:t>
      </w:r>
      <w:r w:rsidRPr="003C4341">
        <w:rPr>
          <w:rFonts w:ascii="Times New Roman" w:hAnsi="Times New Roman" w:cs="Times New Roman"/>
          <w:sz w:val="24"/>
          <w:szCs w:val="24"/>
        </w:rPr>
        <w:t xml:space="preserve">skills that are crucial in my professional development as an AI </w:t>
      </w:r>
      <w:r w:rsidRPr="003C4341">
        <w:rPr>
          <w:rFonts w:ascii="Times New Roman" w:hAnsi="Times New Roman" w:cs="Times New Roman"/>
          <w:sz w:val="24"/>
          <w:szCs w:val="24"/>
        </w:rPr>
        <w:lastRenderedPageBreak/>
        <w:t>student and future healthcare innovator. By positioning human creativity and accountability at the centre of te</w:t>
      </w:r>
      <w:r w:rsidR="00C0172C">
        <w:rPr>
          <w:rFonts w:ascii="Times New Roman" w:hAnsi="Times New Roman" w:cs="Times New Roman"/>
          <w:sz w:val="24"/>
          <w:szCs w:val="24"/>
        </w:rPr>
        <w:t xml:space="preserve">chnology, </w:t>
      </w:r>
      <w:r w:rsidR="00C0172C" w:rsidRPr="00C0172C">
        <w:rPr>
          <w:rFonts w:ascii="Times New Roman" w:hAnsi="Times New Roman" w:cs="Times New Roman"/>
          <w:sz w:val="24"/>
          <w:szCs w:val="24"/>
        </w:rPr>
        <w:t xml:space="preserve">I </w:t>
      </w:r>
      <w:r w:rsidR="00C0172C">
        <w:rPr>
          <w:rFonts w:ascii="Times New Roman" w:hAnsi="Times New Roman" w:cs="Times New Roman"/>
          <w:sz w:val="24"/>
          <w:szCs w:val="24"/>
        </w:rPr>
        <w:t>understand now</w:t>
      </w:r>
      <w:r w:rsidR="00C0172C" w:rsidRPr="00C0172C">
        <w:rPr>
          <w:rFonts w:ascii="Times New Roman" w:hAnsi="Times New Roman" w:cs="Times New Roman"/>
          <w:sz w:val="24"/>
          <w:szCs w:val="24"/>
        </w:rPr>
        <w:t xml:space="preserve"> that responsible AI integration depends not on replacing human authorship but on re-defining what meaningful collaboration between humans and machines should be.</w:t>
      </w:r>
      <w:r w:rsidRPr="003C4341">
        <w:rPr>
          <w:rFonts w:ascii="Times New Roman" w:hAnsi="Times New Roman" w:cs="Times New Roman"/>
          <w:sz w:val="24"/>
          <w:szCs w:val="24"/>
        </w:rPr>
        <w:br/>
      </w:r>
    </w:p>
    <w:p w14:paraId="67DB1DC5" w14:textId="7E05000A" w:rsidR="00FF1E62" w:rsidRPr="00C0172C" w:rsidRDefault="00C0172C" w:rsidP="00C0172C">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172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5C11F537" w14:textId="77777777" w:rsidR="00FF1E62"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Anderson, B.R., Shah, J.H. and Kreminski, M. (2024) ‘Homogenization effects of large language models on human creative ideation’, Proceedings of the 16th Conference on Creativity &amp; Cognition, pp. 413–425.</w:t>
      </w:r>
    </w:p>
    <w:p w14:paraId="7FE6FD30" w14:textId="77777777" w:rsidR="00C0172C" w:rsidRPr="003C4341" w:rsidRDefault="00C0172C" w:rsidP="00C0172C">
      <w:pPr>
        <w:pStyle w:val="ListBullet"/>
        <w:numPr>
          <w:ilvl w:val="0"/>
          <w:numId w:val="0"/>
        </w:numPr>
        <w:jc w:val="both"/>
        <w:rPr>
          <w:rFonts w:ascii="Times New Roman" w:hAnsi="Times New Roman" w:cs="Times New Roman"/>
          <w:sz w:val="24"/>
          <w:szCs w:val="24"/>
        </w:rPr>
      </w:pPr>
    </w:p>
    <w:p w14:paraId="37F93957" w14:textId="53ECD4EE" w:rsidR="00FF1E62"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 xml:space="preserve">Bender, E.M., Gebru, T., McMillan-Major, A. and Shmitchell, S. (2021) ‘On </w:t>
      </w:r>
      <w:r w:rsidR="00C0172C" w:rsidRPr="003C4341">
        <w:rPr>
          <w:rFonts w:ascii="Times New Roman" w:hAnsi="Times New Roman" w:cs="Times New Roman"/>
          <w:sz w:val="24"/>
          <w:szCs w:val="24"/>
        </w:rPr>
        <w:t>the dangers</w:t>
      </w:r>
      <w:r w:rsidRPr="003C4341">
        <w:rPr>
          <w:rFonts w:ascii="Times New Roman" w:hAnsi="Times New Roman" w:cs="Times New Roman"/>
          <w:sz w:val="24"/>
          <w:szCs w:val="24"/>
        </w:rPr>
        <w:t xml:space="preserve"> of stochastic parrots: Can language models be too big?’, Proceedings of the 2021 ACM Conference on Fairness, Accountability, and Transparency, pp. 610–623.</w:t>
      </w:r>
    </w:p>
    <w:p w14:paraId="1A9E2E70" w14:textId="77777777" w:rsidR="00C0172C" w:rsidRPr="003C4341" w:rsidRDefault="00C0172C" w:rsidP="00C0172C">
      <w:pPr>
        <w:pStyle w:val="ListBullet"/>
        <w:numPr>
          <w:ilvl w:val="0"/>
          <w:numId w:val="0"/>
        </w:numPr>
        <w:jc w:val="both"/>
        <w:rPr>
          <w:rFonts w:ascii="Times New Roman" w:hAnsi="Times New Roman" w:cs="Times New Roman"/>
          <w:sz w:val="24"/>
          <w:szCs w:val="24"/>
        </w:rPr>
      </w:pPr>
    </w:p>
    <w:p w14:paraId="6F1989D5" w14:textId="6084E9E6"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Begum, S. (</w:t>
      </w:r>
      <w:proofErr w:type="gramStart"/>
      <w:r w:rsidR="00C0172C" w:rsidRPr="003C4341">
        <w:rPr>
          <w:rFonts w:ascii="Times New Roman" w:hAnsi="Times New Roman" w:cs="Times New Roman"/>
          <w:sz w:val="24"/>
          <w:szCs w:val="24"/>
        </w:rPr>
        <w:t xml:space="preserve">2025) </w:t>
      </w:r>
      <w:r w:rsidR="00C0172C">
        <w:rPr>
          <w:rFonts w:ascii="Times New Roman" w:hAnsi="Times New Roman" w:cs="Times New Roman"/>
          <w:sz w:val="24"/>
          <w:szCs w:val="24"/>
        </w:rPr>
        <w:t>‘</w:t>
      </w:r>
      <w:proofErr w:type="gramEnd"/>
      <w:r w:rsidRPr="003C4341">
        <w:rPr>
          <w:rFonts w:ascii="Times New Roman" w:hAnsi="Times New Roman" w:cs="Times New Roman"/>
          <w:sz w:val="24"/>
          <w:szCs w:val="24"/>
        </w:rPr>
        <w:t>AI and Literature: The Impact of Artificial Intelligence on Creative Writing and Narrative Forms’, Journal of Social Signs Review, 3(06), pp.180-199.</w:t>
      </w:r>
    </w:p>
    <w:p w14:paraId="41C925D2" w14:textId="77777777" w:rsidR="00C0172C" w:rsidRDefault="00C0172C" w:rsidP="00C0172C">
      <w:pPr>
        <w:pStyle w:val="ListBullet"/>
        <w:numPr>
          <w:ilvl w:val="0"/>
          <w:numId w:val="0"/>
        </w:numPr>
        <w:jc w:val="both"/>
        <w:rPr>
          <w:rFonts w:ascii="Times New Roman" w:hAnsi="Times New Roman" w:cs="Times New Roman"/>
          <w:sz w:val="24"/>
          <w:szCs w:val="24"/>
        </w:rPr>
      </w:pPr>
    </w:p>
    <w:p w14:paraId="41C9984E" w14:textId="660DFDA9"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Cardon, P.W. and Coman, A.W. (</w:t>
      </w:r>
      <w:proofErr w:type="gramStart"/>
      <w:r w:rsidRPr="003C4341">
        <w:rPr>
          <w:rFonts w:ascii="Times New Roman" w:hAnsi="Times New Roman" w:cs="Times New Roman"/>
          <w:sz w:val="24"/>
          <w:szCs w:val="24"/>
        </w:rPr>
        <w:t>2025) ‘</w:t>
      </w:r>
      <w:proofErr w:type="gramEnd"/>
      <w:r w:rsidRPr="003C4341">
        <w:rPr>
          <w:rFonts w:ascii="Times New Roman" w:hAnsi="Times New Roman" w:cs="Times New Roman"/>
          <w:sz w:val="24"/>
          <w:szCs w:val="24"/>
        </w:rPr>
        <w:t>Professionalism and Trustworthiness in AI-Assisted Workplace Writing: The Benefits and Drawbacks of Writing With AI’, International Journal of Business Communication, p.23294884251350599.</w:t>
      </w:r>
    </w:p>
    <w:p w14:paraId="4E1B573E" w14:textId="77777777" w:rsidR="00C0172C" w:rsidRDefault="00C0172C" w:rsidP="00C0172C">
      <w:pPr>
        <w:pStyle w:val="ListBullet"/>
        <w:numPr>
          <w:ilvl w:val="0"/>
          <w:numId w:val="0"/>
        </w:numPr>
        <w:jc w:val="both"/>
        <w:rPr>
          <w:rFonts w:ascii="Times New Roman" w:hAnsi="Times New Roman" w:cs="Times New Roman"/>
          <w:sz w:val="24"/>
          <w:szCs w:val="24"/>
        </w:rPr>
      </w:pPr>
    </w:p>
    <w:p w14:paraId="6DE4BFC6" w14:textId="5CBCB291" w:rsidR="00FF1E62" w:rsidRPr="003C4341" w:rsidRDefault="00000000" w:rsidP="00C0172C">
      <w:pPr>
        <w:pStyle w:val="ListBullet"/>
        <w:numPr>
          <w:ilvl w:val="0"/>
          <w:numId w:val="0"/>
        </w:numPr>
        <w:jc w:val="both"/>
        <w:rPr>
          <w:rFonts w:ascii="Times New Roman" w:hAnsi="Times New Roman" w:cs="Times New Roman"/>
          <w:sz w:val="24"/>
          <w:szCs w:val="24"/>
        </w:rPr>
      </w:pPr>
      <w:proofErr w:type="spellStart"/>
      <w:r w:rsidRPr="003C4341">
        <w:rPr>
          <w:rFonts w:ascii="Times New Roman" w:hAnsi="Times New Roman" w:cs="Times New Roman"/>
          <w:sz w:val="24"/>
          <w:szCs w:val="24"/>
        </w:rPr>
        <w:t>Floridi</w:t>
      </w:r>
      <w:proofErr w:type="spellEnd"/>
      <w:r w:rsidRPr="003C4341">
        <w:rPr>
          <w:rFonts w:ascii="Times New Roman" w:hAnsi="Times New Roman" w:cs="Times New Roman"/>
          <w:sz w:val="24"/>
          <w:szCs w:val="24"/>
        </w:rPr>
        <w:t>, L. (2018) The Logic of Information: A Theory of Philosophy as Conceptual Design. Oxford University Press.</w:t>
      </w:r>
    </w:p>
    <w:p w14:paraId="25A0966F" w14:textId="77777777" w:rsidR="00C0172C" w:rsidRDefault="00C0172C" w:rsidP="00C0172C">
      <w:pPr>
        <w:pStyle w:val="ListBullet"/>
        <w:numPr>
          <w:ilvl w:val="0"/>
          <w:numId w:val="0"/>
        </w:numPr>
        <w:jc w:val="both"/>
        <w:rPr>
          <w:rFonts w:ascii="Times New Roman" w:hAnsi="Times New Roman" w:cs="Times New Roman"/>
          <w:sz w:val="24"/>
          <w:szCs w:val="24"/>
        </w:rPr>
      </w:pPr>
    </w:p>
    <w:p w14:paraId="7B9E0E28" w14:textId="09EEB4F3"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Hidayatullah, M.H., Fahmi, M., Wahyuni, S., and Sari, D.P. (2025) ‘A systematic literature review of artificial intelligence in academic writing: Challenges and opportunities’, Journal of Research on English and Language Learning, 6(1), pp.145–162.</w:t>
      </w:r>
    </w:p>
    <w:p w14:paraId="588F143B" w14:textId="77777777" w:rsidR="00C0172C" w:rsidRDefault="00C0172C" w:rsidP="00C0172C">
      <w:pPr>
        <w:pStyle w:val="ListBullet"/>
        <w:numPr>
          <w:ilvl w:val="0"/>
          <w:numId w:val="0"/>
        </w:numPr>
        <w:jc w:val="both"/>
        <w:rPr>
          <w:rFonts w:ascii="Times New Roman" w:hAnsi="Times New Roman" w:cs="Times New Roman"/>
          <w:sz w:val="24"/>
          <w:szCs w:val="24"/>
        </w:rPr>
      </w:pPr>
    </w:p>
    <w:p w14:paraId="7991FEDA" w14:textId="1CB7F718"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Hutson, M. (2021) ‘Robo-writers: The rise and risks of language-generating AI’, Nature, 591(7848), pp.22–25.</w:t>
      </w:r>
    </w:p>
    <w:p w14:paraId="429B161B" w14:textId="77777777" w:rsidR="00C0172C" w:rsidRDefault="00C0172C" w:rsidP="00C0172C">
      <w:pPr>
        <w:pStyle w:val="ListBullet"/>
        <w:numPr>
          <w:ilvl w:val="0"/>
          <w:numId w:val="0"/>
        </w:numPr>
        <w:jc w:val="both"/>
        <w:rPr>
          <w:rFonts w:ascii="Times New Roman" w:hAnsi="Times New Roman" w:cs="Times New Roman"/>
          <w:sz w:val="24"/>
          <w:szCs w:val="24"/>
        </w:rPr>
      </w:pPr>
    </w:p>
    <w:p w14:paraId="70EAE7CE" w14:textId="04080456"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Ng, D.T.K., Leung, J.K.L., Chu, S.K.W. and Qiao, M.S. (</w:t>
      </w:r>
      <w:proofErr w:type="gramStart"/>
      <w:r w:rsidRPr="003C4341">
        <w:rPr>
          <w:rFonts w:ascii="Times New Roman" w:hAnsi="Times New Roman" w:cs="Times New Roman"/>
          <w:sz w:val="24"/>
          <w:szCs w:val="24"/>
        </w:rPr>
        <w:t>2021) ‘</w:t>
      </w:r>
      <w:proofErr w:type="gramEnd"/>
      <w:r w:rsidRPr="003C4341">
        <w:rPr>
          <w:rFonts w:ascii="Times New Roman" w:hAnsi="Times New Roman" w:cs="Times New Roman"/>
          <w:sz w:val="24"/>
          <w:szCs w:val="24"/>
        </w:rPr>
        <w:t>Conceptualizing AI literacy: An exploratory review’, Computers and Education: Artificial Intelligence, 2, 100041.</w:t>
      </w:r>
    </w:p>
    <w:p w14:paraId="2990AEBA" w14:textId="77777777" w:rsidR="00C0172C" w:rsidRDefault="00C0172C" w:rsidP="00C0172C">
      <w:pPr>
        <w:pStyle w:val="ListBullet"/>
        <w:numPr>
          <w:ilvl w:val="0"/>
          <w:numId w:val="0"/>
        </w:numPr>
        <w:ind w:left="360" w:hanging="360"/>
        <w:jc w:val="both"/>
        <w:rPr>
          <w:rFonts w:ascii="Times New Roman" w:hAnsi="Times New Roman" w:cs="Times New Roman"/>
          <w:sz w:val="24"/>
          <w:szCs w:val="24"/>
        </w:rPr>
      </w:pPr>
    </w:p>
    <w:p w14:paraId="7ECBB85A" w14:textId="52ABF2DB"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Romeo, G. and Conti, D. (2025) ‘Exploring automation bias in human–AI collaboration: a review and implications for explainable AI’, AI &amp; Society. doi:10.1007/s00146-025-02422-7.</w:t>
      </w:r>
    </w:p>
    <w:p w14:paraId="6B96ABB1" w14:textId="77777777" w:rsidR="00C0172C" w:rsidRDefault="00C0172C" w:rsidP="00C0172C">
      <w:pPr>
        <w:pStyle w:val="ListBullet"/>
        <w:numPr>
          <w:ilvl w:val="0"/>
          <w:numId w:val="0"/>
        </w:numPr>
        <w:jc w:val="both"/>
        <w:rPr>
          <w:rFonts w:ascii="Times New Roman" w:hAnsi="Times New Roman" w:cs="Times New Roman"/>
          <w:sz w:val="24"/>
          <w:szCs w:val="24"/>
        </w:rPr>
      </w:pPr>
    </w:p>
    <w:p w14:paraId="686C51E6" w14:textId="75746C2D" w:rsidR="00FF1E62"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 xml:space="preserve">Wang, J.T., Deng, Z., Chiba-Okabe, H., Barak, B. and Su, W.J. (2024) ‘An economic solution to copyright challenges of generative AI’. Available at: </w:t>
      </w:r>
      <w:hyperlink r:id="rId6" w:history="1">
        <w:r w:rsidR="00C0172C" w:rsidRPr="009A256F">
          <w:rPr>
            <w:rStyle w:val="Hyperlink"/>
            <w:rFonts w:ascii="Times New Roman" w:hAnsi="Times New Roman" w:cs="Times New Roman"/>
            <w:sz w:val="24"/>
            <w:szCs w:val="24"/>
          </w:rPr>
          <w:t>https://doi.org/10.48550/arXiv.2404.13964</w:t>
        </w:r>
      </w:hyperlink>
      <w:r w:rsidRPr="003C4341">
        <w:rPr>
          <w:rFonts w:ascii="Times New Roman" w:hAnsi="Times New Roman" w:cs="Times New Roman"/>
          <w:sz w:val="24"/>
          <w:szCs w:val="24"/>
        </w:rPr>
        <w:t>.</w:t>
      </w:r>
    </w:p>
    <w:p w14:paraId="4C394414" w14:textId="77777777" w:rsidR="00C0172C" w:rsidRPr="003C4341" w:rsidRDefault="00C0172C" w:rsidP="00C0172C">
      <w:pPr>
        <w:pStyle w:val="ListBullet"/>
        <w:numPr>
          <w:ilvl w:val="0"/>
          <w:numId w:val="0"/>
        </w:numPr>
        <w:jc w:val="both"/>
        <w:rPr>
          <w:rFonts w:ascii="Times New Roman" w:hAnsi="Times New Roman" w:cs="Times New Roman"/>
          <w:sz w:val="24"/>
          <w:szCs w:val="24"/>
        </w:rPr>
      </w:pPr>
    </w:p>
    <w:p w14:paraId="1E8ED27A" w14:textId="77777777" w:rsidR="00FF1E62" w:rsidRPr="003C4341" w:rsidRDefault="00000000" w:rsidP="00C0172C">
      <w:pPr>
        <w:pStyle w:val="ListBullet"/>
        <w:numPr>
          <w:ilvl w:val="0"/>
          <w:numId w:val="0"/>
        </w:numPr>
        <w:jc w:val="both"/>
        <w:rPr>
          <w:rFonts w:ascii="Times New Roman" w:hAnsi="Times New Roman" w:cs="Times New Roman"/>
          <w:sz w:val="24"/>
          <w:szCs w:val="24"/>
        </w:rPr>
      </w:pPr>
      <w:r w:rsidRPr="003C4341">
        <w:rPr>
          <w:rFonts w:ascii="Times New Roman" w:hAnsi="Times New Roman" w:cs="Times New Roman"/>
          <w:sz w:val="24"/>
          <w:szCs w:val="24"/>
        </w:rPr>
        <w:t>Ye, X., Yan, Y., Li, J. and Jiang, B. (2024) ‘Privacy and personal data risk governance for generative artificial intelligence: A Chinese perspective’, Telecommunications Policy, 48(10), p.102851.</w:t>
      </w:r>
    </w:p>
    <w:sectPr w:rsidR="00FF1E62" w:rsidRPr="003C43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822858">
    <w:abstractNumId w:val="8"/>
  </w:num>
  <w:num w:numId="2" w16cid:durableId="1245141587">
    <w:abstractNumId w:val="6"/>
  </w:num>
  <w:num w:numId="3" w16cid:durableId="1126508674">
    <w:abstractNumId w:val="5"/>
  </w:num>
  <w:num w:numId="4" w16cid:durableId="198784117">
    <w:abstractNumId w:val="4"/>
  </w:num>
  <w:num w:numId="5" w16cid:durableId="1596329191">
    <w:abstractNumId w:val="7"/>
  </w:num>
  <w:num w:numId="6" w16cid:durableId="1965647816">
    <w:abstractNumId w:val="3"/>
  </w:num>
  <w:num w:numId="7" w16cid:durableId="2073431514">
    <w:abstractNumId w:val="2"/>
  </w:num>
  <w:num w:numId="8" w16cid:durableId="1296374490">
    <w:abstractNumId w:val="1"/>
  </w:num>
  <w:num w:numId="9" w16cid:durableId="130596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9A8"/>
    <w:rsid w:val="0029639D"/>
    <w:rsid w:val="00326F90"/>
    <w:rsid w:val="003A1F71"/>
    <w:rsid w:val="003C4341"/>
    <w:rsid w:val="00AA1D8D"/>
    <w:rsid w:val="00B47730"/>
    <w:rsid w:val="00C0172C"/>
    <w:rsid w:val="00CB0664"/>
    <w:rsid w:val="00F95EA5"/>
    <w:rsid w:val="00FC693F"/>
    <w:rsid w:val="00FF1E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9D90B"/>
  <w14:defaultImageDpi w14:val="300"/>
  <w15:docId w15:val="{F0B06834-4E12-4330-998E-0DB1A1912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172C"/>
    <w:rPr>
      <w:color w:val="0000FF" w:themeColor="hyperlink"/>
      <w:u w:val="single"/>
    </w:rPr>
  </w:style>
  <w:style w:type="character" w:styleId="UnresolvedMention">
    <w:name w:val="Unresolved Mention"/>
    <w:basedOn w:val="DefaultParagraphFont"/>
    <w:uiPriority w:val="99"/>
    <w:semiHidden/>
    <w:unhideWhenUsed/>
    <w:rsid w:val="00C01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8550/arXiv.2404.1396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Lauretta Oghenevurie</cp:lastModifiedBy>
  <cp:revision>2</cp:revision>
  <cp:lastPrinted>2025-10-20T14:27:00Z</cp:lastPrinted>
  <dcterms:created xsi:type="dcterms:W3CDTF">2025-10-20T14:29:00Z</dcterms:created>
  <dcterms:modified xsi:type="dcterms:W3CDTF">2025-10-20T14:29:00Z</dcterms:modified>
  <cp:category/>
</cp:coreProperties>
</file>