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EventBridge自研Runtime架构设计及实现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 xml:space="preserve"> 背景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EventBridge做为完整的实现EDA领域的基础服务，其开源第一个版本所依赖的核心运行引擎，为数据流链接工具RocketMQ Connect项目的Runtime运行时。RocketMQ Connect的Runtime虽然具备数据流转的能力，但针对事件的消费吞吐能力、事件目标的触达实时性、运行器的可观测能力等方面，对于开源EventBridge的使用者来说，无疑是存在不足的。针对上述问题，设计一款满足EDA场景下运行引擎Runtime是十分必要的。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架构设计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>目前开源版本Runtime，核心模块分为：</w:t>
      </w:r>
    </w:p>
    <w:p>
      <w:pPr>
        <w:numPr>
          <w:numId w:val="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EventBusListerner，事件总线监听器（以下简称Listener），批量拉取事件并作本地缓存，供Transfer消费解析。</w:t>
      </w:r>
    </w:p>
    <w:p>
      <w:pPr>
        <w:numPr>
          <w:numId w:val="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EventRuleTransfer，事件规则转换器（以下简称Transfer）， 解析并流转批量事件至指定的事件记录(包含目标信息)，供Trigger拉取并推送。</w:t>
      </w:r>
    </w:p>
    <w:p>
      <w:pPr>
        <w:numPr>
          <w:numId w:val="3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EventTargetTrigger，事件目标触发器（以下简称Trigger），将批量事件记录推送至目标端。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架构运行图如下：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209925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>围绕Listerner、Transfer、Trigger，有如下关键组件：</w:t>
      </w:r>
    </w:p>
    <w:p>
      <w:pPr>
        <w:numPr>
          <w:numId w:val="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Subscriber，订阅不同消息存储介质的抽象简称，用于拉取事件消息并作本地缓存，供Listener消费。</w:t>
      </w:r>
    </w:p>
    <w:p>
      <w:pPr>
        <w:numPr>
          <w:numId w:val="5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Observer，为动态监听目标配置(RunnerConfig)的观察者，具体有DbObserver, FileObserver, ControllerObserver。订阅者为，EventSubscriber和CirculatorContext。</w:t>
      </w:r>
    </w:p>
    <w:p>
      <w:pPr>
        <w:numPr>
          <w:numId w:val="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OffsetManager，为位移管理器，用于提交事件在Transfer和Trigger完成其生命周期，所对应的消息存储介质的位移。</w:t>
      </w:r>
    </w:p>
    <w:p>
      <w:pPr>
        <w:numPr>
          <w:numId w:val="7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CirculatorContext，循环器上下文，用来维护Listener、Transfer、Trigger的所依赖的上下文元数据。</w:t>
      </w:r>
    </w:p>
    <w:p>
      <w:pPr>
        <w:numPr>
          <w:numId w:val="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ErrorHandler，异常处理器，用于处理事件在不同阶段的消息流转，支持重试推送事件。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设计原理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在上面架构设计模块中，我们梳理了下Runtime的核心模块及关键组件。有些同学可能会发问，为什么要这样设计？下面我们从领域建模和技术指标两个维度，浅谈核心模块和关键组件的设计原理。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领域建模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在EventBridge中，我们定义了事件流转生命周期的若干个核心概念，有事件源、事件总线、事件规则、事件目标等。除了事件源，仅仅用来标识的是事件发送者的信息，而其他的事件总线、事件规则、事件目标则更多的是和事件消费者深度绑定的。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从一个事件消费者的角度来说，我们需要知道这个事件存储在什么地方、这个事件是基于什么样的转换规则投递出去、以及最后如何让运行引擎和事件的消费者完成链接投递？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基于以上三个问题，我们抽象出来以事件总线、事件规则、事件目标为核心领域的Listener、Transfer、Trigger三个核心模块，三个模块构成一条核心链路完成一个事件在EventBridge服务端的运行流转，而这个核心链路就是Runtime的中枢调度器。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技术指标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r>
        <w:rPr>
          <w:rFonts w:eastAsia="等线" w:ascii="Arial" w:cs="Arial" w:hAnsi="Arial"/>
          <w:b w:val="true"/>
          <w:sz w:val="28"/>
        </w:rPr>
        <w:t>事件消费吞吐量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Subscriber模块实现了不同存储介质对事件的长链接拉去消费，缓存在本地队列中，并以RunnerName做为消费者分组批量拉取事件消息以及批量提交位点。该模块能够确保不同事件消费者的消费隔离，进而保证事件消费的高并发。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在循环器上下文CirculatorListener中，有Listener、Transfer、Trigger所需的元数据，同时也有各模块所消费的事件记录本地缓存，从本地存储角度来说，直接提升了事件流转投递的吞吐性能。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此外，在Transfer和Trigger模块，针对CPU密集型和IO密集型分配不同参数的线程池，可进一步保证事件消费的高性能。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r>
        <w:rPr>
          <w:rFonts w:eastAsia="等线" w:ascii="Arial" w:cs="Arial" w:hAnsi="Arial"/>
          <w:b w:val="true"/>
          <w:sz w:val="28"/>
        </w:rPr>
        <w:t>事件投递实时性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Listener、Transfer、Trigger为独自运行线程，相互之间的数据绑定依赖于本地的事件记录缓存，而这些缓存数据都存储在统一的循环器上下文CirculatorContext中，可以保证事件记录的实时监听于投递。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其次，循环器上下文CirculatorContext和Subscriber同时是事件目标RunnerConfig的配置内容修改的订阅者，可以实时感知事件目标的配置项修改，从而实时的完成各自元数据的更新。进一步保证事件投递的实效性。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而后，位移管理器OffsetManager，可实时协调Transfer和Trigger的事件记录流转状态，确保事件投递的完整生命周期。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r>
        <w:rPr>
          <w:rFonts w:eastAsia="等线" w:ascii="Arial" w:cs="Arial" w:hAnsi="Arial"/>
          <w:b w:val="true"/>
          <w:sz w:val="28"/>
        </w:rPr>
        <w:t>运行器的可观测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ErrorHander异常处理器，会处理每个异常投递的事件消息，并做好埋点记录。与此同时，社区方面正在建设Metric基础模块，以此完善EventBridge模块的可观测能力。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核心模块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存储介质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在adapter包下新建storage模块，用来实现消息存储介质的多种策略实现。其中以抽象类EventSubscriber做为基类，可供不同的消息存储介质扩展实现。目前默认实现的是RocketMQEventSubscriber，后续将支持更多的存储介质实现。下图为EventSubscriber抽象类的核心接口，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743325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包含核心四个抽象方法，</w:t>
      </w:r>
    </w:p>
    <w:p>
      <w:pPr>
        <w:numPr>
          <w:numId w:val="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refresh，监听Runner运行器的配置信息，从而动态更新事件Consumer的关键字段。</w:t>
      </w:r>
    </w:p>
    <w:p>
      <w:pPr>
        <w:numPr>
          <w:numId w:val="1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pull，拉取事件消息</w:t>
      </w:r>
    </w:p>
    <w:p>
      <w:pPr>
        <w:numPr>
          <w:numId w:val="1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commit，事件消息位移提交</w:t>
      </w:r>
    </w:p>
    <w:p>
      <w:pPr>
        <w:numPr>
          <w:numId w:val="1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close，关闭指定事件消费者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以RoekctMQSubscriber为例，做为Listener的上游入口，提供消息的消费入口并转换为事件记录在本地存储，供下游Runtime模块流转。同时，内置类ConsumeWorker以runnerName做分组，实现不同的目标事件消费者隔离。而做为RunnerConfigObserver的订阅者，方便ConsumeWokrder属性的动态更新。下图是内置类ConsumeWorker的定义及核心实现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029075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每个ConsumeWorker做为单独线程运行，会接受RocketMQEventSubscriber对其生命周期的管理，对应的入口便是refresh, pull, commit, close四个核心抽象接口，RokectMQEventSubscriber会结合RokectMQ的特性(topic管理、消息分组、位移提交)实现四个接口的特定逻辑。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监听器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监听器的实现较为简单，主要用来向Subscriber批量拉取本地队列中的事件记录，然后交给循环器上下文暂存，后续由转换器拉取转换。具体实现逻辑如下：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638425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转换器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Transfer同样是个独立线程，启动后批量向CirculatorContext拉取事件记录，而后使用TransformEngine对事件进行规则过滤，而后将合法的事件转换为可投递目标的事件记录。这里TransformEngine做为关键组件，用于将关键的Transform插件加载进内存，而后组装不同投递目标的转换列表，供Transfer调用转换事件记录。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接下来，我们来看下在TransformEngine中是如何完成事件规则解析的。首先，一个标准的RunnerConfig配置信息，可以抽象定义为一个组件的三块内容，分别是：事件总线信息、事件规则转换器信息、以及事件目标触发器。以DingTalk的RunnerConfig为例，其标准JSON格式如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905125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而每个RunnerName在分配唯一的TransformEngine初始化时，会将RunnerConfig中组件components信息和EB所需要的插件在构造方法中加载初始化，并构建可用于转换事件记录的转换列表transformList。由DingTalk配置JSON可知，components中间部分是EB目前提供的通用transform插件，分别为EventBridgeFilterTransform和EventBridgeTransform，后续依赖业务场景将适当提供新的transform插件。下图为具体的初始化构建逻辑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733800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这里需要关注的一点是，TransformEngine在执行doTransform时，则会循环遍历内存中的transform列表，调用实例化的两个transform对象（EventBridgeFilterTransform和EventBridgeTransform）执行解析转换，此类转换过程是个CPU密集型任务，需要关注线程池资源的合理调配。下图为具体转换入口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114550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触发器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Trigger也是个独立线程，用来指定事件匹配到的SinkTask，然后调用通用接口批量推送至目标端。当然，此处执行推送目标，比如HTTP接口、RPC接口、DingTalk等，都存在网络开销。因此，在多线程资源调配上面，需要针对IO密集型任务，做相应的动态资源调整。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不同的推送目标对应不同的SinkTask，而这些SinkTask则依赖于管控侧创建事件目标时指定的SinkTask实现类。这些SinkTask实现类所在的链接器Connector则以插件的形式在项目启动时被预加载至内存中。不同的事件目标，其配置信息（参考DingTalk的JSON配置文件）会关联唯一的SinkTask。下图为初始化事件目标所关联唯一SinkTask的实现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276600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这里要介绍下，SinkTask为分布式消息领域的开发标准OpenMessaging所提供的抽象类，不同的连接器继承该抽象类并实现抽象方法。EB所需要的这些SinkTask所对应的具体连接器Connector，后续会和其目前所在的项目为RocketMQ Connect共建。下图为抽象类SinkTask的数据结构定义：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171825"/>
            <wp:docPr id="8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观察者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事件目标的配置项，存在修改的场景，需实时同步至Runtime。对于配置项更新所产生的事件动作，这里面有两个入口，一个是事件的发布者，另一个是事件的订阅者。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发布者，目前提供三种模式，一是DbOberserver，实时监听数据库中表event_target_runner中的run_context的修改记录；其次是FileObserver，用于监听本地文件的实时修改；最后是ControllerObserver，用于支持管控端直接对某个配置项的修改触发，待实现。三种模式，可通过配置项选择其中一种使用。发布者的抽象类为AbstractTargetRunnerConfigObserver，核心数据结构如下图所示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838575"/>
            <wp:docPr id="9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订阅者，配置项的修改，直接影响到的是消息存储介质的订阅主题和Runtime核心三个组件的元数据。因此，EventSubscriber和CirculatorContext，是两个主要的订阅方。订阅者的订阅接口为TargetRunnerListener，接口信息定义如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238375"/>
            <wp:docPr id="10" name="Drawing 1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循环器上下文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CirculatorContext，做为Runtime核心三个组件的上下文协调器，存储着Listener、Transfer、Trigger三者的关键元数据。比如，和RunnerConfig相关的TransformEngine, SinkTask，以及不同时期的事件记录阻塞队列。核心元数据如下图所示：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962275"/>
            <wp:docPr id="11" name="Drawing 1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而对于上述元数据，在RunnerConfig信息变更后的数据管理，则由核心方法refreshRunnerContext负责调度整合，核心逻辑如下图所示：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638550"/>
            <wp:docPr id="12" name="Drawing 1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位移管理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OffsetManager，为Transfer和Trigger提供事件记录流转中的不同场景下的位移管理，进而结束一条事件消息的生命周期。具体的位移实现，交由所依赖的消息存储介质Subcriber实现（存储介质模块已提及）。下图为位移管理器所提供的两个方法，支持单个或批量提交事件记录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219450"/>
            <wp:docPr id="13" name="Drawing 1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异常处理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ErrorHandler，异常处理器的使用方和CirculatorContext循环器上下文一致，遍布于Listener、Transfer、Trigger三者之中，任何处理单元发生异常，都支持重新投递（默认170次）。在PushRetryStrategyEnum中提供了两种重试策略，重试策略是在RunnerConfig中指定的。异常处理器提供的handler方法，实现逻辑如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581400"/>
            <wp:docPr id="14" name="Drawing 1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关键指标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链路吞吐量</w:t>
      </w:r>
    </w:p>
    <w:p>
      <w:pPr>
        <w:numPr>
          <w:numId w:val="1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样本时间: 259s</w:t>
      </w:r>
    </w:p>
    <w:p>
      <w:pPr>
        <w:numPr>
          <w:numId w:val="1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峰值tps：15800</w:t>
      </w:r>
    </w:p>
    <w:p>
      <w:pPr>
        <w:numPr>
          <w:numId w:val="1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平均tps：8816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机器指标</w:t>
      </w:r>
    </w:p>
    <w:p>
      <w:pPr>
        <w:numPr>
          <w:numId w:val="1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OS：MacOS</w:t>
      </w:r>
    </w:p>
    <w:p>
      <w:pPr>
        <w:numPr>
          <w:numId w:val="1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CPU: Intel Core i5 2GHz， 4核</w:t>
      </w:r>
    </w:p>
    <w:p>
      <w:pPr>
        <w:numPr>
          <w:numId w:val="1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Memory: 16G</w:t>
      </w:r>
    </w:p>
    <w:p>
      <w:pPr>
        <w:numPr>
          <w:numId w:val="1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DISK: SSD </w:t>
      </w:r>
    </w:p>
    <w:p>
      <w:pPr>
        <w:spacing w:before="120" w:after="120" w:line="288" w:lineRule="auto"/>
        <w:ind w:left="0"/>
        <w:jc w:val="left"/>
      </w:pPr>
    </w:p>
    <w:sectPr>
      <w:footerReference w:type="default" r:id="rId3"/>
      <w:headerReference w:type="default" r:id="rId20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numbering.xml><?xml version="1.0" encoding="utf-8"?>
<w:numbering xmlns:w="http://schemas.openxmlformats.org/wordprocessingml/2006/main">
  <w:abstractNum w:abstractNumId="29232">
    <w:lvl>
      <w:numFmt w:val="bullet"/>
      <w:suff w:val="tab"/>
      <w:lvlText w:val="￮"/>
      <w:rPr>
        <w:color w:val="3370ff"/>
      </w:rPr>
    </w:lvl>
  </w:abstractNum>
  <w:abstractNum w:abstractNumId="29233">
    <w:lvl>
      <w:numFmt w:val="bullet"/>
      <w:suff w:val="tab"/>
      <w:lvlText w:val="￮"/>
      <w:rPr>
        <w:color w:val="3370ff"/>
      </w:rPr>
    </w:lvl>
  </w:abstractNum>
  <w:abstractNum w:abstractNumId="29234">
    <w:lvl>
      <w:numFmt w:val="bullet"/>
      <w:suff w:val="tab"/>
      <w:lvlText w:val="￮"/>
      <w:rPr>
        <w:color w:val="3370ff"/>
      </w:rPr>
    </w:lvl>
  </w:abstractNum>
  <w:abstractNum w:abstractNumId="29235">
    <w:lvl>
      <w:start w:val="1"/>
      <w:numFmt w:val="lowerLetter"/>
      <w:suff w:val="tab"/>
      <w:lvlText w:val="%1."/>
      <w:rPr>
        <w:color w:val="3370ff"/>
      </w:rPr>
    </w:lvl>
  </w:abstractNum>
  <w:abstractNum w:abstractNumId="29236">
    <w:lvl>
      <w:start w:val="2"/>
      <w:numFmt w:val="lowerLetter"/>
      <w:suff w:val="tab"/>
      <w:lvlText w:val="%1."/>
      <w:rPr>
        <w:color w:val="3370ff"/>
      </w:rPr>
    </w:lvl>
  </w:abstractNum>
  <w:abstractNum w:abstractNumId="29237">
    <w:lvl>
      <w:start w:val="3"/>
      <w:numFmt w:val="lowerLetter"/>
      <w:suff w:val="tab"/>
      <w:lvlText w:val="%1."/>
      <w:rPr>
        <w:color w:val="3370ff"/>
      </w:rPr>
    </w:lvl>
  </w:abstractNum>
  <w:abstractNum w:abstractNumId="29238">
    <w:lvl>
      <w:start w:val="4"/>
      <w:numFmt w:val="lowerLetter"/>
      <w:suff w:val="tab"/>
      <w:lvlText w:val="%1."/>
      <w:rPr>
        <w:color w:val="3370ff"/>
      </w:rPr>
    </w:lvl>
  </w:abstractNum>
  <w:abstractNum w:abstractNumId="29239">
    <w:lvl>
      <w:start w:val="5"/>
      <w:numFmt w:val="lowerLetter"/>
      <w:suff w:val="tab"/>
      <w:lvlText w:val="%1."/>
      <w:rPr>
        <w:color w:val="3370ff"/>
      </w:rPr>
    </w:lvl>
  </w:abstractNum>
  <w:abstractNum w:abstractNumId="29240">
    <w:lvl>
      <w:numFmt w:val="bullet"/>
      <w:suff w:val="tab"/>
      <w:lvlText w:val="￮"/>
      <w:rPr>
        <w:color w:val="3370ff"/>
      </w:rPr>
    </w:lvl>
  </w:abstractNum>
  <w:abstractNum w:abstractNumId="29241">
    <w:lvl>
      <w:numFmt w:val="bullet"/>
      <w:suff w:val="tab"/>
      <w:lvlText w:val="￮"/>
      <w:rPr>
        <w:color w:val="3370ff"/>
      </w:rPr>
    </w:lvl>
  </w:abstractNum>
  <w:abstractNum w:abstractNumId="29242">
    <w:lvl>
      <w:numFmt w:val="bullet"/>
      <w:suff w:val="tab"/>
      <w:lvlText w:val="￮"/>
      <w:rPr>
        <w:color w:val="3370ff"/>
      </w:rPr>
    </w:lvl>
  </w:abstractNum>
  <w:abstractNum w:abstractNumId="29243">
    <w:lvl>
      <w:numFmt w:val="bullet"/>
      <w:suff w:val="tab"/>
      <w:lvlText w:val="￮"/>
      <w:rPr>
        <w:color w:val="3370ff"/>
      </w:rPr>
    </w:lvl>
  </w:abstractNum>
  <w:abstractNum w:abstractNumId="29244">
    <w:lvl>
      <w:start w:val="1"/>
      <w:numFmt w:val="decimal"/>
      <w:suff w:val="tab"/>
      <w:lvlText w:val="%1."/>
      <w:rPr>
        <w:color w:val="3370ff"/>
      </w:rPr>
    </w:lvl>
  </w:abstractNum>
  <w:abstractNum w:abstractNumId="29245">
    <w:lvl>
      <w:start w:val="2"/>
      <w:numFmt w:val="decimal"/>
      <w:suff w:val="tab"/>
      <w:lvlText w:val="%1."/>
      <w:rPr>
        <w:color w:val="3370ff"/>
      </w:rPr>
    </w:lvl>
  </w:abstractNum>
  <w:abstractNum w:abstractNumId="29246">
    <w:lvl>
      <w:start w:val="3"/>
      <w:numFmt w:val="decimal"/>
      <w:suff w:val="tab"/>
      <w:lvlText w:val="%1."/>
      <w:rPr>
        <w:color w:val="3370ff"/>
      </w:rPr>
    </w:lvl>
  </w:abstractNum>
  <w:abstractNum w:abstractNumId="29247">
    <w:lvl>
      <w:start w:val="1"/>
      <w:numFmt w:val="decimal"/>
      <w:suff w:val="tab"/>
      <w:lvlText w:val="%1."/>
      <w:rPr>
        <w:color w:val="3370ff"/>
      </w:rPr>
    </w:lvl>
  </w:abstractNum>
  <w:abstractNum w:abstractNumId="29248">
    <w:lvl>
      <w:start w:val="2"/>
      <w:numFmt w:val="decimal"/>
      <w:suff w:val="tab"/>
      <w:lvlText w:val="%1."/>
      <w:rPr>
        <w:color w:val="3370ff"/>
      </w:rPr>
    </w:lvl>
  </w:abstractNum>
  <w:abstractNum w:abstractNumId="29249">
    <w:lvl>
      <w:start w:val="3"/>
      <w:numFmt w:val="decimal"/>
      <w:suff w:val="tab"/>
      <w:lvlText w:val="%1."/>
      <w:rPr>
        <w:color w:val="3370ff"/>
      </w:rPr>
    </w:lvl>
  </w:abstractNum>
  <w:abstractNum w:abstractNumId="29250">
    <w:lvl>
      <w:start w:val="4"/>
      <w:numFmt w:val="decimal"/>
      <w:suff w:val="tab"/>
      <w:lvlText w:val="%1."/>
      <w:rPr>
        <w:color w:val="3370ff"/>
      </w:rPr>
    </w:lvl>
  </w:abstractNum>
  <w:num w:numId="1">
    <w:abstractNumId w:val="29232"/>
  </w:num>
  <w:num w:numId="2">
    <w:abstractNumId w:val="29233"/>
  </w:num>
  <w:num w:numId="3">
    <w:abstractNumId w:val="29234"/>
  </w:num>
  <w:num w:numId="4">
    <w:abstractNumId w:val="29235"/>
  </w:num>
  <w:num w:numId="5">
    <w:abstractNumId w:val="29236"/>
  </w:num>
  <w:num w:numId="6">
    <w:abstractNumId w:val="29237"/>
  </w:num>
  <w:num w:numId="7">
    <w:abstractNumId w:val="29238"/>
  </w:num>
  <w:num w:numId="8">
    <w:abstractNumId w:val="29239"/>
  </w:num>
  <w:num w:numId="9">
    <w:abstractNumId w:val="29240"/>
  </w:num>
  <w:num w:numId="10">
    <w:abstractNumId w:val="29241"/>
  </w:num>
  <w:num w:numId="11">
    <w:abstractNumId w:val="29242"/>
  </w:num>
  <w:num w:numId="12">
    <w:abstractNumId w:val="29243"/>
  </w:num>
  <w:num w:numId="13">
    <w:abstractNumId w:val="29244"/>
  </w:num>
  <w:num w:numId="14">
    <w:abstractNumId w:val="29245"/>
  </w:num>
  <w:num w:numId="15">
    <w:abstractNumId w:val="29246"/>
  </w:num>
  <w:num w:numId="16">
    <w:abstractNumId w:val="29247"/>
  </w:num>
  <w:num w:numId="17">
    <w:abstractNumId w:val="29248"/>
  </w:num>
  <w:num w:numId="18">
    <w:abstractNumId w:val="29249"/>
  </w:num>
  <w:num w:numId="19">
    <w:abstractNumId w:val="29250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6.png" Type="http://schemas.openxmlformats.org/officeDocument/2006/relationships/image"/><Relationship Id="rId11" Target="media/image7.png" Type="http://schemas.openxmlformats.org/officeDocument/2006/relationships/image"/><Relationship Id="rId12" Target="media/image8.png" Type="http://schemas.openxmlformats.org/officeDocument/2006/relationships/image"/><Relationship Id="rId13" Target="media/image9.png" Type="http://schemas.openxmlformats.org/officeDocument/2006/relationships/image"/><Relationship Id="rId14" Target="media/image10.png" Type="http://schemas.openxmlformats.org/officeDocument/2006/relationships/image"/><Relationship Id="rId15" Target="media/image11.png" Type="http://schemas.openxmlformats.org/officeDocument/2006/relationships/image"/><Relationship Id="rId16" Target="media/image12.png" Type="http://schemas.openxmlformats.org/officeDocument/2006/relationships/image"/><Relationship Id="rId17" Target="media/image13.png" Type="http://schemas.openxmlformats.org/officeDocument/2006/relationships/image"/><Relationship Id="rId18" Target="media/image14.png" Type="http://schemas.openxmlformats.org/officeDocument/2006/relationships/image"/><Relationship Id="rId19" Target="media/image15.png" Type="http://schemas.openxmlformats.org/officeDocument/2006/relationships/image"/><Relationship Id="rId2" Target="styles.xml" Type="http://schemas.openxmlformats.org/officeDocument/2006/relationships/styles"/><Relationship Id="rId20" Target="header1.xml" Type="http://schemas.openxmlformats.org/officeDocument/2006/relationships/header"/><Relationship Id="rId3" Target="footer1.xml" Type="http://schemas.openxmlformats.org/officeDocument/2006/relationships/footer"/><Relationship Id="rId4" Target="numbering.xml" Type="http://schemas.openxmlformats.org/officeDocument/2006/relationships/numbering"/><Relationship Id="rId5" Target="media/image1.jpeg" Type="http://schemas.openxmlformats.org/officeDocument/2006/relationships/image"/><Relationship Id="rId6" Target="media/image2.png" Type="http://schemas.openxmlformats.org/officeDocument/2006/relationships/image"/><Relationship Id="rId7" Target="media/image3.png" Type="http://schemas.openxmlformats.org/officeDocument/2006/relationships/image"/><Relationship Id="rId8" Target="media/image4.png" Type="http://schemas.openxmlformats.org/officeDocument/2006/relationships/image"/><Relationship Id="rId9" Target="media/image5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2023-08-06T09:21:09Z</dcterms:created>
  <dc:creator>Apache POI</dc:creator>
</cp:coreProperties>
</file>