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left="0" w:right="0"/>
        <w:jc w:val="left"/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</w:pPr>
      <w:r>
        <w:rPr>
          <w:rFonts w:ascii="Liberation Sans;Arial;sans-serif" w:hAnsi="Liberation Sans;Arial;sans-serif"/>
          <w:b/>
          <w:color w:val="333333"/>
          <w:sz w:val="18"/>
          <w:bdr w:val="single" w:sz="12" w:space="4" w:color="1D3B6E"/>
        </w:rPr>
        <w:t>Tectonic Solutions SA/NV</w:t>
      </w:r>
      <w:r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  <w:t xml:space="preserve"> · Rue des Tanneurs 58, 1000 Bruxelles · BCE/KBO 0799.451.237 · CP/PC 200</w:t>
      </w:r>
    </w:p>
    <w:p>
      <w:pPr>
        <w:pStyle w:val="Heading1"/>
        <w:bidi w:val="0"/>
        <w:jc w:val="left"/>
        <w:rPr/>
      </w:pPr>
      <w:r>
        <w:rPr/>
        <w:t>Tectonic Employee Handbook – v3 (January 2026)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Published on the intranet by HR on 15 January 2026. This handbook summarises how we work at Tectonic. It complements the work regulations and your employment contract.</w:t>
      </w:r>
    </w:p>
    <w:p>
      <w:pPr>
        <w:pStyle w:val="Heading2"/>
        <w:bidi w:val="0"/>
        <w:jc w:val="left"/>
        <w:rPr/>
      </w:pPr>
      <w:r>
        <w:rPr/>
        <w:t>1. Welcome</w:t>
      </w:r>
    </w:p>
    <w:p>
      <w:pPr>
        <w:pStyle w:val="BodyText"/>
        <w:bidi w:val="0"/>
        <w:jc w:val="left"/>
        <w:rPr/>
      </w:pPr>
      <w:r>
        <w:rPr/>
        <w:t>Tectonic Solutions helps mid-sized European companies modernise their data platforms. We are 184 colleagues across Brussels, Antwerp and Liège. This handbook explains the practical side of working here: hours, absences, tools, expenses and behaviour.</w:t>
      </w:r>
    </w:p>
    <w:p>
      <w:pPr>
        <w:pStyle w:val="Heading2"/>
        <w:bidi w:val="0"/>
        <w:jc w:val="left"/>
        <w:rPr/>
      </w:pPr>
      <w:r>
        <w:rPr/>
        <w:t>2. Our values</w:t>
      </w:r>
    </w:p>
    <w:p>
      <w:pPr>
        <w:pStyle w:val="BodyText"/>
        <w:bidi w:val="0"/>
        <w:jc w:val="left"/>
        <w:rPr/>
      </w:pPr>
      <w:r>
        <w:rPr/>
        <w:t>Ownership – Clarity – Respect – Client first.</w:t>
      </w:r>
    </w:p>
    <w:p>
      <w:pPr>
        <w:pStyle w:val="Heading2"/>
        <w:bidi w:val="0"/>
        <w:jc w:val="left"/>
        <w:rPr/>
      </w:pPr>
      <w:r>
        <w:rPr/>
        <w:t>3. Where and when we work</w:t>
      </w:r>
    </w:p>
    <w:p>
      <w:pPr>
        <w:pStyle w:val="BodyText"/>
        <w:bidi w:val="0"/>
        <w:jc w:val="left"/>
        <w:rPr/>
      </w:pPr>
      <w:r>
        <w:rPr/>
        <w:t>Our standard working week is 38 hours. We work in a hybrid model (see the Telework &amp; International Remote Work Policy). Core hours are 9:30–12:00 and 14:00–16:00.</w:t>
      </w:r>
    </w:p>
    <w:p>
      <w:pPr>
        <w:pStyle w:val="Heading2"/>
        <w:bidi w:val="0"/>
        <w:jc w:val="left"/>
        <w:rPr/>
      </w:pPr>
      <w:r>
        <w:rPr/>
        <w:t>4. Working time and overtime</w:t>
      </w:r>
    </w:p>
    <w:p>
      <w:pPr>
        <w:pStyle w:val="BodyText"/>
        <w:bidi w:val="0"/>
        <w:jc w:val="left"/>
        <w:rPr/>
      </w:pPr>
      <w:r>
        <w:rPr/>
        <w:t>4.1 Overtime must be requested in advance by your manager in writing (see Overtime &amp; Working Time Policy).</w:t>
      </w:r>
    </w:p>
    <w:p>
      <w:pPr>
        <w:pStyle w:val="BodyText"/>
        <w:bidi w:val="0"/>
        <w:jc w:val="left"/>
        <w:rPr/>
      </w:pPr>
      <w:r>
        <w:rPr/>
        <w:t xml:space="preserve">4.2 </w:t>
      </w:r>
      <w:r>
        <w:rPr>
          <w:b/>
        </w:rPr>
        <w:t>Employees in grade M1 and above are considered managers and are exempt from overtime compensation.</w:t>
      </w:r>
      <w:r>
        <w:rPr/>
        <w:t xml:space="preserve"> Their salary package is deemed to include occasional additional hours. </w:t>
      </w:r>
      <w:r>
        <w:rPr>
          <w:i/>
        </w:rPr>
        <w:t>(New in v3: previously this applied only to Director grades D1 and above.)</w:t>
      </w:r>
    </w:p>
    <w:p>
      <w:pPr>
        <w:pStyle w:val="BodyText"/>
        <w:bidi w:val="0"/>
        <w:jc w:val="left"/>
        <w:rPr/>
      </w:pPr>
      <w:r>
        <w:rPr/>
        <w:t>4.3 Record your hours daily in the timesheet tool. Timesheets are validated weekly by your manager.</w:t>
      </w:r>
    </w:p>
    <w:p>
      <w:pPr>
        <w:pStyle w:val="Heading2"/>
        <w:bidi w:val="0"/>
        <w:jc w:val="left"/>
        <w:rPr/>
      </w:pPr>
      <w:r>
        <w:rPr/>
        <w:t>5. Holidays and leave</w:t>
      </w:r>
    </w:p>
    <w:p>
      <w:pPr>
        <w:pStyle w:val="BodyText"/>
        <w:bidi w:val="0"/>
        <w:jc w:val="left"/>
        <w:rPr/>
      </w:pPr>
      <w:r>
        <w:rPr/>
        <w:t>Annual holidays follow the legal rules (20 days for a full year of work in the previous calendar year) plus 12 extra-legal days (ADV/RTT). Parental leave, time credit and other statutory leave: see the Leave Policy. Requests go through the HR portal.</w:t>
      </w:r>
    </w:p>
    <w:p>
      <w:pPr>
        <w:pStyle w:val="Heading2"/>
        <w:bidi w:val="0"/>
        <w:jc w:val="left"/>
        <w:rPr/>
      </w:pPr>
      <w:r>
        <w:rPr/>
        <w:t>6. Expenses</w:t>
      </w:r>
    </w:p>
    <w:p>
      <w:pPr>
        <w:pStyle w:val="BodyText"/>
        <w:bidi w:val="0"/>
        <w:jc w:val="left"/>
        <w:rPr/>
      </w:pPr>
      <w:r>
        <w:rPr/>
        <w:t>Business expenses are reimbursed through the expense tool within 30 days. The monthly home-office allowance is described in the Home Office Allowance Policy.</w:t>
      </w:r>
    </w:p>
    <w:p>
      <w:pPr>
        <w:pStyle w:val="Heading2"/>
        <w:bidi w:val="0"/>
        <w:jc w:val="left"/>
        <w:rPr/>
      </w:pPr>
      <w:r>
        <w:rPr/>
        <w:t>7. Sickness</w:t>
      </w:r>
    </w:p>
    <w:p>
      <w:pPr>
        <w:pStyle w:val="BodyText"/>
        <w:bidi w:val="0"/>
        <w:jc w:val="left"/>
        <w:rPr/>
      </w:pPr>
      <w:r>
        <w:rPr/>
        <w:t>7.1 Inform your manager before 9:30 on the first day of absence.</w:t>
      </w:r>
    </w:p>
    <w:p>
      <w:pPr>
        <w:pStyle w:val="BodyText"/>
        <w:bidi w:val="0"/>
        <w:jc w:val="left"/>
        <w:rPr/>
      </w:pPr>
      <w:r>
        <w:rPr/>
        <w:t xml:space="preserve">7.2 </w:t>
      </w:r>
      <w:r>
        <w:rPr>
          <w:b/>
        </w:rPr>
        <w:t>Your medical certificate must reach HR within 24 hours.</w:t>
      </w:r>
      <w:r>
        <w:rPr/>
        <w:t xml:space="preserve"> Upload it on the HR portal or e-mail hr@tectonic-solutions.be.</w:t>
      </w:r>
    </w:p>
    <w:p>
      <w:pPr>
        <w:pStyle w:val="BodyText"/>
        <w:bidi w:val="0"/>
        <w:jc w:val="left"/>
        <w:rPr/>
      </w:pPr>
      <w:r>
        <w:rPr/>
        <w:t xml:space="preserve">7.3 </w:t>
      </w:r>
      <w:r>
        <w:rPr>
          <w:b/>
        </w:rPr>
        <w:t>Failure to comply with the sickness procedure may constitute serious cause for dismissal.</w:t>
      </w:r>
    </w:p>
    <w:p>
      <w:pPr>
        <w:pStyle w:val="BodyText"/>
        <w:bidi w:val="0"/>
        <w:jc w:val="left"/>
        <w:rPr/>
      </w:pPr>
      <w:r>
        <w:rPr/>
        <w:t>7.4 A control doctor may visit you at home.</w:t>
      </w:r>
    </w:p>
    <w:p>
      <w:pPr>
        <w:pStyle w:val="Heading2"/>
        <w:bidi w:val="0"/>
        <w:jc w:val="left"/>
        <w:rPr/>
      </w:pPr>
      <w:r>
        <w:rPr/>
        <w:t>8. Confidentiality and IT</w:t>
      </w:r>
    </w:p>
    <w:p>
      <w:pPr>
        <w:pStyle w:val="BodyText"/>
        <w:bidi w:val="0"/>
        <w:jc w:val="left"/>
        <w:rPr/>
      </w:pPr>
      <w:r>
        <w:rPr/>
        <w:t>Never store client data on personal devices or accounts. See the IT Acceptable Use &amp; Monitoring Policy and the DLP Standard.</w:t>
      </w:r>
    </w:p>
    <w:p>
      <w:pPr>
        <w:pStyle w:val="Heading2"/>
        <w:bidi w:val="0"/>
        <w:jc w:val="left"/>
        <w:rPr/>
      </w:pPr>
      <w:r>
        <w:rPr/>
        <w:t>9. Behaviour and respect</w:t>
      </w:r>
    </w:p>
    <w:p>
      <w:pPr>
        <w:pStyle w:val="BodyText"/>
        <w:bidi w:val="0"/>
        <w:jc w:val="left"/>
        <w:rPr/>
      </w:pPr>
      <w:r>
        <w:rPr/>
        <w:t>We do not tolerate harassment or discrimination. See the Psychosocial Risk Prevention &amp; Anti-Harassment Policy.</w:t>
      </w:r>
    </w:p>
    <w:p>
      <w:pPr>
        <w:pStyle w:val="Heading2"/>
        <w:bidi w:val="0"/>
        <w:jc w:val="left"/>
        <w:rPr/>
      </w:pPr>
      <w:r>
        <w:rPr/>
        <w:t>10. Performance</w:t>
      </w:r>
    </w:p>
    <w:p>
      <w:pPr>
        <w:pStyle w:val="BodyText"/>
        <w:bidi w:val="0"/>
        <w:jc w:val="left"/>
        <w:rPr/>
      </w:pPr>
      <w:r>
        <w:rPr/>
        <w:t>Annual review in January, mid-year check-in in July. Ratings: Exceeds / Meets+ / Meets / Partially meets / Below. See the Performance Management &amp; Bonus Policy.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This handbook is an internal guideline. In case of contradiction, the work regulations, collective agreements and the law prevail.</w:t>
      </w:r>
    </w:p>
    <w:p>
      <w:pPr>
        <w:pStyle w:val="BodyText"/>
        <w:bidi w:val="0"/>
        <w:spacing w:before="480" w:after="140"/>
        <w:ind w:hanging="0" w:left="0" w:right="0"/>
        <w:jc w:val="left"/>
        <w:rPr>
          <w:color w:val="666666"/>
          <w:sz w:val="16"/>
          <w:bdr w:val="single" w:sz="2" w:space="4" w:color="AAAAAA"/>
        </w:rPr>
      </w:pPr>
      <w:r>
        <w:rPr>
          <w:color w:val="666666"/>
          <w:sz w:val="16"/>
          <w:bdr w:val="single" w:sz="2" w:space="4" w:color="AAAAAA"/>
        </w:rPr>
        <w:t>Synthetic document – Tectonic 2026 hackathon dataset. Company, people and events are fictional.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left="1134" w:right="1134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Employee Handbook – version 3 (2026)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