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40"/>
        <w:ind w:hanging="0" w:left="0" w:right="0"/>
        <w:jc w:val="left"/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</w:pPr>
      <w:r>
        <w:rPr>
          <w:rFonts w:ascii="Liberation Sans;Arial;sans-serif" w:hAnsi="Liberation Sans;Arial;sans-serif"/>
          <w:b/>
          <w:color w:val="333333"/>
          <w:sz w:val="18"/>
          <w:bdr w:val="single" w:sz="12" w:space="4" w:color="1D3B6E"/>
        </w:rPr>
        <w:t>Tectonic Solutions SA/NV</w:t>
      </w:r>
      <w:r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  <w:t xml:space="preserve"> · Rue des Tanneurs 58, 1000 Bruxelles · BCE/KBO 0799.451.237 · CP/PC 200</w:t>
      </w:r>
    </w:p>
    <w:p>
      <w:pPr>
        <w:pStyle w:val="Heading1"/>
        <w:bidi w:val="0"/>
        <w:jc w:val="left"/>
        <w:rPr/>
      </w:pPr>
      <w:r>
        <w:rPr/>
        <w:t>Tectonic Employee Handbook – v2 (January 2024)</w:t>
      </w:r>
    </w:p>
    <w:p>
      <w:pPr>
        <w:pStyle w:val="Heading2"/>
        <w:bidi w:val="0"/>
        <w:jc w:val="left"/>
        <w:rPr/>
      </w:pPr>
      <w:r>
        <w:rPr/>
        <w:t>4. Working time and overtime</w:t>
      </w:r>
    </w:p>
    <w:p>
      <w:pPr>
        <w:pStyle w:val="BodyText"/>
        <w:bidi w:val="0"/>
        <w:jc w:val="left"/>
        <w:rPr/>
      </w:pPr>
      <w:r>
        <w:rPr/>
        <w:t>4.1 Overtime must be requested in advance by your manager.</w:t>
        <w:br/>
        <w:t xml:space="preserve">4.2 </w:t>
      </w:r>
      <w:r>
        <w:rPr>
          <w:b/>
        </w:rPr>
        <w:t>Employees in Director grades D1 and above are exempt from overtime compensation.</w:t>
      </w:r>
      <w:r>
        <w:rPr/>
        <w:t xml:space="preserve"> All other employees are compensated according to the Overtime Policy.</w:t>
      </w:r>
    </w:p>
    <w:p>
      <w:pPr>
        <w:pStyle w:val="Heading2"/>
        <w:bidi w:val="0"/>
        <w:jc w:val="left"/>
        <w:rPr/>
      </w:pPr>
      <w:r>
        <w:rPr/>
        <w:t>7. Sickness</w:t>
      </w:r>
    </w:p>
    <w:p>
      <w:pPr>
        <w:pStyle w:val="BodyText"/>
        <w:bidi w:val="0"/>
        <w:jc w:val="left"/>
        <w:rPr/>
      </w:pPr>
      <w:r>
        <w:rPr/>
        <w:t>7.1 Inform your manager before 9:30 on the first day of absence.</w:t>
        <w:br/>
        <w:t xml:space="preserve">7.2 </w:t>
      </w:r>
      <w:r>
        <w:rPr>
          <w:b/>
        </w:rPr>
        <w:t>Send your medical certificate within 2 working days</w:t>
      </w:r>
      <w:r>
        <w:rPr/>
        <w:t>, as required by the work regulations.</w:t>
        <w:br/>
        <w:t>7.3 Late certificates may lead to loss of guaranteed salary for the days before the certificate.</w:t>
      </w:r>
    </w:p>
    <w:p>
      <w:pPr>
        <w:pStyle w:val="Heading2"/>
        <w:bidi w:val="0"/>
        <w:jc w:val="left"/>
        <w:rPr/>
      </w:pPr>
      <w:r>
        <w:rPr/>
        <w:t>10. Performance</w:t>
      </w:r>
    </w:p>
    <w:p>
      <w:pPr>
        <w:pStyle w:val="BodyText"/>
        <w:bidi w:val="0"/>
        <w:jc w:val="left"/>
        <w:rPr/>
      </w:pPr>
      <w:r>
        <w:rPr/>
        <w:t>Annual review in January.</w:t>
      </w:r>
    </w:p>
    <w:p>
      <w:pPr>
        <w:pStyle w:val="BodyText"/>
        <w:bidi w:val="0"/>
        <w:spacing w:before="480" w:after="140"/>
        <w:ind w:hanging="0" w:left="0" w:right="0"/>
        <w:jc w:val="left"/>
        <w:rPr>
          <w:color w:val="666666"/>
          <w:sz w:val="16"/>
          <w:bdr w:val="single" w:sz="2" w:space="4" w:color="AAAAAA"/>
        </w:rPr>
      </w:pPr>
      <w:r>
        <w:rPr>
          <w:color w:val="666666"/>
          <w:sz w:val="16"/>
          <w:bdr w:val="single" w:sz="2" w:space="4" w:color="AAAAAA"/>
        </w:rPr>
        <w:t>Synthetic document – Tectonic 2026 hackathon dataset. Company, people and events are fictional.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134" w:after="1134"/>
      <w:ind w:left="1134" w:right="1134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8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Employee Handbook – version 2 (2024) [SUPERSEDED]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