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Monsieur BEAUFILS Mickael,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PORCHET Patricia,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0"/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MARIE-PAULE Hervieu,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12"/>
          <w:footerReference w:type="default" r:id="rId13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MESLIN Karine, OGEC STE MARIE DU ROULE CHERBOURG EN CONTENTIN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25 mai 2020 </w:t>
      </w:r>
      <w:r>
        <w:rPr/>
        <w:t xml:space="preserve">de 08:30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10/02/2020.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14"/>
      <w:footerReference w:type="default" r:id="rId15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            Service de Formation professionnelle continue 
        <w:br/>
                                        9, rue chanoine Bérenger BP 340 
        <w:br/>
            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7.xml"/><Relationship Id="rId13" Type="http://schemas.openxmlformats.org/officeDocument/2006/relationships/footer" Target="footer7.xml"/><Relationship Id="rId14" Type="http://schemas.openxmlformats.org/officeDocument/2006/relationships/header" Target="header10.xml"/><Relationship Id="rId15" Type="http://schemas.openxmlformats.org/officeDocument/2006/relationships/footer" Target="footer10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header10_image1.png"/></Relationships>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header4_image1.png"/></Relationships>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header7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2020-02-10T07:56:11+00:00</dcterms:created>
  <dcterms:modified xsi:type="dcterms:W3CDTF">2020-02-10T07:56:11+00:00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