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9C3A8" w14:textId="07BCC462" w:rsidR="00E71D49" w:rsidRDefault="00E71D49">
      <w:r>
        <w:t>Laurie Walker, Project 1. Group: The Yellow Elephants</w:t>
      </w:r>
    </w:p>
    <w:p w14:paraId="3B69964B" w14:textId="56AF5E7E" w:rsidR="00E71D49" w:rsidRDefault="00E71D49">
      <w:r>
        <w:t>Project: The effect of Covid-19 on Melbourne house prices.</w:t>
      </w:r>
    </w:p>
    <w:p w14:paraId="20C8F685" w14:textId="58A611A0" w:rsidR="00E71D49" w:rsidRDefault="00E71D49"/>
    <w:p w14:paraId="75FF01A3" w14:textId="6FC6A90F" w:rsidR="00E71D49" w:rsidRPr="007B31AA" w:rsidRDefault="00E71D49">
      <w:pPr>
        <w:rPr>
          <w:b/>
          <w:bCs/>
          <w:sz w:val="28"/>
          <w:szCs w:val="28"/>
          <w:u w:val="single"/>
        </w:rPr>
      </w:pPr>
      <w:r w:rsidRPr="007B31AA">
        <w:rPr>
          <w:b/>
          <w:bCs/>
          <w:sz w:val="28"/>
          <w:szCs w:val="28"/>
          <w:u w:val="single"/>
        </w:rPr>
        <w:t>Overview</w:t>
      </w:r>
    </w:p>
    <w:p w14:paraId="64041B30" w14:textId="2DF4DF96" w:rsidR="000E51E6" w:rsidRDefault="00E71D49">
      <w:r>
        <w:t>Our project sought to investigate the effect of the ongoing COVID-19 pandemic on median house prices in Melbourne. For simplicity, we confined this to an examination of the Melbourne residential property market (information of commercial real-estate transactions is harder to find</w:t>
      </w:r>
      <w:r w:rsidR="00590403">
        <w:t>)</w:t>
      </w:r>
      <w:r w:rsidR="00483942">
        <w:t>, focusing on houses and excluding units and apartments</w:t>
      </w:r>
      <w:r w:rsidR="00590403">
        <w:t xml:space="preserve">. </w:t>
      </w:r>
    </w:p>
    <w:p w14:paraId="33508CE6" w14:textId="411D4FB3" w:rsidR="00E71D49" w:rsidRDefault="007B31AA">
      <w:r>
        <w:t>W</w:t>
      </w:r>
      <w:r w:rsidR="000E51E6">
        <w:t>e confined our examination to housing sales, rather than changes in the rental market.</w:t>
      </w:r>
      <w:r w:rsidR="00590403">
        <w:t xml:space="preserve"> </w:t>
      </w:r>
      <w:r w:rsidR="00422954">
        <w:t>Whilst there is evidence to suggest the rental market has also been negatively affected by the Covid-19 pandemic, there is also a large informal component to the rental market, and significant variation in rental terms (e</w:t>
      </w:r>
      <w:r w:rsidR="006D62DD">
        <w:t>.</w:t>
      </w:r>
      <w:r w:rsidR="00422954">
        <w:t>g. renting a single room vs. an entire property, bills included or not, etc.)</w:t>
      </w:r>
      <w:r w:rsidR="006D62DD">
        <w:t>.</w:t>
      </w:r>
    </w:p>
    <w:p w14:paraId="192D806E" w14:textId="3CA9953F" w:rsidR="006D62DD" w:rsidRPr="00E71D49" w:rsidRDefault="006D62DD">
      <w:r>
        <w:t>We classified sales data obtained from the Domain.com.au API as either pre- and post- Covid-19, taking March 16</w:t>
      </w:r>
      <w:r w:rsidRPr="00590403">
        <w:rPr>
          <w:vertAlign w:val="superscript"/>
        </w:rPr>
        <w:t>th</w:t>
      </w:r>
      <w:r>
        <w:t xml:space="preserve"> (the date a state of emergency was declared in Victoria) as our cut-off period, and then compared median house price data. Initially, we had planned to create a time series with this data, similar to a model dataset of Melbourne house prices found on </w:t>
      </w:r>
      <w:hyperlink r:id="rId4" w:history="1">
        <w:r w:rsidRPr="006D62DD">
          <w:rPr>
            <w:rStyle w:val="Hyperlink"/>
          </w:rPr>
          <w:t>Kaggle</w:t>
        </w:r>
      </w:hyperlink>
      <w:r>
        <w:t>. After further exploration, we found this was not possible with the level of access available with a free API access plan</w:t>
      </w:r>
      <w:r w:rsidR="00063EA7">
        <w:t>. This led us to perform a simple, ‘before and after comparison’ using sales data from January 2020 and April 2020.</w:t>
      </w:r>
    </w:p>
    <w:p w14:paraId="6CF82BFF" w14:textId="675092C8" w:rsidR="00E71D49" w:rsidRDefault="00970C5A">
      <w:r>
        <w:t>To assist our exploration</w:t>
      </w:r>
      <w:r w:rsidR="00063EA7">
        <w:t xml:space="preserve"> the data</w:t>
      </w:r>
      <w:r>
        <w:t xml:space="preserve">, we formulated </w:t>
      </w:r>
      <w:r w:rsidR="00063EA7">
        <w:t>three</w:t>
      </w:r>
      <w:r>
        <w:t xml:space="preserve"> distinct research questions</w:t>
      </w:r>
      <w:r w:rsidR="00063EA7">
        <w:t>, detailed below.</w:t>
      </w:r>
    </w:p>
    <w:p w14:paraId="334B45E9" w14:textId="69C5CA8B" w:rsidR="00276424" w:rsidRDefault="00276424"/>
    <w:p w14:paraId="04DCBCD2" w14:textId="77777777" w:rsidR="001C0E60" w:rsidRPr="007B31AA" w:rsidRDefault="00276424" w:rsidP="00970C5A">
      <w:pPr>
        <w:rPr>
          <w:sz w:val="28"/>
          <w:szCs w:val="28"/>
          <w:u w:val="single"/>
        </w:rPr>
      </w:pPr>
      <w:r w:rsidRPr="007B31AA">
        <w:rPr>
          <w:b/>
          <w:bCs/>
          <w:sz w:val="28"/>
          <w:szCs w:val="28"/>
          <w:u w:val="single"/>
        </w:rPr>
        <w:t>Question 1</w:t>
      </w:r>
      <w:r w:rsidR="00970C5A" w:rsidRPr="007B31AA">
        <w:rPr>
          <w:b/>
          <w:bCs/>
          <w:sz w:val="28"/>
          <w:szCs w:val="28"/>
          <w:u w:val="single"/>
        </w:rPr>
        <w:t>:</w:t>
      </w:r>
      <w:r w:rsidR="00970C5A" w:rsidRPr="007B31AA">
        <w:rPr>
          <w:sz w:val="28"/>
          <w:szCs w:val="28"/>
          <w:u w:val="single"/>
        </w:rPr>
        <w:t xml:space="preserve"> </w:t>
      </w:r>
    </w:p>
    <w:p w14:paraId="03CC3EB9" w14:textId="77777777" w:rsidR="001C0E60" w:rsidRPr="00940479" w:rsidRDefault="00970C5A" w:rsidP="001C0E60">
      <w:pPr>
        <w:rPr>
          <w:b/>
          <w:bCs/>
        </w:rPr>
      </w:pPr>
      <w:r w:rsidRPr="00940479">
        <w:rPr>
          <w:b/>
          <w:bCs/>
        </w:rPr>
        <w:t>What, if any</w:t>
      </w:r>
      <w:r w:rsidR="001C0E60" w:rsidRPr="00940479">
        <w:rPr>
          <w:b/>
          <w:bCs/>
        </w:rPr>
        <w:t>,</w:t>
      </w:r>
      <w:r w:rsidRPr="00940479">
        <w:rPr>
          <w:b/>
          <w:bCs/>
        </w:rPr>
        <w:t xml:space="preserve"> effect has Covid-19 had on the Melbourne </w:t>
      </w:r>
      <w:r w:rsidR="001C0E60" w:rsidRPr="00940479">
        <w:rPr>
          <w:b/>
          <w:bCs/>
        </w:rPr>
        <w:t>house sale prices</w:t>
      </w:r>
      <w:r w:rsidRPr="00940479">
        <w:rPr>
          <w:b/>
          <w:bCs/>
        </w:rPr>
        <w:t xml:space="preserve">? </w:t>
      </w:r>
    </w:p>
    <w:p w14:paraId="63F81A99" w14:textId="1266FF79" w:rsidR="00276424" w:rsidRDefault="00970C5A" w:rsidP="001C0E60">
      <w:r>
        <w:t>We expected Covid-19 to have a mild, negative impact on house prices in Melbourne</w:t>
      </w:r>
      <w:r w:rsidR="001C0E60">
        <w:t xml:space="preserve">, as measured by the change in median house price by suburb in Melbourne </w:t>
      </w:r>
      <w:r w:rsidR="003576D3">
        <w:t>before and after Covid-19.</w:t>
      </w:r>
    </w:p>
    <w:p w14:paraId="66C7A92C" w14:textId="14B1F878" w:rsidR="00276424" w:rsidRDefault="00276424"/>
    <w:p w14:paraId="3E6466E9" w14:textId="77777777" w:rsidR="00052104" w:rsidRPr="007B31AA" w:rsidRDefault="00276424" w:rsidP="003576D3">
      <w:pPr>
        <w:rPr>
          <w:sz w:val="28"/>
          <w:szCs w:val="28"/>
          <w:u w:val="single"/>
        </w:rPr>
      </w:pPr>
      <w:r w:rsidRPr="007B31AA">
        <w:rPr>
          <w:b/>
          <w:bCs/>
          <w:sz w:val="28"/>
          <w:szCs w:val="28"/>
          <w:u w:val="single"/>
        </w:rPr>
        <w:t>Question 2</w:t>
      </w:r>
      <w:r w:rsidR="00970C5A" w:rsidRPr="007B31AA">
        <w:rPr>
          <w:b/>
          <w:bCs/>
          <w:sz w:val="28"/>
          <w:szCs w:val="28"/>
          <w:u w:val="single"/>
        </w:rPr>
        <w:t>:</w:t>
      </w:r>
      <w:r w:rsidR="00970C5A" w:rsidRPr="007B31AA">
        <w:rPr>
          <w:sz w:val="28"/>
          <w:szCs w:val="28"/>
          <w:u w:val="single"/>
        </w:rPr>
        <w:t xml:space="preserve"> </w:t>
      </w:r>
    </w:p>
    <w:p w14:paraId="0A95D443" w14:textId="604C475F" w:rsidR="00276424" w:rsidRPr="00940479" w:rsidRDefault="003576D3" w:rsidP="003576D3">
      <w:pPr>
        <w:rPr>
          <w:b/>
          <w:bCs/>
        </w:rPr>
      </w:pPr>
      <w:r w:rsidRPr="00940479">
        <w:rPr>
          <w:b/>
          <w:bCs/>
        </w:rPr>
        <w:t xml:space="preserve">What suburbs would have the largest </w:t>
      </w:r>
      <w:r w:rsidR="00052104" w:rsidRPr="00940479">
        <w:rPr>
          <w:b/>
          <w:bCs/>
        </w:rPr>
        <w:t xml:space="preserve">and smallest </w:t>
      </w:r>
      <w:r w:rsidRPr="00940479">
        <w:rPr>
          <w:b/>
          <w:bCs/>
        </w:rPr>
        <w:t>drop in median house price</w:t>
      </w:r>
      <w:r w:rsidR="00052104" w:rsidRPr="00940479">
        <w:rPr>
          <w:b/>
          <w:bCs/>
        </w:rPr>
        <w:t>s</w:t>
      </w:r>
      <w:r w:rsidRPr="00940479">
        <w:rPr>
          <w:b/>
          <w:bCs/>
        </w:rPr>
        <w:t xml:space="preserve">? </w:t>
      </w:r>
    </w:p>
    <w:p w14:paraId="1AAB158D" w14:textId="30668C2E" w:rsidR="007B31AA" w:rsidRDefault="007B31AA" w:rsidP="003576D3">
      <w:r>
        <w:t>W</w:t>
      </w:r>
      <w:r w:rsidR="003576D3">
        <w:t>e expected the largest decrease in house prices to occur in suburbs with a higher proportion of young people, where the workforce was more likely to be lower-skilled and employed in highly casualised industries (such as hospitality and retail) and where there were large number of recently arrived migrants and international students.</w:t>
      </w:r>
      <w:r w:rsidR="00052104">
        <w:t xml:space="preserve"> With these assumptions, I expected to see the worst affected suburbs concentrated in the middle to outer northern and western suburbs of Melbourne.</w:t>
      </w:r>
    </w:p>
    <w:p w14:paraId="3ED6C780" w14:textId="1CFF4248" w:rsidR="00052104" w:rsidRPr="007B31AA" w:rsidRDefault="00052104" w:rsidP="003576D3">
      <w:pPr>
        <w:rPr>
          <w:b/>
          <w:bCs/>
          <w:sz w:val="28"/>
          <w:szCs w:val="28"/>
          <w:u w:val="single"/>
        </w:rPr>
      </w:pPr>
      <w:r w:rsidRPr="007B31AA">
        <w:rPr>
          <w:b/>
          <w:bCs/>
          <w:sz w:val="28"/>
          <w:szCs w:val="28"/>
          <w:u w:val="single"/>
        </w:rPr>
        <w:t>Question 3:</w:t>
      </w:r>
    </w:p>
    <w:p w14:paraId="71FFE2BD" w14:textId="6654A887" w:rsidR="00052104" w:rsidRPr="00940479" w:rsidRDefault="00052104" w:rsidP="003576D3">
      <w:pPr>
        <w:rPr>
          <w:b/>
          <w:bCs/>
        </w:rPr>
      </w:pPr>
      <w:r w:rsidRPr="00940479">
        <w:rPr>
          <w:b/>
          <w:bCs/>
        </w:rPr>
        <w:t>What demographic factors may explain the different impact of Covid-19 between suburbs?</w:t>
      </w:r>
    </w:p>
    <w:p w14:paraId="6FC008F7" w14:textId="0F38C167" w:rsidR="00940479" w:rsidRDefault="00940479" w:rsidP="003576D3">
      <w:r>
        <w:t xml:space="preserve">As foreshadowed in the previous question the demographic factors generally considered focused on the age composition of the suburb, migration and socio-economic factors such as education and </w:t>
      </w:r>
      <w:r>
        <w:lastRenderedPageBreak/>
        <w:t>employment. Utilising</w:t>
      </w:r>
      <w:r w:rsidR="000D7590">
        <w:t xml:space="preserve"> the limited</w:t>
      </w:r>
      <w:r>
        <w:t xml:space="preserve"> suburb-level demographic data available via the Domain.com.au API we performed a basic linear regression, focus</w:t>
      </w:r>
      <w:r w:rsidR="00564AD2">
        <w:t>ing</w:t>
      </w:r>
      <w:r>
        <w:t xml:space="preserve"> on the following variables:</w:t>
      </w:r>
    </w:p>
    <w:p w14:paraId="58D23DC6" w14:textId="359D9F41" w:rsidR="00940479" w:rsidRDefault="00940479" w:rsidP="003576D3">
      <w:r>
        <w:t>-Percentage of suburb aged 20-39</w:t>
      </w:r>
    </w:p>
    <w:p w14:paraId="26CAD5A1" w14:textId="50536AFE" w:rsidR="00940479" w:rsidRDefault="00940479" w:rsidP="003576D3">
      <w:r>
        <w:t>-Percentage of suburb born outside Australia</w:t>
      </w:r>
    </w:p>
    <w:p w14:paraId="31798AF3" w14:textId="7AA7A8CB" w:rsidR="00940479" w:rsidRDefault="00940479" w:rsidP="003576D3">
      <w:r>
        <w:t>-Percentage of suburb holding a job requiring a tertiary education</w:t>
      </w:r>
    </w:p>
    <w:p w14:paraId="0D0364BE" w14:textId="563C7D34" w:rsidR="00564AD2" w:rsidRDefault="00564AD2" w:rsidP="003576D3"/>
    <w:p w14:paraId="699C05DC" w14:textId="389D12F0" w:rsidR="00564AD2" w:rsidRPr="007B31AA" w:rsidRDefault="00564AD2" w:rsidP="003576D3">
      <w:pPr>
        <w:rPr>
          <w:b/>
          <w:bCs/>
          <w:sz w:val="28"/>
          <w:szCs w:val="28"/>
          <w:u w:val="single"/>
        </w:rPr>
      </w:pPr>
      <w:r w:rsidRPr="007B31AA">
        <w:rPr>
          <w:b/>
          <w:bCs/>
          <w:sz w:val="28"/>
          <w:szCs w:val="28"/>
          <w:u w:val="single"/>
        </w:rPr>
        <w:t>Findings</w:t>
      </w:r>
    </w:p>
    <w:p w14:paraId="2D210FF5" w14:textId="26838E20" w:rsidR="00564AD2" w:rsidRPr="0084698D" w:rsidRDefault="0036233E" w:rsidP="003576D3">
      <w:pPr>
        <w:rPr>
          <w:b/>
          <w:bCs/>
        </w:rPr>
      </w:pPr>
      <w:r w:rsidRPr="0084698D">
        <w:rPr>
          <w:b/>
          <w:bCs/>
        </w:rPr>
        <w:t>Question 1</w:t>
      </w:r>
    </w:p>
    <w:p w14:paraId="1FF03998" w14:textId="68972E41" w:rsidR="0036233E" w:rsidRDefault="0036233E" w:rsidP="003576D3">
      <w:r>
        <w:t>After cleaning the data to remove suburbs that did not have sales in both January and April 2020, we were left with 248 suburbs. Summarising this data</w:t>
      </w:r>
      <w:r w:rsidR="000D7590">
        <w:t>,</w:t>
      </w:r>
      <w:r>
        <w:t xml:space="preserve"> we obtained the following data:</w:t>
      </w:r>
    </w:p>
    <w:tbl>
      <w:tblPr>
        <w:tblW w:w="7222" w:type="dxa"/>
        <w:tblCellMar>
          <w:top w:w="15" w:type="dxa"/>
          <w:left w:w="15" w:type="dxa"/>
          <w:bottom w:w="15" w:type="dxa"/>
          <w:right w:w="15" w:type="dxa"/>
        </w:tblCellMar>
        <w:tblLook w:val="04A0" w:firstRow="1" w:lastRow="0" w:firstColumn="1" w:lastColumn="0" w:noHBand="0" w:noVBand="1"/>
      </w:tblPr>
      <w:tblGrid>
        <w:gridCol w:w="1238"/>
        <w:gridCol w:w="1421"/>
        <w:gridCol w:w="1725"/>
        <w:gridCol w:w="1420"/>
        <w:gridCol w:w="1418"/>
      </w:tblGrid>
      <w:tr w:rsidR="0036233E" w:rsidRPr="0036233E" w14:paraId="36E07702" w14:textId="77777777" w:rsidTr="0084698D">
        <w:trPr>
          <w:trHeight w:val="318"/>
        </w:trPr>
        <w:tc>
          <w:tcPr>
            <w:tcW w:w="0" w:type="auto"/>
            <w:tcBorders>
              <w:top w:val="single" w:sz="6" w:space="0" w:color="8EA9DB"/>
              <w:left w:val="single" w:sz="6" w:space="0" w:color="8EA9DB"/>
              <w:bottom w:val="single" w:sz="6" w:space="0" w:color="8EA9DB"/>
              <w:right w:val="nil"/>
            </w:tcBorders>
            <w:shd w:val="clear" w:color="auto" w:fill="4472C4"/>
            <w:tcMar>
              <w:top w:w="15" w:type="dxa"/>
              <w:left w:w="15" w:type="dxa"/>
              <w:bottom w:w="150" w:type="dxa"/>
              <w:right w:w="15" w:type="dxa"/>
            </w:tcMar>
            <w:vAlign w:val="bottom"/>
            <w:hideMark/>
          </w:tcPr>
          <w:p w14:paraId="7D911D9A" w14:textId="77777777" w:rsidR="0036233E" w:rsidRPr="0036233E" w:rsidRDefault="0036233E" w:rsidP="0036233E">
            <w:pPr>
              <w:spacing w:after="0" w:line="240" w:lineRule="auto"/>
              <w:rPr>
                <w:rFonts w:ascii="Times New Roman" w:eastAsia="Times New Roman" w:hAnsi="Times New Roman" w:cs="Times New Roman"/>
                <w:sz w:val="24"/>
                <w:szCs w:val="24"/>
                <w:lang w:eastAsia="en-AU"/>
              </w:rPr>
            </w:pPr>
            <w:r w:rsidRPr="0036233E">
              <w:rPr>
                <w:rFonts w:ascii="Times New Roman" w:eastAsia="Times New Roman" w:hAnsi="Times New Roman" w:cs="Times New Roman"/>
                <w:sz w:val="24"/>
                <w:szCs w:val="24"/>
                <w:lang w:eastAsia="en-AU"/>
              </w:rPr>
              <w:t> </w:t>
            </w:r>
          </w:p>
          <w:p w14:paraId="43298B2A" w14:textId="77777777" w:rsidR="0036233E" w:rsidRPr="0036233E" w:rsidRDefault="0036233E" w:rsidP="0036233E">
            <w:pPr>
              <w:spacing w:after="0" w:line="240" w:lineRule="auto"/>
              <w:rPr>
                <w:rFonts w:ascii="Times New Roman" w:eastAsia="Times New Roman" w:hAnsi="Times New Roman" w:cs="Times New Roman"/>
                <w:sz w:val="24"/>
                <w:szCs w:val="24"/>
                <w:lang w:eastAsia="en-AU"/>
              </w:rPr>
            </w:pPr>
            <w:r w:rsidRPr="0036233E">
              <w:rPr>
                <w:rFonts w:ascii="Times New Roman" w:eastAsia="Times New Roman" w:hAnsi="Times New Roman" w:cs="Times New Roman"/>
                <w:sz w:val="24"/>
                <w:szCs w:val="24"/>
                <w:lang w:eastAsia="en-AU"/>
              </w:rPr>
              <w:t> </w:t>
            </w:r>
          </w:p>
        </w:tc>
        <w:tc>
          <w:tcPr>
            <w:tcW w:w="0" w:type="auto"/>
            <w:tcBorders>
              <w:top w:val="single" w:sz="6" w:space="0" w:color="8EA9DB"/>
              <w:left w:val="nil"/>
              <w:bottom w:val="single" w:sz="6" w:space="0" w:color="8EA9DB"/>
              <w:right w:val="single" w:sz="4" w:space="0" w:color="auto"/>
            </w:tcBorders>
            <w:shd w:val="clear" w:color="auto" w:fill="4472C4"/>
            <w:tcMar>
              <w:top w:w="15" w:type="dxa"/>
              <w:left w:w="15" w:type="dxa"/>
              <w:bottom w:w="150" w:type="dxa"/>
              <w:right w:w="15" w:type="dxa"/>
            </w:tcMar>
            <w:vAlign w:val="bottom"/>
            <w:hideMark/>
          </w:tcPr>
          <w:p w14:paraId="2BCCAB97" w14:textId="77777777" w:rsidR="0036233E" w:rsidRPr="0036233E" w:rsidRDefault="0036233E" w:rsidP="0036233E">
            <w:pPr>
              <w:spacing w:after="0" w:line="240" w:lineRule="auto"/>
              <w:rPr>
                <w:rFonts w:eastAsia="Times New Roman" w:cstheme="minorHAnsi"/>
                <w:sz w:val="24"/>
                <w:szCs w:val="24"/>
                <w:lang w:eastAsia="en-AU"/>
              </w:rPr>
            </w:pPr>
            <w:r w:rsidRPr="0036233E">
              <w:rPr>
                <w:rFonts w:eastAsia="Times New Roman" w:cstheme="minorHAnsi"/>
                <w:b/>
                <w:bCs/>
                <w:color w:val="FFFFFF"/>
                <w:sz w:val="24"/>
                <w:szCs w:val="24"/>
                <w:lang w:eastAsia="en-AU"/>
              </w:rPr>
              <w:t>Jan 2020 Median</w:t>
            </w:r>
          </w:p>
        </w:tc>
        <w:tc>
          <w:tcPr>
            <w:tcW w:w="1725" w:type="dxa"/>
            <w:tcBorders>
              <w:top w:val="single" w:sz="6" w:space="0" w:color="8EA9DB"/>
              <w:left w:val="single" w:sz="4" w:space="0" w:color="auto"/>
              <w:bottom w:val="single" w:sz="6" w:space="0" w:color="8EA9DB"/>
              <w:right w:val="single" w:sz="4" w:space="0" w:color="auto"/>
            </w:tcBorders>
            <w:shd w:val="clear" w:color="auto" w:fill="4472C4"/>
            <w:tcMar>
              <w:top w:w="15" w:type="dxa"/>
              <w:left w:w="15" w:type="dxa"/>
              <w:bottom w:w="150" w:type="dxa"/>
              <w:right w:w="15" w:type="dxa"/>
            </w:tcMar>
            <w:vAlign w:val="bottom"/>
            <w:hideMark/>
          </w:tcPr>
          <w:p w14:paraId="65DF97D2" w14:textId="77777777" w:rsidR="0036233E" w:rsidRPr="0036233E" w:rsidRDefault="0036233E" w:rsidP="0036233E">
            <w:pPr>
              <w:spacing w:after="0" w:line="240" w:lineRule="auto"/>
              <w:rPr>
                <w:rFonts w:eastAsia="Times New Roman" w:cstheme="minorHAnsi"/>
                <w:sz w:val="24"/>
                <w:szCs w:val="24"/>
                <w:lang w:eastAsia="en-AU"/>
              </w:rPr>
            </w:pPr>
            <w:r w:rsidRPr="0036233E">
              <w:rPr>
                <w:rFonts w:eastAsia="Times New Roman" w:cstheme="minorHAnsi"/>
                <w:b/>
                <w:bCs/>
                <w:color w:val="FFFFFF"/>
                <w:sz w:val="24"/>
                <w:szCs w:val="24"/>
                <w:lang w:eastAsia="en-AU"/>
              </w:rPr>
              <w:t>April 2020 Median</w:t>
            </w:r>
          </w:p>
        </w:tc>
        <w:tc>
          <w:tcPr>
            <w:tcW w:w="1420" w:type="dxa"/>
            <w:tcBorders>
              <w:top w:val="single" w:sz="6" w:space="0" w:color="8EA9DB"/>
              <w:left w:val="single" w:sz="4" w:space="0" w:color="auto"/>
              <w:bottom w:val="single" w:sz="6" w:space="0" w:color="8EA9DB"/>
              <w:right w:val="single" w:sz="4" w:space="0" w:color="auto"/>
            </w:tcBorders>
            <w:shd w:val="clear" w:color="auto" w:fill="4472C4"/>
            <w:tcMar>
              <w:top w:w="15" w:type="dxa"/>
              <w:left w:w="15" w:type="dxa"/>
              <w:bottom w:w="150" w:type="dxa"/>
              <w:right w:w="15" w:type="dxa"/>
            </w:tcMar>
            <w:vAlign w:val="bottom"/>
            <w:hideMark/>
          </w:tcPr>
          <w:p w14:paraId="4DD03692" w14:textId="77777777" w:rsidR="0036233E" w:rsidRPr="0036233E" w:rsidRDefault="0036233E" w:rsidP="0036233E">
            <w:pPr>
              <w:spacing w:after="0" w:line="240" w:lineRule="auto"/>
              <w:rPr>
                <w:rFonts w:eastAsia="Times New Roman" w:cstheme="minorHAnsi"/>
                <w:sz w:val="24"/>
                <w:szCs w:val="24"/>
                <w:lang w:eastAsia="en-AU"/>
              </w:rPr>
            </w:pPr>
            <w:r w:rsidRPr="0036233E">
              <w:rPr>
                <w:rFonts w:eastAsia="Times New Roman" w:cstheme="minorHAnsi"/>
                <w:b/>
                <w:bCs/>
                <w:color w:val="FFFFFF"/>
                <w:sz w:val="24"/>
                <w:szCs w:val="24"/>
                <w:lang w:eastAsia="en-AU"/>
              </w:rPr>
              <w:t>Jan 2020 Number Sold</w:t>
            </w:r>
          </w:p>
        </w:tc>
        <w:tc>
          <w:tcPr>
            <w:tcW w:w="1418" w:type="dxa"/>
            <w:tcBorders>
              <w:top w:val="single" w:sz="6" w:space="0" w:color="8EA9DB"/>
              <w:left w:val="single" w:sz="4" w:space="0" w:color="auto"/>
              <w:bottom w:val="single" w:sz="6" w:space="0" w:color="8EA9DB"/>
              <w:right w:val="single" w:sz="6" w:space="0" w:color="8EA9DB"/>
            </w:tcBorders>
            <w:shd w:val="clear" w:color="auto" w:fill="4472C4"/>
            <w:tcMar>
              <w:top w:w="15" w:type="dxa"/>
              <w:left w:w="15" w:type="dxa"/>
              <w:bottom w:w="150" w:type="dxa"/>
              <w:right w:w="15" w:type="dxa"/>
            </w:tcMar>
            <w:vAlign w:val="bottom"/>
            <w:hideMark/>
          </w:tcPr>
          <w:p w14:paraId="47CA4C5D" w14:textId="77777777" w:rsidR="0036233E" w:rsidRPr="0036233E" w:rsidRDefault="0036233E" w:rsidP="0036233E">
            <w:pPr>
              <w:spacing w:after="0" w:line="240" w:lineRule="auto"/>
              <w:rPr>
                <w:rFonts w:eastAsia="Times New Roman" w:cstheme="minorHAnsi"/>
                <w:sz w:val="24"/>
                <w:szCs w:val="24"/>
                <w:lang w:eastAsia="en-AU"/>
              </w:rPr>
            </w:pPr>
            <w:r w:rsidRPr="0036233E">
              <w:rPr>
                <w:rFonts w:eastAsia="Times New Roman" w:cstheme="minorHAnsi"/>
                <w:b/>
                <w:bCs/>
                <w:color w:val="FFFFFF"/>
                <w:sz w:val="24"/>
                <w:szCs w:val="24"/>
                <w:lang w:eastAsia="en-AU"/>
              </w:rPr>
              <w:t>April 2020 Number Sold</w:t>
            </w:r>
          </w:p>
        </w:tc>
      </w:tr>
      <w:tr w:rsidR="0036233E" w:rsidRPr="0036233E" w14:paraId="313FF894" w14:textId="77777777" w:rsidTr="0084698D">
        <w:trPr>
          <w:trHeight w:val="350"/>
        </w:trPr>
        <w:tc>
          <w:tcPr>
            <w:tcW w:w="0" w:type="auto"/>
            <w:tcBorders>
              <w:top w:val="single" w:sz="6" w:space="0" w:color="8EA9DB"/>
              <w:left w:val="single" w:sz="6" w:space="0" w:color="8EA9DB"/>
              <w:bottom w:val="single" w:sz="6" w:space="0" w:color="8EA9DB"/>
              <w:right w:val="nil"/>
            </w:tcBorders>
            <w:shd w:val="clear" w:color="auto" w:fill="D9E1F2"/>
            <w:tcMar>
              <w:top w:w="15" w:type="dxa"/>
              <w:left w:w="15" w:type="dxa"/>
              <w:bottom w:w="150" w:type="dxa"/>
              <w:right w:w="15" w:type="dxa"/>
            </w:tcMar>
            <w:vAlign w:val="bottom"/>
            <w:hideMark/>
          </w:tcPr>
          <w:p w14:paraId="5C425ECB" w14:textId="77777777" w:rsidR="0036233E" w:rsidRPr="0036233E" w:rsidRDefault="0036233E" w:rsidP="0036233E">
            <w:pPr>
              <w:spacing w:after="0" w:line="240" w:lineRule="auto"/>
              <w:rPr>
                <w:rFonts w:eastAsia="Times New Roman" w:cstheme="minorHAnsi"/>
                <w:b/>
                <w:bCs/>
                <w:sz w:val="24"/>
                <w:szCs w:val="24"/>
                <w:lang w:eastAsia="en-AU"/>
              </w:rPr>
            </w:pPr>
            <w:r w:rsidRPr="0036233E">
              <w:rPr>
                <w:rFonts w:eastAsia="Times New Roman" w:cstheme="minorHAnsi"/>
                <w:b/>
                <w:bCs/>
                <w:color w:val="000000"/>
                <w:sz w:val="24"/>
                <w:szCs w:val="24"/>
                <w:lang w:eastAsia="en-AU"/>
              </w:rPr>
              <w:t>Total </w:t>
            </w:r>
          </w:p>
        </w:tc>
        <w:tc>
          <w:tcPr>
            <w:tcW w:w="0" w:type="auto"/>
            <w:tcBorders>
              <w:top w:val="single" w:sz="6" w:space="0" w:color="8EA9DB"/>
              <w:left w:val="nil"/>
              <w:bottom w:val="single" w:sz="6" w:space="0" w:color="8EA9DB"/>
              <w:right w:val="single" w:sz="4" w:space="0" w:color="auto"/>
            </w:tcBorders>
            <w:shd w:val="clear" w:color="auto" w:fill="D9E1F2"/>
            <w:tcMar>
              <w:top w:w="15" w:type="dxa"/>
              <w:left w:w="15" w:type="dxa"/>
              <w:bottom w:w="150" w:type="dxa"/>
              <w:right w:w="15" w:type="dxa"/>
            </w:tcMar>
            <w:vAlign w:val="bottom"/>
            <w:hideMark/>
          </w:tcPr>
          <w:p w14:paraId="793B6E21" w14:textId="043FB078" w:rsidR="0036233E" w:rsidRPr="0036233E" w:rsidRDefault="0036233E" w:rsidP="0036233E">
            <w:pPr>
              <w:spacing w:after="0" w:line="240" w:lineRule="auto"/>
              <w:rPr>
                <w:rFonts w:eastAsia="Times New Roman" w:cstheme="minorHAnsi"/>
                <w:sz w:val="24"/>
                <w:szCs w:val="24"/>
                <w:lang w:eastAsia="en-AU"/>
              </w:rPr>
            </w:pPr>
            <w:r w:rsidRPr="0036233E">
              <w:rPr>
                <w:rFonts w:eastAsia="Times New Roman" w:cstheme="minorHAnsi"/>
                <w:color w:val="000000"/>
                <w:sz w:val="24"/>
                <w:szCs w:val="24"/>
                <w:lang w:eastAsia="en-AU"/>
              </w:rPr>
              <w:t> $260,711,000</w:t>
            </w:r>
          </w:p>
        </w:tc>
        <w:tc>
          <w:tcPr>
            <w:tcW w:w="1725" w:type="dxa"/>
            <w:tcBorders>
              <w:top w:val="single" w:sz="6" w:space="0" w:color="8EA9DB"/>
              <w:left w:val="single" w:sz="4" w:space="0" w:color="auto"/>
              <w:bottom w:val="single" w:sz="6" w:space="0" w:color="8EA9DB"/>
              <w:right w:val="single" w:sz="4" w:space="0" w:color="auto"/>
            </w:tcBorders>
            <w:shd w:val="clear" w:color="auto" w:fill="D9E1F2"/>
            <w:tcMar>
              <w:top w:w="15" w:type="dxa"/>
              <w:left w:w="15" w:type="dxa"/>
              <w:bottom w:w="150" w:type="dxa"/>
              <w:right w:w="15" w:type="dxa"/>
            </w:tcMar>
            <w:vAlign w:val="bottom"/>
            <w:hideMark/>
          </w:tcPr>
          <w:p w14:paraId="77FCE6C4" w14:textId="77777777" w:rsidR="0036233E" w:rsidRPr="0036233E" w:rsidRDefault="0036233E" w:rsidP="0036233E">
            <w:pPr>
              <w:spacing w:after="0" w:line="240" w:lineRule="auto"/>
              <w:rPr>
                <w:rFonts w:eastAsia="Times New Roman" w:cstheme="minorHAnsi"/>
                <w:sz w:val="24"/>
                <w:szCs w:val="24"/>
                <w:lang w:eastAsia="en-AU"/>
              </w:rPr>
            </w:pPr>
            <w:r w:rsidRPr="0036233E">
              <w:rPr>
                <w:rFonts w:eastAsia="Times New Roman" w:cstheme="minorHAnsi"/>
                <w:color w:val="000000"/>
                <w:sz w:val="24"/>
                <w:szCs w:val="24"/>
                <w:lang w:eastAsia="en-AU"/>
              </w:rPr>
              <w:t> $251,540,000.00</w:t>
            </w:r>
          </w:p>
        </w:tc>
        <w:tc>
          <w:tcPr>
            <w:tcW w:w="1420" w:type="dxa"/>
            <w:tcBorders>
              <w:top w:val="single" w:sz="6" w:space="0" w:color="8EA9DB"/>
              <w:left w:val="single" w:sz="4" w:space="0" w:color="auto"/>
              <w:bottom w:val="single" w:sz="6" w:space="0" w:color="8EA9DB"/>
              <w:right w:val="single" w:sz="4" w:space="0" w:color="auto"/>
            </w:tcBorders>
            <w:shd w:val="clear" w:color="auto" w:fill="D9E1F2"/>
            <w:tcMar>
              <w:top w:w="15" w:type="dxa"/>
              <w:left w:w="15" w:type="dxa"/>
              <w:bottom w:w="150" w:type="dxa"/>
              <w:right w:w="15" w:type="dxa"/>
            </w:tcMar>
            <w:vAlign w:val="bottom"/>
            <w:hideMark/>
          </w:tcPr>
          <w:p w14:paraId="3C2DD3EE" w14:textId="5E03D027" w:rsidR="0036233E" w:rsidRPr="0036233E" w:rsidRDefault="0036233E" w:rsidP="0036233E">
            <w:pPr>
              <w:spacing w:after="0" w:line="240" w:lineRule="auto"/>
              <w:jc w:val="right"/>
              <w:rPr>
                <w:rFonts w:eastAsia="Times New Roman" w:cstheme="minorHAnsi"/>
                <w:sz w:val="24"/>
                <w:szCs w:val="24"/>
                <w:lang w:eastAsia="en-AU"/>
              </w:rPr>
            </w:pPr>
            <w:r w:rsidRPr="0036233E">
              <w:rPr>
                <w:rFonts w:eastAsia="Times New Roman" w:cstheme="minorHAnsi"/>
                <w:color w:val="000000"/>
                <w:sz w:val="24"/>
                <w:szCs w:val="24"/>
                <w:lang w:eastAsia="en-AU"/>
              </w:rPr>
              <w:t>11</w:t>
            </w:r>
            <w:r w:rsidR="0084698D">
              <w:rPr>
                <w:rFonts w:eastAsia="Times New Roman" w:cstheme="minorHAnsi"/>
                <w:color w:val="000000"/>
                <w:sz w:val="24"/>
                <w:szCs w:val="24"/>
                <w:lang w:eastAsia="en-AU"/>
              </w:rPr>
              <w:t>,</w:t>
            </w:r>
            <w:r w:rsidRPr="0036233E">
              <w:rPr>
                <w:rFonts w:eastAsia="Times New Roman" w:cstheme="minorHAnsi"/>
                <w:color w:val="000000"/>
                <w:sz w:val="24"/>
                <w:szCs w:val="24"/>
                <w:lang w:eastAsia="en-AU"/>
              </w:rPr>
              <w:t>000</w:t>
            </w:r>
          </w:p>
        </w:tc>
        <w:tc>
          <w:tcPr>
            <w:tcW w:w="1418" w:type="dxa"/>
            <w:tcBorders>
              <w:top w:val="single" w:sz="6" w:space="0" w:color="8EA9DB"/>
              <w:left w:val="single" w:sz="4" w:space="0" w:color="auto"/>
              <w:bottom w:val="single" w:sz="6" w:space="0" w:color="8EA9DB"/>
              <w:right w:val="single" w:sz="6" w:space="0" w:color="8EA9DB"/>
            </w:tcBorders>
            <w:shd w:val="clear" w:color="auto" w:fill="D9E1F2"/>
            <w:tcMar>
              <w:top w:w="15" w:type="dxa"/>
              <w:left w:w="15" w:type="dxa"/>
              <w:bottom w:w="150" w:type="dxa"/>
              <w:right w:w="15" w:type="dxa"/>
            </w:tcMar>
            <w:vAlign w:val="bottom"/>
            <w:hideMark/>
          </w:tcPr>
          <w:p w14:paraId="45282C80" w14:textId="059BC8A7" w:rsidR="0036233E" w:rsidRPr="0036233E" w:rsidRDefault="0036233E" w:rsidP="0036233E">
            <w:pPr>
              <w:spacing w:after="0" w:line="240" w:lineRule="auto"/>
              <w:jc w:val="right"/>
              <w:rPr>
                <w:rFonts w:eastAsia="Times New Roman" w:cstheme="minorHAnsi"/>
                <w:sz w:val="24"/>
                <w:szCs w:val="24"/>
                <w:lang w:eastAsia="en-AU"/>
              </w:rPr>
            </w:pPr>
            <w:r w:rsidRPr="0036233E">
              <w:rPr>
                <w:rFonts w:eastAsia="Times New Roman" w:cstheme="minorHAnsi"/>
                <w:color w:val="000000"/>
                <w:sz w:val="24"/>
                <w:szCs w:val="24"/>
                <w:lang w:eastAsia="en-AU"/>
              </w:rPr>
              <w:t>9</w:t>
            </w:r>
            <w:r w:rsidR="0084698D">
              <w:rPr>
                <w:rFonts w:eastAsia="Times New Roman" w:cstheme="minorHAnsi"/>
                <w:color w:val="000000"/>
                <w:sz w:val="24"/>
                <w:szCs w:val="24"/>
                <w:lang w:eastAsia="en-AU"/>
              </w:rPr>
              <w:t>,</w:t>
            </w:r>
            <w:r w:rsidRPr="0036233E">
              <w:rPr>
                <w:rFonts w:eastAsia="Times New Roman" w:cstheme="minorHAnsi"/>
                <w:color w:val="000000"/>
                <w:sz w:val="24"/>
                <w:szCs w:val="24"/>
                <w:lang w:eastAsia="en-AU"/>
              </w:rPr>
              <w:t>669</w:t>
            </w:r>
          </w:p>
        </w:tc>
      </w:tr>
      <w:tr w:rsidR="0084698D" w:rsidRPr="0036233E" w14:paraId="18190C3C" w14:textId="77777777" w:rsidTr="0084698D">
        <w:trPr>
          <w:trHeight w:val="350"/>
        </w:trPr>
        <w:tc>
          <w:tcPr>
            <w:tcW w:w="0" w:type="auto"/>
            <w:tcBorders>
              <w:top w:val="single" w:sz="6" w:space="0" w:color="8EA9DB"/>
              <w:left w:val="single" w:sz="6" w:space="0" w:color="8EA9DB"/>
              <w:bottom w:val="single" w:sz="6" w:space="0" w:color="8EA9DB"/>
              <w:right w:val="nil"/>
            </w:tcBorders>
            <w:tcMar>
              <w:top w:w="15" w:type="dxa"/>
              <w:left w:w="15" w:type="dxa"/>
              <w:bottom w:w="150" w:type="dxa"/>
              <w:right w:w="15" w:type="dxa"/>
            </w:tcMar>
            <w:vAlign w:val="bottom"/>
            <w:hideMark/>
          </w:tcPr>
          <w:p w14:paraId="7E300394" w14:textId="45C73D47" w:rsidR="0036233E" w:rsidRPr="0036233E" w:rsidRDefault="0036233E" w:rsidP="0036233E">
            <w:pPr>
              <w:spacing w:after="0" w:line="240" w:lineRule="auto"/>
              <w:rPr>
                <w:rFonts w:eastAsia="Times New Roman" w:cstheme="minorHAnsi"/>
                <w:b/>
                <w:bCs/>
                <w:sz w:val="24"/>
                <w:szCs w:val="24"/>
                <w:lang w:eastAsia="en-AU"/>
              </w:rPr>
            </w:pPr>
            <w:r w:rsidRPr="0036233E">
              <w:rPr>
                <w:rFonts w:eastAsia="Times New Roman" w:cstheme="minorHAnsi"/>
                <w:b/>
                <w:bCs/>
                <w:color w:val="000000"/>
                <w:sz w:val="24"/>
                <w:szCs w:val="24"/>
                <w:lang w:eastAsia="en-AU"/>
              </w:rPr>
              <w:t>Average </w:t>
            </w:r>
            <w:r w:rsidR="0084698D">
              <w:rPr>
                <w:rFonts w:eastAsia="Times New Roman" w:cstheme="minorHAnsi"/>
                <w:b/>
                <w:bCs/>
                <w:color w:val="000000"/>
                <w:sz w:val="24"/>
                <w:szCs w:val="24"/>
                <w:lang w:eastAsia="en-AU"/>
              </w:rPr>
              <w:t>per suburb</w:t>
            </w:r>
          </w:p>
        </w:tc>
        <w:tc>
          <w:tcPr>
            <w:tcW w:w="0" w:type="auto"/>
            <w:tcBorders>
              <w:top w:val="single" w:sz="6" w:space="0" w:color="8EA9DB"/>
              <w:left w:val="nil"/>
              <w:bottom w:val="single" w:sz="6" w:space="0" w:color="8EA9DB"/>
              <w:right w:val="single" w:sz="4" w:space="0" w:color="auto"/>
            </w:tcBorders>
            <w:tcMar>
              <w:top w:w="15" w:type="dxa"/>
              <w:left w:w="15" w:type="dxa"/>
              <w:bottom w:w="150" w:type="dxa"/>
              <w:right w:w="15" w:type="dxa"/>
            </w:tcMar>
            <w:vAlign w:val="bottom"/>
            <w:hideMark/>
          </w:tcPr>
          <w:p w14:paraId="13063F5A" w14:textId="2E8F01ED" w:rsidR="0036233E" w:rsidRPr="0036233E" w:rsidRDefault="0036233E" w:rsidP="0036233E">
            <w:pPr>
              <w:spacing w:after="0" w:line="240" w:lineRule="auto"/>
              <w:rPr>
                <w:rFonts w:eastAsia="Times New Roman" w:cstheme="minorHAnsi"/>
                <w:sz w:val="24"/>
                <w:szCs w:val="24"/>
                <w:lang w:eastAsia="en-AU"/>
              </w:rPr>
            </w:pPr>
            <w:r w:rsidRPr="0036233E">
              <w:rPr>
                <w:rFonts w:eastAsia="Times New Roman" w:cstheme="minorHAnsi"/>
                <w:color w:val="000000"/>
                <w:sz w:val="24"/>
                <w:szCs w:val="24"/>
                <w:lang w:eastAsia="en-AU"/>
              </w:rPr>
              <w:t> $1,055,510</w:t>
            </w:r>
          </w:p>
        </w:tc>
        <w:tc>
          <w:tcPr>
            <w:tcW w:w="1725" w:type="dxa"/>
            <w:tcBorders>
              <w:top w:val="single" w:sz="6" w:space="0" w:color="8EA9DB"/>
              <w:left w:val="single" w:sz="4" w:space="0" w:color="auto"/>
              <w:bottom w:val="single" w:sz="6" w:space="0" w:color="8EA9DB"/>
              <w:right w:val="single" w:sz="4" w:space="0" w:color="auto"/>
            </w:tcBorders>
            <w:tcMar>
              <w:top w:w="15" w:type="dxa"/>
              <w:left w:w="15" w:type="dxa"/>
              <w:bottom w:w="150" w:type="dxa"/>
              <w:right w:w="15" w:type="dxa"/>
            </w:tcMar>
            <w:vAlign w:val="bottom"/>
            <w:hideMark/>
          </w:tcPr>
          <w:p w14:paraId="71B91976" w14:textId="19934B8D" w:rsidR="0036233E" w:rsidRPr="0036233E" w:rsidRDefault="0036233E" w:rsidP="0036233E">
            <w:pPr>
              <w:spacing w:after="0" w:line="240" w:lineRule="auto"/>
              <w:rPr>
                <w:rFonts w:eastAsia="Times New Roman" w:cstheme="minorHAnsi"/>
                <w:sz w:val="24"/>
                <w:szCs w:val="24"/>
                <w:lang w:eastAsia="en-AU"/>
              </w:rPr>
            </w:pPr>
            <w:r w:rsidRPr="0036233E">
              <w:rPr>
                <w:rFonts w:eastAsia="Times New Roman" w:cstheme="minorHAnsi"/>
                <w:color w:val="000000"/>
                <w:sz w:val="24"/>
                <w:szCs w:val="24"/>
                <w:lang w:eastAsia="en-AU"/>
              </w:rPr>
              <w:t> $1,022,520</w:t>
            </w:r>
          </w:p>
        </w:tc>
        <w:tc>
          <w:tcPr>
            <w:tcW w:w="1420" w:type="dxa"/>
            <w:tcBorders>
              <w:top w:val="single" w:sz="6" w:space="0" w:color="8EA9DB"/>
              <w:left w:val="single" w:sz="4" w:space="0" w:color="auto"/>
              <w:bottom w:val="single" w:sz="6" w:space="0" w:color="8EA9DB"/>
              <w:right w:val="single" w:sz="4" w:space="0" w:color="auto"/>
            </w:tcBorders>
            <w:tcMar>
              <w:top w:w="15" w:type="dxa"/>
              <w:left w:w="15" w:type="dxa"/>
              <w:bottom w:w="150" w:type="dxa"/>
              <w:right w:w="15" w:type="dxa"/>
            </w:tcMar>
            <w:vAlign w:val="bottom"/>
            <w:hideMark/>
          </w:tcPr>
          <w:p w14:paraId="6512C5CA" w14:textId="77777777" w:rsidR="0036233E" w:rsidRPr="0036233E" w:rsidRDefault="0036233E" w:rsidP="0036233E">
            <w:pPr>
              <w:spacing w:after="0" w:line="240" w:lineRule="auto"/>
              <w:jc w:val="right"/>
              <w:rPr>
                <w:rFonts w:eastAsia="Times New Roman" w:cstheme="minorHAnsi"/>
                <w:sz w:val="24"/>
                <w:szCs w:val="24"/>
                <w:lang w:eastAsia="en-AU"/>
              </w:rPr>
            </w:pPr>
            <w:r w:rsidRPr="0036233E">
              <w:rPr>
                <w:rFonts w:eastAsia="Times New Roman" w:cstheme="minorHAnsi"/>
                <w:color w:val="000000"/>
                <w:sz w:val="24"/>
                <w:szCs w:val="24"/>
                <w:lang w:eastAsia="en-AU"/>
              </w:rPr>
              <w:t>44.53</w:t>
            </w:r>
          </w:p>
        </w:tc>
        <w:tc>
          <w:tcPr>
            <w:tcW w:w="1418" w:type="dxa"/>
            <w:tcBorders>
              <w:top w:val="single" w:sz="6" w:space="0" w:color="8EA9DB"/>
              <w:left w:val="single" w:sz="4" w:space="0" w:color="auto"/>
              <w:bottom w:val="single" w:sz="6" w:space="0" w:color="8EA9DB"/>
              <w:right w:val="single" w:sz="6" w:space="0" w:color="8EA9DB"/>
            </w:tcBorders>
            <w:tcMar>
              <w:top w:w="15" w:type="dxa"/>
              <w:left w:w="15" w:type="dxa"/>
              <w:bottom w:w="150" w:type="dxa"/>
              <w:right w:w="15" w:type="dxa"/>
            </w:tcMar>
            <w:vAlign w:val="bottom"/>
            <w:hideMark/>
          </w:tcPr>
          <w:p w14:paraId="1C3AD564" w14:textId="77777777" w:rsidR="0036233E" w:rsidRPr="0036233E" w:rsidRDefault="0036233E" w:rsidP="0036233E">
            <w:pPr>
              <w:spacing w:after="0" w:line="240" w:lineRule="auto"/>
              <w:jc w:val="right"/>
              <w:rPr>
                <w:rFonts w:eastAsia="Times New Roman" w:cstheme="minorHAnsi"/>
                <w:sz w:val="24"/>
                <w:szCs w:val="24"/>
                <w:lang w:eastAsia="en-AU"/>
              </w:rPr>
            </w:pPr>
            <w:r w:rsidRPr="0036233E">
              <w:rPr>
                <w:rFonts w:eastAsia="Times New Roman" w:cstheme="minorHAnsi"/>
                <w:color w:val="000000"/>
                <w:sz w:val="24"/>
                <w:szCs w:val="24"/>
                <w:lang w:eastAsia="en-AU"/>
              </w:rPr>
              <w:t>39.15</w:t>
            </w:r>
          </w:p>
        </w:tc>
      </w:tr>
      <w:tr w:rsidR="0036233E" w:rsidRPr="0036233E" w14:paraId="730142F0" w14:textId="77777777" w:rsidTr="0084698D">
        <w:trPr>
          <w:trHeight w:val="116"/>
        </w:trPr>
        <w:tc>
          <w:tcPr>
            <w:tcW w:w="0" w:type="auto"/>
            <w:tcBorders>
              <w:top w:val="single" w:sz="6" w:space="0" w:color="8EA9DB"/>
              <w:left w:val="single" w:sz="6" w:space="0" w:color="8EA9DB"/>
              <w:bottom w:val="single" w:sz="6" w:space="0" w:color="8EA9DB"/>
              <w:right w:val="nil"/>
            </w:tcBorders>
            <w:shd w:val="clear" w:color="auto" w:fill="D9E1F2"/>
            <w:tcMar>
              <w:top w:w="15" w:type="dxa"/>
              <w:left w:w="15" w:type="dxa"/>
              <w:bottom w:w="150" w:type="dxa"/>
              <w:right w:w="15" w:type="dxa"/>
            </w:tcMar>
            <w:vAlign w:val="bottom"/>
            <w:hideMark/>
          </w:tcPr>
          <w:p w14:paraId="13F72866" w14:textId="77777777" w:rsidR="0036233E" w:rsidRPr="0036233E" w:rsidRDefault="0036233E" w:rsidP="0036233E">
            <w:pPr>
              <w:spacing w:after="0" w:line="240" w:lineRule="auto"/>
              <w:rPr>
                <w:rFonts w:eastAsia="Times New Roman" w:cstheme="minorHAnsi"/>
                <w:b/>
                <w:bCs/>
                <w:sz w:val="24"/>
                <w:szCs w:val="24"/>
                <w:lang w:eastAsia="en-AU"/>
              </w:rPr>
            </w:pPr>
            <w:r w:rsidRPr="0036233E">
              <w:rPr>
                <w:rFonts w:eastAsia="Times New Roman" w:cstheme="minorHAnsi"/>
                <w:b/>
                <w:bCs/>
                <w:color w:val="000000"/>
                <w:sz w:val="24"/>
                <w:szCs w:val="24"/>
                <w:lang w:eastAsia="en-AU"/>
              </w:rPr>
              <w:t>Change %</w:t>
            </w:r>
          </w:p>
        </w:tc>
        <w:tc>
          <w:tcPr>
            <w:tcW w:w="0" w:type="auto"/>
            <w:tcBorders>
              <w:top w:val="single" w:sz="6" w:space="0" w:color="8EA9DB"/>
              <w:left w:val="nil"/>
              <w:bottom w:val="single" w:sz="6" w:space="0" w:color="8EA9DB"/>
              <w:right w:val="single" w:sz="4" w:space="0" w:color="auto"/>
            </w:tcBorders>
            <w:shd w:val="clear" w:color="auto" w:fill="D9E1F2"/>
            <w:tcMar>
              <w:top w:w="15" w:type="dxa"/>
              <w:left w:w="15" w:type="dxa"/>
              <w:bottom w:w="150" w:type="dxa"/>
              <w:right w:w="15" w:type="dxa"/>
            </w:tcMar>
            <w:vAlign w:val="bottom"/>
            <w:hideMark/>
          </w:tcPr>
          <w:p w14:paraId="0BD5994A" w14:textId="77777777" w:rsidR="0036233E" w:rsidRPr="0036233E" w:rsidRDefault="0036233E" w:rsidP="0036233E">
            <w:pPr>
              <w:spacing w:after="0" w:line="240" w:lineRule="auto"/>
              <w:rPr>
                <w:rFonts w:eastAsia="Times New Roman" w:cstheme="minorHAnsi"/>
                <w:sz w:val="24"/>
                <w:szCs w:val="24"/>
                <w:lang w:eastAsia="en-AU"/>
              </w:rPr>
            </w:pPr>
            <w:r w:rsidRPr="0036233E">
              <w:rPr>
                <w:rFonts w:eastAsia="Times New Roman" w:cstheme="minorHAnsi"/>
                <w:sz w:val="24"/>
                <w:szCs w:val="24"/>
                <w:lang w:eastAsia="en-AU"/>
              </w:rPr>
              <w:t> </w:t>
            </w:r>
          </w:p>
        </w:tc>
        <w:tc>
          <w:tcPr>
            <w:tcW w:w="1725" w:type="dxa"/>
            <w:tcBorders>
              <w:top w:val="single" w:sz="6" w:space="0" w:color="8EA9DB"/>
              <w:left w:val="single" w:sz="4" w:space="0" w:color="auto"/>
              <w:bottom w:val="single" w:sz="6" w:space="0" w:color="8EA9DB"/>
              <w:right w:val="single" w:sz="4" w:space="0" w:color="auto"/>
            </w:tcBorders>
            <w:shd w:val="clear" w:color="auto" w:fill="D9E1F2"/>
            <w:tcMar>
              <w:top w:w="15" w:type="dxa"/>
              <w:left w:w="15" w:type="dxa"/>
              <w:bottom w:w="150" w:type="dxa"/>
              <w:right w:w="15" w:type="dxa"/>
            </w:tcMar>
            <w:vAlign w:val="bottom"/>
            <w:hideMark/>
          </w:tcPr>
          <w:p w14:paraId="1C666342" w14:textId="77777777" w:rsidR="0036233E" w:rsidRPr="0036233E" w:rsidRDefault="0036233E" w:rsidP="0084698D">
            <w:pPr>
              <w:spacing w:after="0" w:line="240" w:lineRule="auto"/>
              <w:rPr>
                <w:rFonts w:eastAsia="Times New Roman" w:cstheme="minorHAnsi"/>
                <w:sz w:val="24"/>
                <w:szCs w:val="24"/>
                <w:lang w:eastAsia="en-AU"/>
              </w:rPr>
            </w:pPr>
            <w:r w:rsidRPr="0036233E">
              <w:rPr>
                <w:rFonts w:eastAsia="Times New Roman" w:cstheme="minorHAnsi"/>
                <w:color w:val="000000"/>
                <w:sz w:val="24"/>
                <w:szCs w:val="24"/>
                <w:lang w:eastAsia="en-AU"/>
              </w:rPr>
              <w:t>-3.52%</w:t>
            </w:r>
          </w:p>
        </w:tc>
        <w:tc>
          <w:tcPr>
            <w:tcW w:w="1420" w:type="dxa"/>
            <w:tcBorders>
              <w:top w:val="single" w:sz="6" w:space="0" w:color="8EA9DB"/>
              <w:left w:val="single" w:sz="4" w:space="0" w:color="auto"/>
              <w:bottom w:val="single" w:sz="6" w:space="0" w:color="8EA9DB"/>
              <w:right w:val="single" w:sz="4" w:space="0" w:color="auto"/>
            </w:tcBorders>
            <w:shd w:val="clear" w:color="auto" w:fill="D9E1F2"/>
            <w:tcMar>
              <w:top w:w="15" w:type="dxa"/>
              <w:left w:w="15" w:type="dxa"/>
              <w:bottom w:w="150" w:type="dxa"/>
              <w:right w:w="15" w:type="dxa"/>
            </w:tcMar>
            <w:vAlign w:val="bottom"/>
            <w:hideMark/>
          </w:tcPr>
          <w:p w14:paraId="1EFA975F" w14:textId="77777777" w:rsidR="0036233E" w:rsidRPr="0036233E" w:rsidRDefault="0036233E" w:rsidP="0036233E">
            <w:pPr>
              <w:spacing w:after="0" w:line="240" w:lineRule="auto"/>
              <w:rPr>
                <w:rFonts w:eastAsia="Times New Roman" w:cstheme="minorHAnsi"/>
                <w:sz w:val="24"/>
                <w:szCs w:val="24"/>
                <w:lang w:eastAsia="en-AU"/>
              </w:rPr>
            </w:pPr>
            <w:r w:rsidRPr="0036233E">
              <w:rPr>
                <w:rFonts w:eastAsia="Times New Roman" w:cstheme="minorHAnsi"/>
                <w:sz w:val="24"/>
                <w:szCs w:val="24"/>
                <w:lang w:eastAsia="en-AU"/>
              </w:rPr>
              <w:t> </w:t>
            </w:r>
          </w:p>
        </w:tc>
        <w:tc>
          <w:tcPr>
            <w:tcW w:w="1418" w:type="dxa"/>
            <w:tcBorders>
              <w:top w:val="single" w:sz="6" w:space="0" w:color="8EA9DB"/>
              <w:left w:val="single" w:sz="4" w:space="0" w:color="auto"/>
              <w:bottom w:val="single" w:sz="6" w:space="0" w:color="8EA9DB"/>
              <w:right w:val="single" w:sz="6" w:space="0" w:color="8EA9DB"/>
            </w:tcBorders>
            <w:shd w:val="clear" w:color="auto" w:fill="D9E1F2"/>
            <w:tcMar>
              <w:top w:w="15" w:type="dxa"/>
              <w:left w:w="15" w:type="dxa"/>
              <w:bottom w:w="150" w:type="dxa"/>
              <w:right w:w="15" w:type="dxa"/>
            </w:tcMar>
            <w:vAlign w:val="bottom"/>
            <w:hideMark/>
          </w:tcPr>
          <w:p w14:paraId="0E8DDA6D" w14:textId="77777777" w:rsidR="0036233E" w:rsidRPr="0036233E" w:rsidRDefault="0036233E" w:rsidP="0036233E">
            <w:pPr>
              <w:spacing w:after="0" w:line="240" w:lineRule="auto"/>
              <w:jc w:val="right"/>
              <w:rPr>
                <w:rFonts w:eastAsia="Times New Roman" w:cstheme="minorHAnsi"/>
                <w:sz w:val="24"/>
                <w:szCs w:val="24"/>
                <w:lang w:eastAsia="en-AU"/>
              </w:rPr>
            </w:pPr>
            <w:r w:rsidRPr="0036233E">
              <w:rPr>
                <w:rFonts w:eastAsia="Times New Roman" w:cstheme="minorHAnsi"/>
                <w:color w:val="000000"/>
                <w:sz w:val="24"/>
                <w:szCs w:val="24"/>
                <w:lang w:eastAsia="en-AU"/>
              </w:rPr>
              <w:t>-12.08%</w:t>
            </w:r>
          </w:p>
        </w:tc>
      </w:tr>
    </w:tbl>
    <w:p w14:paraId="22AA28B9" w14:textId="1C0B93C5" w:rsidR="0036233E" w:rsidRDefault="0036233E" w:rsidP="003576D3"/>
    <w:p w14:paraId="0330AD3C" w14:textId="34050A79" w:rsidR="0036233E" w:rsidRDefault="0036233E" w:rsidP="003576D3">
      <w:r>
        <w:t>Plotting the distribution of the data</w:t>
      </w:r>
      <w:r w:rsidR="0045270B">
        <w:t xml:space="preserve"> using the python module seaborn</w:t>
      </w:r>
      <w:r>
        <w:t xml:space="preserve"> we see that the main change has been that some of the suburbs with higher median house prices have retreated more towards the</w:t>
      </w:r>
      <w:r w:rsidR="007E0220">
        <w:t xml:space="preserve"> mean, as shown by the reduced area </w:t>
      </w:r>
      <w:r w:rsidR="0045270B">
        <w:t xml:space="preserve">to </w:t>
      </w:r>
      <w:r w:rsidR="007E0220">
        <w:t>the far right of the</w:t>
      </w:r>
      <w:r w:rsidR="0045270B">
        <w:t xml:space="preserve"> x-axis</w:t>
      </w:r>
      <w:r w:rsidR="007E0220">
        <w:t xml:space="preserve">. The decrease in standard deviation between January and April also supports this. </w:t>
      </w:r>
    </w:p>
    <w:p w14:paraId="052FBE9E" w14:textId="2AD3DFF4" w:rsidR="007E0220" w:rsidRDefault="007E0220" w:rsidP="003576D3">
      <w:r w:rsidRPr="007E0220">
        <w:rPr>
          <w:noProof/>
        </w:rPr>
        <w:drawing>
          <wp:inline distT="0" distB="0" distL="0" distR="0" wp14:anchorId="1D434E16" wp14:editId="08E02449">
            <wp:extent cx="4419600" cy="251191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9783" cy="2563172"/>
                    </a:xfrm>
                    <a:prstGeom prst="rect">
                      <a:avLst/>
                    </a:prstGeom>
                  </pic:spPr>
                </pic:pic>
              </a:graphicData>
            </a:graphic>
          </wp:inline>
        </w:drawing>
      </w:r>
    </w:p>
    <w:p w14:paraId="3E7F48F5" w14:textId="49ABB566" w:rsidR="007E0220" w:rsidRDefault="0045270B" w:rsidP="003576D3">
      <w:r>
        <w:t xml:space="preserve">In our dataset we created a new variable for each suburb, named delta, which recorded the percentage change in median house price between January and April 2020. This was plotted, to show the distribution of the variable </w:t>
      </w:r>
      <w:r w:rsidRPr="00005008">
        <w:rPr>
          <w:i/>
          <w:iCs/>
        </w:rPr>
        <w:t>delta</w:t>
      </w:r>
      <w:r>
        <w:t>, which appears to be broadly normally distributed, albeit with significant excess kurtosis</w:t>
      </w:r>
    </w:p>
    <w:p w14:paraId="145334CD" w14:textId="310FF0D9" w:rsidR="0045270B" w:rsidRDefault="0045270B" w:rsidP="003576D3">
      <w:r w:rsidRPr="0045270B">
        <w:rPr>
          <w:noProof/>
        </w:rPr>
        <w:lastRenderedPageBreak/>
        <w:drawing>
          <wp:inline distT="0" distB="0" distL="0" distR="0" wp14:anchorId="5225B754" wp14:editId="2CB37248">
            <wp:extent cx="4244844" cy="29908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4126" cy="3004436"/>
                    </a:xfrm>
                    <a:prstGeom prst="rect">
                      <a:avLst/>
                    </a:prstGeom>
                  </pic:spPr>
                </pic:pic>
              </a:graphicData>
            </a:graphic>
          </wp:inline>
        </w:drawing>
      </w:r>
    </w:p>
    <w:p w14:paraId="52264F2C" w14:textId="1B46AEB9" w:rsidR="0084698D" w:rsidRDefault="0084698D" w:rsidP="003576D3">
      <w:r w:rsidRPr="0084698D">
        <w:t xml:space="preserve">Based on this normal distribution, we were able to do a hypothesis test to see whether the </w:t>
      </w:r>
      <w:r w:rsidR="00005008">
        <w:t>mean for</w:t>
      </w:r>
      <w:r w:rsidRPr="0084698D">
        <w:t xml:space="preserve"> </w:t>
      </w:r>
      <w:r w:rsidRPr="00005008">
        <w:rPr>
          <w:i/>
          <w:iCs/>
        </w:rPr>
        <w:t>delta</w:t>
      </w:r>
      <w:r w:rsidRPr="0084698D">
        <w:t xml:space="preserve"> </w:t>
      </w:r>
      <w:r>
        <w:t>was</w:t>
      </w:r>
      <w:r w:rsidRPr="0084698D">
        <w:t xml:space="preserve"> statistically significant and </w:t>
      </w:r>
      <w:r>
        <w:t>less than</w:t>
      </w:r>
      <w:r w:rsidRPr="0084698D">
        <w:t xml:space="preserve"> 0. After testing, we determined it was statistically significant at the 90% confidence level.</w:t>
      </w:r>
    </w:p>
    <w:p w14:paraId="0FFBC6B6" w14:textId="71FC46E1" w:rsidR="0084698D" w:rsidRDefault="0084698D" w:rsidP="003576D3">
      <w:pPr>
        <w:rPr>
          <w:b/>
          <w:bCs/>
        </w:rPr>
      </w:pPr>
      <w:r w:rsidRPr="0084698D">
        <w:rPr>
          <w:b/>
          <w:bCs/>
        </w:rPr>
        <w:t>Question 2</w:t>
      </w:r>
    </w:p>
    <w:p w14:paraId="76381FB8" w14:textId="3D991EEA" w:rsidR="0084698D" w:rsidRPr="00D2522F" w:rsidRDefault="00D2522F" w:rsidP="003576D3">
      <w:r>
        <w:t xml:space="preserve">Based on our variable delta, we identified the 10 suburbs with the largest decrease, and 10 suburbs </w:t>
      </w:r>
      <w:r w:rsidR="00005008">
        <w:t xml:space="preserve">where </w:t>
      </w:r>
      <w:r w:rsidR="00005008" w:rsidRPr="00005008">
        <w:rPr>
          <w:i/>
          <w:iCs/>
        </w:rPr>
        <w:t>delta</w:t>
      </w:r>
      <w:r w:rsidR="00005008">
        <w:t xml:space="preserve"> was</w:t>
      </w:r>
      <w:r>
        <w:t xml:space="preserve"> either positive </w:t>
      </w:r>
      <w:r w:rsidR="00005008">
        <w:t>or</w:t>
      </w:r>
      <w:r>
        <w:t xml:space="preserve"> close to 0. They are shown in the table below:</w:t>
      </w:r>
    </w:p>
    <w:tbl>
      <w:tblPr>
        <w:tblW w:w="0" w:type="auto"/>
        <w:tblCellMar>
          <w:top w:w="15" w:type="dxa"/>
          <w:left w:w="15" w:type="dxa"/>
          <w:bottom w:w="15" w:type="dxa"/>
          <w:right w:w="15" w:type="dxa"/>
        </w:tblCellMar>
        <w:tblLook w:val="04A0" w:firstRow="1" w:lastRow="0" w:firstColumn="1" w:lastColumn="0" w:noHBand="0" w:noVBand="1"/>
      </w:tblPr>
      <w:tblGrid>
        <w:gridCol w:w="3678"/>
        <w:gridCol w:w="3402"/>
      </w:tblGrid>
      <w:tr w:rsidR="0084698D" w:rsidRPr="0084698D" w14:paraId="638A16E7" w14:textId="77777777" w:rsidTr="0084698D">
        <w:trPr>
          <w:trHeight w:val="598"/>
        </w:trPr>
        <w:tc>
          <w:tcPr>
            <w:tcW w:w="3678" w:type="dxa"/>
            <w:tcBorders>
              <w:top w:val="single" w:sz="6" w:space="0" w:color="8EA9DB"/>
              <w:left w:val="single" w:sz="6" w:space="0" w:color="8EA9DB"/>
              <w:bottom w:val="single" w:sz="6" w:space="0" w:color="8EA9DB"/>
              <w:right w:val="nil"/>
            </w:tcBorders>
            <w:shd w:val="clear" w:color="auto" w:fill="FFFFFF"/>
            <w:tcMar>
              <w:top w:w="15" w:type="dxa"/>
              <w:left w:w="15" w:type="dxa"/>
              <w:bottom w:w="150" w:type="dxa"/>
              <w:right w:w="15" w:type="dxa"/>
            </w:tcMar>
            <w:vAlign w:val="bottom"/>
            <w:hideMark/>
          </w:tcPr>
          <w:p w14:paraId="3E6BA4FB" w14:textId="77777777" w:rsidR="0084698D" w:rsidRPr="0084698D" w:rsidRDefault="0084698D" w:rsidP="0084698D">
            <w:pPr>
              <w:spacing w:after="0" w:line="240" w:lineRule="auto"/>
              <w:rPr>
                <w:rFonts w:ascii="Times New Roman" w:eastAsia="Times New Roman" w:hAnsi="Times New Roman" w:cs="Times New Roman"/>
                <w:sz w:val="24"/>
                <w:szCs w:val="24"/>
                <w:lang w:eastAsia="en-AU"/>
              </w:rPr>
            </w:pPr>
            <w:r w:rsidRPr="0084698D">
              <w:rPr>
                <w:rFonts w:ascii="Times New Roman" w:eastAsia="Times New Roman" w:hAnsi="Times New Roman" w:cs="Times New Roman"/>
                <w:sz w:val="24"/>
                <w:szCs w:val="24"/>
                <w:lang w:eastAsia="en-AU"/>
              </w:rPr>
              <w:t> </w:t>
            </w:r>
          </w:p>
          <w:p w14:paraId="42A51883" w14:textId="77777777" w:rsidR="0084698D" w:rsidRPr="0084698D" w:rsidRDefault="0084698D" w:rsidP="0084698D">
            <w:pPr>
              <w:spacing w:after="0" w:line="240" w:lineRule="auto"/>
              <w:rPr>
                <w:rFonts w:ascii="Times New Roman" w:eastAsia="Times New Roman" w:hAnsi="Times New Roman" w:cs="Times New Roman"/>
                <w:sz w:val="24"/>
                <w:szCs w:val="24"/>
                <w:lang w:eastAsia="en-AU"/>
              </w:rPr>
            </w:pPr>
            <w:r w:rsidRPr="0084698D">
              <w:rPr>
                <w:rFonts w:ascii="Arial" w:eastAsia="Times New Roman" w:hAnsi="Arial" w:cs="Arial"/>
                <w:b/>
                <w:bCs/>
                <w:color w:val="000000"/>
                <w:sz w:val="28"/>
                <w:szCs w:val="28"/>
                <w:lang w:eastAsia="en-AU"/>
              </w:rPr>
              <w:t>Most Affected</w:t>
            </w:r>
          </w:p>
        </w:tc>
        <w:tc>
          <w:tcPr>
            <w:tcW w:w="3402" w:type="dxa"/>
            <w:tcBorders>
              <w:top w:val="single" w:sz="6" w:space="0" w:color="8EA9DB"/>
              <w:left w:val="nil"/>
              <w:bottom w:val="single" w:sz="6" w:space="0" w:color="8EA9DB"/>
              <w:right w:val="single" w:sz="6" w:space="0" w:color="8EA9DB"/>
            </w:tcBorders>
            <w:shd w:val="clear" w:color="auto" w:fill="FFFFFF"/>
            <w:tcMar>
              <w:top w:w="15" w:type="dxa"/>
              <w:left w:w="15" w:type="dxa"/>
              <w:bottom w:w="150" w:type="dxa"/>
              <w:right w:w="15" w:type="dxa"/>
            </w:tcMar>
            <w:vAlign w:val="bottom"/>
            <w:hideMark/>
          </w:tcPr>
          <w:p w14:paraId="52AA1F92" w14:textId="77777777" w:rsidR="0084698D" w:rsidRPr="0084698D" w:rsidRDefault="0084698D" w:rsidP="0084698D">
            <w:pPr>
              <w:spacing w:after="0" w:line="240" w:lineRule="auto"/>
              <w:rPr>
                <w:rFonts w:ascii="Times New Roman" w:eastAsia="Times New Roman" w:hAnsi="Times New Roman" w:cs="Times New Roman"/>
                <w:sz w:val="24"/>
                <w:szCs w:val="24"/>
                <w:lang w:eastAsia="en-AU"/>
              </w:rPr>
            </w:pPr>
            <w:r w:rsidRPr="0084698D">
              <w:rPr>
                <w:rFonts w:ascii="Arial" w:eastAsia="Times New Roman" w:hAnsi="Arial" w:cs="Arial"/>
                <w:b/>
                <w:bCs/>
                <w:color w:val="000000"/>
                <w:sz w:val="28"/>
                <w:szCs w:val="28"/>
                <w:lang w:eastAsia="en-AU"/>
              </w:rPr>
              <w:t>Least Affected</w:t>
            </w:r>
          </w:p>
        </w:tc>
      </w:tr>
      <w:tr w:rsidR="0084698D" w:rsidRPr="0084698D" w14:paraId="303A9CB8" w14:textId="77777777" w:rsidTr="0084698D">
        <w:trPr>
          <w:trHeight w:val="57"/>
        </w:trPr>
        <w:tc>
          <w:tcPr>
            <w:tcW w:w="3678" w:type="dxa"/>
            <w:tcBorders>
              <w:top w:val="single" w:sz="6" w:space="0" w:color="8EA9DB"/>
              <w:left w:val="single" w:sz="6" w:space="0" w:color="8EA9DB"/>
              <w:bottom w:val="single" w:sz="6" w:space="0" w:color="8EA9DB"/>
              <w:right w:val="nil"/>
            </w:tcBorders>
            <w:shd w:val="clear" w:color="auto" w:fill="D9E1F2"/>
            <w:tcMar>
              <w:top w:w="15" w:type="dxa"/>
              <w:left w:w="15" w:type="dxa"/>
              <w:bottom w:w="150" w:type="dxa"/>
              <w:right w:w="15" w:type="dxa"/>
            </w:tcMar>
            <w:vAlign w:val="bottom"/>
            <w:hideMark/>
          </w:tcPr>
          <w:p w14:paraId="439D8737" w14:textId="77777777" w:rsidR="0084698D" w:rsidRPr="0084698D" w:rsidRDefault="0084698D" w:rsidP="0084698D">
            <w:pPr>
              <w:spacing w:after="0" w:line="240" w:lineRule="auto"/>
              <w:rPr>
                <w:rFonts w:eastAsia="Times New Roman" w:cstheme="minorHAnsi"/>
                <w:sz w:val="24"/>
                <w:szCs w:val="24"/>
                <w:lang w:eastAsia="en-AU"/>
              </w:rPr>
            </w:pPr>
            <w:r w:rsidRPr="0084698D">
              <w:rPr>
                <w:rFonts w:eastAsia="Times New Roman" w:cstheme="minorHAnsi"/>
                <w:color w:val="595959"/>
                <w:sz w:val="20"/>
                <w:szCs w:val="20"/>
                <w:lang w:eastAsia="en-AU"/>
              </w:rPr>
              <w:t>St Kilda</w:t>
            </w:r>
          </w:p>
        </w:tc>
        <w:tc>
          <w:tcPr>
            <w:tcW w:w="3402" w:type="dxa"/>
            <w:tcBorders>
              <w:top w:val="single" w:sz="6" w:space="0" w:color="8EA9DB"/>
              <w:left w:val="nil"/>
              <w:bottom w:val="single" w:sz="6" w:space="0" w:color="8EA9DB"/>
              <w:right w:val="single" w:sz="6" w:space="0" w:color="8EA9DB"/>
            </w:tcBorders>
            <w:shd w:val="clear" w:color="auto" w:fill="D9E1F2"/>
            <w:tcMar>
              <w:top w:w="15" w:type="dxa"/>
              <w:left w:w="15" w:type="dxa"/>
              <w:bottom w:w="150" w:type="dxa"/>
              <w:right w:w="15" w:type="dxa"/>
            </w:tcMar>
            <w:vAlign w:val="bottom"/>
            <w:hideMark/>
          </w:tcPr>
          <w:p w14:paraId="0D592705" w14:textId="77777777" w:rsidR="0084698D" w:rsidRPr="0084698D" w:rsidRDefault="0084698D" w:rsidP="0084698D">
            <w:pPr>
              <w:spacing w:after="0" w:line="240" w:lineRule="auto"/>
              <w:rPr>
                <w:rFonts w:eastAsia="Times New Roman" w:cstheme="minorHAnsi"/>
                <w:sz w:val="24"/>
                <w:szCs w:val="24"/>
                <w:lang w:eastAsia="en-AU"/>
              </w:rPr>
            </w:pPr>
            <w:r w:rsidRPr="0084698D">
              <w:rPr>
                <w:rFonts w:eastAsia="Times New Roman" w:cstheme="minorHAnsi"/>
                <w:color w:val="595959"/>
                <w:sz w:val="20"/>
                <w:szCs w:val="20"/>
                <w:lang w:eastAsia="en-AU"/>
              </w:rPr>
              <w:t>Lower Plenty</w:t>
            </w:r>
          </w:p>
        </w:tc>
      </w:tr>
      <w:tr w:rsidR="0084698D" w:rsidRPr="0084698D" w14:paraId="498B56CE" w14:textId="77777777" w:rsidTr="0084698D">
        <w:trPr>
          <w:trHeight w:val="57"/>
        </w:trPr>
        <w:tc>
          <w:tcPr>
            <w:tcW w:w="3678" w:type="dxa"/>
            <w:tcBorders>
              <w:top w:val="single" w:sz="6" w:space="0" w:color="8EA9DB"/>
              <w:left w:val="single" w:sz="6" w:space="0" w:color="8EA9DB"/>
              <w:bottom w:val="single" w:sz="6" w:space="0" w:color="8EA9DB"/>
              <w:right w:val="nil"/>
            </w:tcBorders>
            <w:tcMar>
              <w:top w:w="15" w:type="dxa"/>
              <w:left w:w="15" w:type="dxa"/>
              <w:bottom w:w="150" w:type="dxa"/>
              <w:right w:w="15" w:type="dxa"/>
            </w:tcMar>
            <w:vAlign w:val="bottom"/>
            <w:hideMark/>
          </w:tcPr>
          <w:p w14:paraId="539B17A2" w14:textId="77777777" w:rsidR="0084698D" w:rsidRPr="0084698D" w:rsidRDefault="0084698D" w:rsidP="0084698D">
            <w:pPr>
              <w:spacing w:after="0" w:line="240" w:lineRule="auto"/>
              <w:rPr>
                <w:rFonts w:eastAsia="Times New Roman" w:cstheme="minorHAnsi"/>
                <w:sz w:val="24"/>
                <w:szCs w:val="24"/>
                <w:lang w:eastAsia="en-AU"/>
              </w:rPr>
            </w:pPr>
            <w:r w:rsidRPr="0084698D">
              <w:rPr>
                <w:rFonts w:eastAsia="Times New Roman" w:cstheme="minorHAnsi"/>
                <w:color w:val="595959"/>
                <w:sz w:val="20"/>
                <w:szCs w:val="20"/>
                <w:lang w:eastAsia="en-AU"/>
              </w:rPr>
              <w:t>Malvern</w:t>
            </w:r>
          </w:p>
        </w:tc>
        <w:tc>
          <w:tcPr>
            <w:tcW w:w="3402" w:type="dxa"/>
            <w:tcBorders>
              <w:top w:val="single" w:sz="6" w:space="0" w:color="8EA9DB"/>
              <w:left w:val="nil"/>
              <w:bottom w:val="single" w:sz="6" w:space="0" w:color="8EA9DB"/>
              <w:right w:val="single" w:sz="6" w:space="0" w:color="8EA9DB"/>
            </w:tcBorders>
            <w:tcMar>
              <w:top w:w="15" w:type="dxa"/>
              <w:left w:w="15" w:type="dxa"/>
              <w:bottom w:w="150" w:type="dxa"/>
              <w:right w:w="15" w:type="dxa"/>
            </w:tcMar>
            <w:vAlign w:val="bottom"/>
            <w:hideMark/>
          </w:tcPr>
          <w:p w14:paraId="7FE6850E" w14:textId="77777777" w:rsidR="0084698D" w:rsidRPr="0084698D" w:rsidRDefault="0084698D" w:rsidP="0084698D">
            <w:pPr>
              <w:spacing w:after="0" w:line="240" w:lineRule="auto"/>
              <w:rPr>
                <w:rFonts w:eastAsia="Times New Roman" w:cstheme="minorHAnsi"/>
                <w:sz w:val="24"/>
                <w:szCs w:val="24"/>
                <w:lang w:eastAsia="en-AU"/>
              </w:rPr>
            </w:pPr>
            <w:r w:rsidRPr="0084698D">
              <w:rPr>
                <w:rFonts w:eastAsia="Times New Roman" w:cstheme="minorHAnsi"/>
                <w:color w:val="595959"/>
                <w:sz w:val="20"/>
                <w:szCs w:val="20"/>
                <w:lang w:eastAsia="en-AU"/>
              </w:rPr>
              <w:t>Carrum</w:t>
            </w:r>
          </w:p>
        </w:tc>
      </w:tr>
      <w:tr w:rsidR="0084698D" w:rsidRPr="0084698D" w14:paraId="691B7AD6" w14:textId="77777777" w:rsidTr="0084698D">
        <w:trPr>
          <w:trHeight w:val="57"/>
        </w:trPr>
        <w:tc>
          <w:tcPr>
            <w:tcW w:w="3678" w:type="dxa"/>
            <w:tcBorders>
              <w:top w:val="single" w:sz="6" w:space="0" w:color="8EA9DB"/>
              <w:left w:val="single" w:sz="6" w:space="0" w:color="8EA9DB"/>
              <w:bottom w:val="single" w:sz="6" w:space="0" w:color="8EA9DB"/>
              <w:right w:val="nil"/>
            </w:tcBorders>
            <w:shd w:val="clear" w:color="auto" w:fill="D9E1F2"/>
            <w:tcMar>
              <w:top w:w="15" w:type="dxa"/>
              <w:left w:w="15" w:type="dxa"/>
              <w:bottom w:w="150" w:type="dxa"/>
              <w:right w:w="15" w:type="dxa"/>
            </w:tcMar>
            <w:vAlign w:val="bottom"/>
            <w:hideMark/>
          </w:tcPr>
          <w:p w14:paraId="018E0C42" w14:textId="77777777" w:rsidR="0084698D" w:rsidRPr="0084698D" w:rsidRDefault="0084698D" w:rsidP="0084698D">
            <w:pPr>
              <w:spacing w:after="0" w:line="240" w:lineRule="auto"/>
              <w:rPr>
                <w:rFonts w:eastAsia="Times New Roman" w:cstheme="minorHAnsi"/>
                <w:sz w:val="24"/>
                <w:szCs w:val="24"/>
                <w:lang w:eastAsia="en-AU"/>
              </w:rPr>
            </w:pPr>
            <w:r w:rsidRPr="0084698D">
              <w:rPr>
                <w:rFonts w:eastAsia="Times New Roman" w:cstheme="minorHAnsi"/>
                <w:color w:val="595959"/>
                <w:sz w:val="20"/>
                <w:szCs w:val="20"/>
                <w:lang w:eastAsia="en-AU"/>
              </w:rPr>
              <w:t>Armadale</w:t>
            </w:r>
          </w:p>
        </w:tc>
        <w:tc>
          <w:tcPr>
            <w:tcW w:w="3402" w:type="dxa"/>
            <w:tcBorders>
              <w:top w:val="single" w:sz="6" w:space="0" w:color="8EA9DB"/>
              <w:left w:val="nil"/>
              <w:bottom w:val="single" w:sz="6" w:space="0" w:color="8EA9DB"/>
              <w:right w:val="single" w:sz="6" w:space="0" w:color="8EA9DB"/>
            </w:tcBorders>
            <w:shd w:val="clear" w:color="auto" w:fill="D9E1F2"/>
            <w:tcMar>
              <w:top w:w="15" w:type="dxa"/>
              <w:left w:w="15" w:type="dxa"/>
              <w:bottom w:w="150" w:type="dxa"/>
              <w:right w:w="15" w:type="dxa"/>
            </w:tcMar>
            <w:vAlign w:val="bottom"/>
            <w:hideMark/>
          </w:tcPr>
          <w:p w14:paraId="58B31438" w14:textId="18490F37" w:rsidR="0084698D" w:rsidRPr="0084698D" w:rsidRDefault="0084698D" w:rsidP="0084698D">
            <w:pPr>
              <w:spacing w:after="0" w:line="240" w:lineRule="auto"/>
              <w:rPr>
                <w:rFonts w:eastAsia="Times New Roman" w:cstheme="minorHAnsi"/>
                <w:sz w:val="24"/>
                <w:szCs w:val="24"/>
                <w:lang w:eastAsia="en-AU"/>
              </w:rPr>
            </w:pPr>
            <w:r w:rsidRPr="0084698D">
              <w:rPr>
                <w:rFonts w:eastAsia="Times New Roman" w:cstheme="minorHAnsi"/>
                <w:color w:val="595959"/>
                <w:sz w:val="20"/>
                <w:szCs w:val="20"/>
                <w:lang w:eastAsia="en-AU"/>
              </w:rPr>
              <w:t>Fitzroy North</w:t>
            </w:r>
          </w:p>
        </w:tc>
      </w:tr>
      <w:tr w:rsidR="0084698D" w:rsidRPr="0084698D" w14:paraId="1EF1CAA6" w14:textId="77777777" w:rsidTr="0084698D">
        <w:trPr>
          <w:trHeight w:val="57"/>
        </w:trPr>
        <w:tc>
          <w:tcPr>
            <w:tcW w:w="3678" w:type="dxa"/>
            <w:tcBorders>
              <w:top w:val="single" w:sz="6" w:space="0" w:color="8EA9DB"/>
              <w:left w:val="single" w:sz="6" w:space="0" w:color="8EA9DB"/>
              <w:bottom w:val="single" w:sz="6" w:space="0" w:color="8EA9DB"/>
              <w:right w:val="nil"/>
            </w:tcBorders>
            <w:tcMar>
              <w:top w:w="15" w:type="dxa"/>
              <w:left w:w="15" w:type="dxa"/>
              <w:bottom w:w="150" w:type="dxa"/>
              <w:right w:w="15" w:type="dxa"/>
            </w:tcMar>
            <w:vAlign w:val="bottom"/>
            <w:hideMark/>
          </w:tcPr>
          <w:p w14:paraId="5E44636B" w14:textId="77777777" w:rsidR="0084698D" w:rsidRPr="0084698D" w:rsidRDefault="0084698D" w:rsidP="0084698D">
            <w:pPr>
              <w:spacing w:after="0" w:line="240" w:lineRule="auto"/>
              <w:rPr>
                <w:rFonts w:eastAsia="Times New Roman" w:cstheme="minorHAnsi"/>
                <w:sz w:val="24"/>
                <w:szCs w:val="24"/>
                <w:lang w:eastAsia="en-AU"/>
              </w:rPr>
            </w:pPr>
            <w:r w:rsidRPr="0084698D">
              <w:rPr>
                <w:rFonts w:eastAsia="Times New Roman" w:cstheme="minorHAnsi"/>
                <w:color w:val="595959"/>
                <w:sz w:val="20"/>
                <w:szCs w:val="20"/>
                <w:lang w:eastAsia="en-AU"/>
              </w:rPr>
              <w:t>Albert Park</w:t>
            </w:r>
          </w:p>
        </w:tc>
        <w:tc>
          <w:tcPr>
            <w:tcW w:w="3402" w:type="dxa"/>
            <w:tcBorders>
              <w:top w:val="single" w:sz="6" w:space="0" w:color="8EA9DB"/>
              <w:left w:val="nil"/>
              <w:bottom w:val="single" w:sz="6" w:space="0" w:color="8EA9DB"/>
              <w:right w:val="single" w:sz="6" w:space="0" w:color="8EA9DB"/>
            </w:tcBorders>
            <w:tcMar>
              <w:top w:w="15" w:type="dxa"/>
              <w:left w:w="15" w:type="dxa"/>
              <w:bottom w:w="150" w:type="dxa"/>
              <w:right w:w="15" w:type="dxa"/>
            </w:tcMar>
            <w:vAlign w:val="bottom"/>
            <w:hideMark/>
          </w:tcPr>
          <w:p w14:paraId="00A6ED7F" w14:textId="77777777" w:rsidR="0084698D" w:rsidRPr="0084698D" w:rsidRDefault="0084698D" w:rsidP="0084698D">
            <w:pPr>
              <w:spacing w:after="0" w:line="240" w:lineRule="auto"/>
              <w:rPr>
                <w:rFonts w:eastAsia="Times New Roman" w:cstheme="minorHAnsi"/>
                <w:sz w:val="24"/>
                <w:szCs w:val="24"/>
                <w:lang w:eastAsia="en-AU"/>
              </w:rPr>
            </w:pPr>
            <w:r w:rsidRPr="0084698D">
              <w:rPr>
                <w:rFonts w:eastAsia="Times New Roman" w:cstheme="minorHAnsi"/>
                <w:color w:val="595959"/>
                <w:sz w:val="20"/>
                <w:szCs w:val="20"/>
                <w:lang w:eastAsia="en-AU"/>
              </w:rPr>
              <w:t>Toorak</w:t>
            </w:r>
          </w:p>
        </w:tc>
      </w:tr>
      <w:tr w:rsidR="0084698D" w:rsidRPr="0084698D" w14:paraId="437B9BCF" w14:textId="77777777" w:rsidTr="0084698D">
        <w:trPr>
          <w:trHeight w:val="57"/>
        </w:trPr>
        <w:tc>
          <w:tcPr>
            <w:tcW w:w="3678" w:type="dxa"/>
            <w:tcBorders>
              <w:top w:val="single" w:sz="6" w:space="0" w:color="8EA9DB"/>
              <w:left w:val="single" w:sz="6" w:space="0" w:color="8EA9DB"/>
              <w:bottom w:val="single" w:sz="6" w:space="0" w:color="8EA9DB"/>
              <w:right w:val="nil"/>
            </w:tcBorders>
            <w:shd w:val="clear" w:color="auto" w:fill="D9E1F2"/>
            <w:tcMar>
              <w:top w:w="15" w:type="dxa"/>
              <w:left w:w="15" w:type="dxa"/>
              <w:bottom w:w="150" w:type="dxa"/>
              <w:right w:w="15" w:type="dxa"/>
            </w:tcMar>
            <w:vAlign w:val="bottom"/>
            <w:hideMark/>
          </w:tcPr>
          <w:p w14:paraId="3CF80DE9" w14:textId="77777777" w:rsidR="0084698D" w:rsidRPr="0084698D" w:rsidRDefault="0084698D" w:rsidP="0084698D">
            <w:pPr>
              <w:spacing w:after="0" w:line="240" w:lineRule="auto"/>
              <w:rPr>
                <w:rFonts w:eastAsia="Times New Roman" w:cstheme="minorHAnsi"/>
                <w:sz w:val="24"/>
                <w:szCs w:val="24"/>
                <w:lang w:eastAsia="en-AU"/>
              </w:rPr>
            </w:pPr>
            <w:r w:rsidRPr="0084698D">
              <w:rPr>
                <w:rFonts w:eastAsia="Times New Roman" w:cstheme="minorHAnsi"/>
                <w:color w:val="595959"/>
                <w:sz w:val="20"/>
                <w:szCs w:val="20"/>
                <w:lang w:eastAsia="en-AU"/>
              </w:rPr>
              <w:t>Strathmore</w:t>
            </w:r>
          </w:p>
        </w:tc>
        <w:tc>
          <w:tcPr>
            <w:tcW w:w="3402" w:type="dxa"/>
            <w:tcBorders>
              <w:top w:val="single" w:sz="6" w:space="0" w:color="8EA9DB"/>
              <w:left w:val="nil"/>
              <w:bottom w:val="single" w:sz="6" w:space="0" w:color="8EA9DB"/>
              <w:right w:val="single" w:sz="6" w:space="0" w:color="8EA9DB"/>
            </w:tcBorders>
            <w:shd w:val="clear" w:color="auto" w:fill="D9E1F2"/>
            <w:tcMar>
              <w:top w:w="15" w:type="dxa"/>
              <w:left w:w="15" w:type="dxa"/>
              <w:bottom w:w="150" w:type="dxa"/>
              <w:right w:w="15" w:type="dxa"/>
            </w:tcMar>
            <w:vAlign w:val="bottom"/>
            <w:hideMark/>
          </w:tcPr>
          <w:p w14:paraId="133A6D31" w14:textId="77777777" w:rsidR="0084698D" w:rsidRPr="0084698D" w:rsidRDefault="0084698D" w:rsidP="0084698D">
            <w:pPr>
              <w:spacing w:after="0" w:line="240" w:lineRule="auto"/>
              <w:rPr>
                <w:rFonts w:eastAsia="Times New Roman" w:cstheme="minorHAnsi"/>
                <w:sz w:val="24"/>
                <w:szCs w:val="24"/>
                <w:lang w:eastAsia="en-AU"/>
              </w:rPr>
            </w:pPr>
            <w:r w:rsidRPr="0084698D">
              <w:rPr>
                <w:rFonts w:eastAsia="Times New Roman" w:cstheme="minorHAnsi"/>
                <w:color w:val="595959"/>
                <w:sz w:val="20"/>
                <w:szCs w:val="20"/>
                <w:lang w:eastAsia="en-AU"/>
              </w:rPr>
              <w:t>Melton West</w:t>
            </w:r>
          </w:p>
        </w:tc>
      </w:tr>
      <w:tr w:rsidR="0084698D" w:rsidRPr="0084698D" w14:paraId="05C48214" w14:textId="77777777" w:rsidTr="0084698D">
        <w:trPr>
          <w:trHeight w:val="57"/>
        </w:trPr>
        <w:tc>
          <w:tcPr>
            <w:tcW w:w="3678" w:type="dxa"/>
            <w:tcBorders>
              <w:top w:val="single" w:sz="6" w:space="0" w:color="8EA9DB"/>
              <w:left w:val="single" w:sz="6" w:space="0" w:color="8EA9DB"/>
              <w:bottom w:val="single" w:sz="6" w:space="0" w:color="8EA9DB"/>
              <w:right w:val="nil"/>
            </w:tcBorders>
            <w:tcMar>
              <w:top w:w="15" w:type="dxa"/>
              <w:left w:w="15" w:type="dxa"/>
              <w:bottom w:w="150" w:type="dxa"/>
              <w:right w:w="15" w:type="dxa"/>
            </w:tcMar>
            <w:vAlign w:val="bottom"/>
            <w:hideMark/>
          </w:tcPr>
          <w:p w14:paraId="78153813" w14:textId="77777777" w:rsidR="0084698D" w:rsidRPr="0084698D" w:rsidRDefault="0084698D" w:rsidP="0084698D">
            <w:pPr>
              <w:spacing w:after="0" w:line="240" w:lineRule="auto"/>
              <w:rPr>
                <w:rFonts w:eastAsia="Times New Roman" w:cstheme="minorHAnsi"/>
                <w:sz w:val="24"/>
                <w:szCs w:val="24"/>
                <w:lang w:eastAsia="en-AU"/>
              </w:rPr>
            </w:pPr>
            <w:r w:rsidRPr="0084698D">
              <w:rPr>
                <w:rFonts w:eastAsia="Times New Roman" w:cstheme="minorHAnsi"/>
                <w:color w:val="595959"/>
                <w:sz w:val="20"/>
                <w:szCs w:val="20"/>
                <w:lang w:eastAsia="en-AU"/>
              </w:rPr>
              <w:t>Fitzroy</w:t>
            </w:r>
          </w:p>
        </w:tc>
        <w:tc>
          <w:tcPr>
            <w:tcW w:w="3402" w:type="dxa"/>
            <w:tcBorders>
              <w:top w:val="single" w:sz="6" w:space="0" w:color="8EA9DB"/>
              <w:left w:val="nil"/>
              <w:bottom w:val="single" w:sz="6" w:space="0" w:color="8EA9DB"/>
              <w:right w:val="single" w:sz="6" w:space="0" w:color="8EA9DB"/>
            </w:tcBorders>
            <w:tcMar>
              <w:top w:w="15" w:type="dxa"/>
              <w:left w:w="15" w:type="dxa"/>
              <w:bottom w:w="150" w:type="dxa"/>
              <w:right w:w="15" w:type="dxa"/>
            </w:tcMar>
            <w:vAlign w:val="bottom"/>
            <w:hideMark/>
          </w:tcPr>
          <w:p w14:paraId="611535F9" w14:textId="77777777" w:rsidR="0084698D" w:rsidRPr="0084698D" w:rsidRDefault="0084698D" w:rsidP="0084698D">
            <w:pPr>
              <w:spacing w:after="0" w:line="240" w:lineRule="auto"/>
              <w:rPr>
                <w:rFonts w:eastAsia="Times New Roman" w:cstheme="minorHAnsi"/>
                <w:sz w:val="24"/>
                <w:szCs w:val="24"/>
                <w:lang w:eastAsia="en-AU"/>
              </w:rPr>
            </w:pPr>
            <w:r w:rsidRPr="0084698D">
              <w:rPr>
                <w:rFonts w:eastAsia="Times New Roman" w:cstheme="minorHAnsi"/>
                <w:color w:val="595959"/>
                <w:sz w:val="20"/>
                <w:szCs w:val="20"/>
                <w:lang w:eastAsia="en-AU"/>
              </w:rPr>
              <w:t>Ascot Vale</w:t>
            </w:r>
          </w:p>
        </w:tc>
      </w:tr>
      <w:tr w:rsidR="0084698D" w:rsidRPr="0084698D" w14:paraId="5119F1BA" w14:textId="77777777" w:rsidTr="0084698D">
        <w:trPr>
          <w:trHeight w:val="57"/>
        </w:trPr>
        <w:tc>
          <w:tcPr>
            <w:tcW w:w="3678" w:type="dxa"/>
            <w:tcBorders>
              <w:top w:val="single" w:sz="6" w:space="0" w:color="8EA9DB"/>
              <w:left w:val="single" w:sz="6" w:space="0" w:color="8EA9DB"/>
              <w:bottom w:val="single" w:sz="6" w:space="0" w:color="8EA9DB"/>
              <w:right w:val="nil"/>
            </w:tcBorders>
            <w:shd w:val="clear" w:color="auto" w:fill="D9E1F2"/>
            <w:tcMar>
              <w:top w:w="15" w:type="dxa"/>
              <w:left w:w="15" w:type="dxa"/>
              <w:bottom w:w="150" w:type="dxa"/>
              <w:right w:w="15" w:type="dxa"/>
            </w:tcMar>
            <w:vAlign w:val="bottom"/>
            <w:hideMark/>
          </w:tcPr>
          <w:p w14:paraId="5EBEECF7" w14:textId="77777777" w:rsidR="0084698D" w:rsidRPr="0084698D" w:rsidRDefault="0084698D" w:rsidP="0084698D">
            <w:pPr>
              <w:spacing w:after="0" w:line="240" w:lineRule="auto"/>
              <w:rPr>
                <w:rFonts w:eastAsia="Times New Roman" w:cstheme="minorHAnsi"/>
                <w:sz w:val="24"/>
                <w:szCs w:val="24"/>
                <w:lang w:eastAsia="en-AU"/>
              </w:rPr>
            </w:pPr>
            <w:r w:rsidRPr="0084698D">
              <w:rPr>
                <w:rFonts w:eastAsia="Times New Roman" w:cstheme="minorHAnsi"/>
                <w:color w:val="595959"/>
                <w:sz w:val="20"/>
                <w:szCs w:val="20"/>
                <w:lang w:eastAsia="en-AU"/>
              </w:rPr>
              <w:t>Clayton</w:t>
            </w:r>
          </w:p>
        </w:tc>
        <w:tc>
          <w:tcPr>
            <w:tcW w:w="3402" w:type="dxa"/>
            <w:tcBorders>
              <w:top w:val="single" w:sz="6" w:space="0" w:color="8EA9DB"/>
              <w:left w:val="nil"/>
              <w:bottom w:val="single" w:sz="6" w:space="0" w:color="8EA9DB"/>
              <w:right w:val="single" w:sz="6" w:space="0" w:color="8EA9DB"/>
            </w:tcBorders>
            <w:shd w:val="clear" w:color="auto" w:fill="D9E1F2"/>
            <w:tcMar>
              <w:top w:w="15" w:type="dxa"/>
              <w:left w:w="15" w:type="dxa"/>
              <w:bottom w:w="150" w:type="dxa"/>
              <w:right w:w="15" w:type="dxa"/>
            </w:tcMar>
            <w:vAlign w:val="bottom"/>
            <w:hideMark/>
          </w:tcPr>
          <w:p w14:paraId="5D95A64E" w14:textId="77777777" w:rsidR="0084698D" w:rsidRPr="0084698D" w:rsidRDefault="0084698D" w:rsidP="0084698D">
            <w:pPr>
              <w:spacing w:after="0" w:line="240" w:lineRule="auto"/>
              <w:rPr>
                <w:rFonts w:eastAsia="Times New Roman" w:cstheme="minorHAnsi"/>
                <w:sz w:val="24"/>
                <w:szCs w:val="24"/>
                <w:lang w:eastAsia="en-AU"/>
              </w:rPr>
            </w:pPr>
            <w:r w:rsidRPr="0084698D">
              <w:rPr>
                <w:rFonts w:eastAsia="Times New Roman" w:cstheme="minorHAnsi"/>
                <w:color w:val="595959"/>
                <w:sz w:val="20"/>
                <w:szCs w:val="20"/>
                <w:lang w:eastAsia="en-AU"/>
              </w:rPr>
              <w:t>Williamstown</w:t>
            </w:r>
          </w:p>
        </w:tc>
      </w:tr>
      <w:tr w:rsidR="0084698D" w:rsidRPr="0084698D" w14:paraId="4A4F71C6" w14:textId="77777777" w:rsidTr="0084698D">
        <w:trPr>
          <w:trHeight w:val="57"/>
        </w:trPr>
        <w:tc>
          <w:tcPr>
            <w:tcW w:w="3678" w:type="dxa"/>
            <w:tcBorders>
              <w:top w:val="single" w:sz="6" w:space="0" w:color="8EA9DB"/>
              <w:left w:val="single" w:sz="6" w:space="0" w:color="8EA9DB"/>
              <w:bottom w:val="single" w:sz="6" w:space="0" w:color="8EA9DB"/>
              <w:right w:val="nil"/>
            </w:tcBorders>
            <w:tcMar>
              <w:top w:w="15" w:type="dxa"/>
              <w:left w:w="15" w:type="dxa"/>
              <w:bottom w:w="150" w:type="dxa"/>
              <w:right w:w="15" w:type="dxa"/>
            </w:tcMar>
            <w:vAlign w:val="bottom"/>
            <w:hideMark/>
          </w:tcPr>
          <w:p w14:paraId="6B5B3BEB" w14:textId="77777777" w:rsidR="0084698D" w:rsidRPr="0084698D" w:rsidRDefault="0084698D" w:rsidP="0084698D">
            <w:pPr>
              <w:spacing w:after="0" w:line="240" w:lineRule="auto"/>
              <w:rPr>
                <w:rFonts w:eastAsia="Times New Roman" w:cstheme="minorHAnsi"/>
                <w:sz w:val="24"/>
                <w:szCs w:val="24"/>
                <w:lang w:eastAsia="en-AU"/>
              </w:rPr>
            </w:pPr>
            <w:r w:rsidRPr="0084698D">
              <w:rPr>
                <w:rFonts w:eastAsia="Times New Roman" w:cstheme="minorHAnsi"/>
                <w:color w:val="595959"/>
                <w:sz w:val="20"/>
                <w:szCs w:val="20"/>
                <w:lang w:eastAsia="en-AU"/>
              </w:rPr>
              <w:t>Warrandyte</w:t>
            </w:r>
          </w:p>
        </w:tc>
        <w:tc>
          <w:tcPr>
            <w:tcW w:w="3402" w:type="dxa"/>
            <w:tcBorders>
              <w:top w:val="single" w:sz="6" w:space="0" w:color="8EA9DB"/>
              <w:left w:val="nil"/>
              <w:bottom w:val="single" w:sz="6" w:space="0" w:color="8EA9DB"/>
              <w:right w:val="single" w:sz="6" w:space="0" w:color="8EA9DB"/>
            </w:tcBorders>
            <w:tcMar>
              <w:top w:w="15" w:type="dxa"/>
              <w:left w:w="15" w:type="dxa"/>
              <w:bottom w:w="150" w:type="dxa"/>
              <w:right w:w="15" w:type="dxa"/>
            </w:tcMar>
            <w:vAlign w:val="bottom"/>
            <w:hideMark/>
          </w:tcPr>
          <w:p w14:paraId="26168DED" w14:textId="77777777" w:rsidR="0084698D" w:rsidRPr="0084698D" w:rsidRDefault="0084698D" w:rsidP="0084698D">
            <w:pPr>
              <w:spacing w:after="0" w:line="240" w:lineRule="auto"/>
              <w:rPr>
                <w:rFonts w:eastAsia="Times New Roman" w:cstheme="minorHAnsi"/>
                <w:sz w:val="24"/>
                <w:szCs w:val="24"/>
                <w:lang w:eastAsia="en-AU"/>
              </w:rPr>
            </w:pPr>
            <w:r w:rsidRPr="0084698D">
              <w:rPr>
                <w:rFonts w:eastAsia="Times New Roman" w:cstheme="minorHAnsi"/>
                <w:color w:val="595959"/>
                <w:sz w:val="20"/>
                <w:szCs w:val="20"/>
                <w:lang w:eastAsia="en-AU"/>
              </w:rPr>
              <w:t>Sandringham</w:t>
            </w:r>
          </w:p>
        </w:tc>
      </w:tr>
      <w:tr w:rsidR="0084698D" w:rsidRPr="0084698D" w14:paraId="3B9B49B7" w14:textId="77777777" w:rsidTr="0084698D">
        <w:trPr>
          <w:trHeight w:val="57"/>
        </w:trPr>
        <w:tc>
          <w:tcPr>
            <w:tcW w:w="3678" w:type="dxa"/>
            <w:tcBorders>
              <w:top w:val="single" w:sz="6" w:space="0" w:color="8EA9DB"/>
              <w:left w:val="single" w:sz="6" w:space="0" w:color="8EA9DB"/>
              <w:bottom w:val="single" w:sz="6" w:space="0" w:color="8EA9DB"/>
              <w:right w:val="nil"/>
            </w:tcBorders>
            <w:shd w:val="clear" w:color="auto" w:fill="D9E1F2"/>
            <w:tcMar>
              <w:top w:w="15" w:type="dxa"/>
              <w:left w:w="15" w:type="dxa"/>
              <w:bottom w:w="150" w:type="dxa"/>
              <w:right w:w="15" w:type="dxa"/>
            </w:tcMar>
            <w:vAlign w:val="bottom"/>
            <w:hideMark/>
          </w:tcPr>
          <w:p w14:paraId="64CC8701" w14:textId="77777777" w:rsidR="0084698D" w:rsidRPr="0084698D" w:rsidRDefault="0084698D" w:rsidP="0084698D">
            <w:pPr>
              <w:spacing w:after="0" w:line="240" w:lineRule="auto"/>
              <w:rPr>
                <w:rFonts w:eastAsia="Times New Roman" w:cstheme="minorHAnsi"/>
                <w:sz w:val="24"/>
                <w:szCs w:val="24"/>
                <w:lang w:eastAsia="en-AU"/>
              </w:rPr>
            </w:pPr>
            <w:r w:rsidRPr="0084698D">
              <w:rPr>
                <w:rFonts w:eastAsia="Times New Roman" w:cstheme="minorHAnsi"/>
                <w:color w:val="595959"/>
                <w:sz w:val="20"/>
                <w:szCs w:val="20"/>
                <w:lang w:eastAsia="en-AU"/>
              </w:rPr>
              <w:t>Healesville</w:t>
            </w:r>
          </w:p>
        </w:tc>
        <w:tc>
          <w:tcPr>
            <w:tcW w:w="3402" w:type="dxa"/>
            <w:tcBorders>
              <w:top w:val="single" w:sz="6" w:space="0" w:color="8EA9DB"/>
              <w:left w:val="nil"/>
              <w:bottom w:val="single" w:sz="6" w:space="0" w:color="8EA9DB"/>
              <w:right w:val="single" w:sz="6" w:space="0" w:color="8EA9DB"/>
            </w:tcBorders>
            <w:shd w:val="clear" w:color="auto" w:fill="D9E1F2"/>
            <w:tcMar>
              <w:top w:w="15" w:type="dxa"/>
              <w:left w:w="15" w:type="dxa"/>
              <w:bottom w:w="150" w:type="dxa"/>
              <w:right w:w="15" w:type="dxa"/>
            </w:tcMar>
            <w:vAlign w:val="bottom"/>
            <w:hideMark/>
          </w:tcPr>
          <w:p w14:paraId="1564158C" w14:textId="77777777" w:rsidR="0084698D" w:rsidRPr="0084698D" w:rsidRDefault="0084698D" w:rsidP="0084698D">
            <w:pPr>
              <w:spacing w:after="0" w:line="240" w:lineRule="auto"/>
              <w:rPr>
                <w:rFonts w:eastAsia="Times New Roman" w:cstheme="minorHAnsi"/>
                <w:sz w:val="24"/>
                <w:szCs w:val="24"/>
                <w:lang w:eastAsia="en-AU"/>
              </w:rPr>
            </w:pPr>
            <w:r w:rsidRPr="0084698D">
              <w:rPr>
                <w:rFonts w:eastAsia="Times New Roman" w:cstheme="minorHAnsi"/>
                <w:color w:val="595959"/>
                <w:sz w:val="20"/>
                <w:szCs w:val="20"/>
                <w:lang w:eastAsia="en-AU"/>
              </w:rPr>
              <w:t>Altona</w:t>
            </w:r>
          </w:p>
        </w:tc>
      </w:tr>
      <w:tr w:rsidR="0084698D" w:rsidRPr="0084698D" w14:paraId="4AB77912" w14:textId="77777777" w:rsidTr="0084698D">
        <w:trPr>
          <w:trHeight w:val="57"/>
        </w:trPr>
        <w:tc>
          <w:tcPr>
            <w:tcW w:w="3678" w:type="dxa"/>
            <w:tcBorders>
              <w:top w:val="single" w:sz="6" w:space="0" w:color="8EA9DB"/>
              <w:left w:val="single" w:sz="6" w:space="0" w:color="8EA9DB"/>
              <w:bottom w:val="single" w:sz="6" w:space="0" w:color="8EA9DB"/>
              <w:right w:val="nil"/>
            </w:tcBorders>
            <w:tcMar>
              <w:top w:w="15" w:type="dxa"/>
              <w:left w:w="15" w:type="dxa"/>
              <w:bottom w:w="150" w:type="dxa"/>
              <w:right w:w="15" w:type="dxa"/>
            </w:tcMar>
            <w:vAlign w:val="bottom"/>
            <w:hideMark/>
          </w:tcPr>
          <w:p w14:paraId="4F67D19D" w14:textId="77777777" w:rsidR="0084698D" w:rsidRPr="0084698D" w:rsidRDefault="0084698D" w:rsidP="0084698D">
            <w:pPr>
              <w:spacing w:after="0" w:line="240" w:lineRule="auto"/>
              <w:rPr>
                <w:rFonts w:eastAsia="Times New Roman" w:cstheme="minorHAnsi"/>
                <w:sz w:val="24"/>
                <w:szCs w:val="24"/>
                <w:lang w:eastAsia="en-AU"/>
              </w:rPr>
            </w:pPr>
            <w:r w:rsidRPr="0084698D">
              <w:rPr>
                <w:rFonts w:eastAsia="Times New Roman" w:cstheme="minorHAnsi"/>
                <w:color w:val="595959"/>
                <w:sz w:val="20"/>
                <w:szCs w:val="20"/>
                <w:lang w:eastAsia="en-AU"/>
              </w:rPr>
              <w:t>Chelsea</w:t>
            </w:r>
          </w:p>
        </w:tc>
        <w:tc>
          <w:tcPr>
            <w:tcW w:w="3402" w:type="dxa"/>
            <w:tcBorders>
              <w:top w:val="single" w:sz="6" w:space="0" w:color="8EA9DB"/>
              <w:left w:val="nil"/>
              <w:bottom w:val="single" w:sz="6" w:space="0" w:color="8EA9DB"/>
              <w:right w:val="single" w:sz="6" w:space="0" w:color="8EA9DB"/>
            </w:tcBorders>
            <w:tcMar>
              <w:top w:w="15" w:type="dxa"/>
              <w:left w:w="15" w:type="dxa"/>
              <w:bottom w:w="150" w:type="dxa"/>
              <w:right w:w="15" w:type="dxa"/>
            </w:tcMar>
            <w:vAlign w:val="bottom"/>
            <w:hideMark/>
          </w:tcPr>
          <w:p w14:paraId="5CE14F99" w14:textId="77777777" w:rsidR="0084698D" w:rsidRPr="0084698D" w:rsidRDefault="0084698D" w:rsidP="0084698D">
            <w:pPr>
              <w:spacing w:after="0" w:line="240" w:lineRule="auto"/>
              <w:rPr>
                <w:rFonts w:eastAsia="Times New Roman" w:cstheme="minorHAnsi"/>
                <w:sz w:val="24"/>
                <w:szCs w:val="24"/>
                <w:lang w:eastAsia="en-AU"/>
              </w:rPr>
            </w:pPr>
            <w:r w:rsidRPr="0084698D">
              <w:rPr>
                <w:rFonts w:eastAsia="Times New Roman" w:cstheme="minorHAnsi"/>
                <w:color w:val="595959"/>
                <w:sz w:val="20"/>
                <w:szCs w:val="20"/>
                <w:lang w:eastAsia="en-AU"/>
              </w:rPr>
              <w:t>Eaglemont</w:t>
            </w:r>
          </w:p>
        </w:tc>
      </w:tr>
    </w:tbl>
    <w:p w14:paraId="5D890A74" w14:textId="655A22A5" w:rsidR="0084698D" w:rsidRDefault="0084698D" w:rsidP="003576D3"/>
    <w:p w14:paraId="3B7FD858" w14:textId="457C2AD4" w:rsidR="00D2522F" w:rsidRDefault="00D2522F" w:rsidP="003576D3">
      <w:r>
        <w:t>Producing histograms for the 10 most affected (bottom 10) and the 10 least affected (top 10) there does seem to be a difference in the proportion of young adults aged 20-39.</w:t>
      </w:r>
    </w:p>
    <w:p w14:paraId="1745A80E" w14:textId="4783F0D0" w:rsidR="00D2522F" w:rsidRDefault="00D2522F" w:rsidP="003576D3">
      <w:r>
        <w:rPr>
          <w:noProof/>
        </w:rPr>
        <w:lastRenderedPageBreak/>
        <w:drawing>
          <wp:inline distT="0" distB="0" distL="0" distR="0" wp14:anchorId="71C32103" wp14:editId="1EEF81FA">
            <wp:extent cx="30861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369" cy="2057579"/>
                    </a:xfrm>
                    <a:prstGeom prst="rect">
                      <a:avLst/>
                    </a:prstGeom>
                    <a:noFill/>
                    <a:ln>
                      <a:noFill/>
                    </a:ln>
                  </pic:spPr>
                </pic:pic>
              </a:graphicData>
            </a:graphic>
          </wp:inline>
        </w:drawing>
      </w:r>
    </w:p>
    <w:p w14:paraId="2BBA47B0" w14:textId="67913759" w:rsidR="00D2522F" w:rsidRDefault="00D2522F" w:rsidP="003576D3">
      <w:r>
        <w:t xml:space="preserve">Producing similar charts for migration and jobs requiring a tertiary education, there did seem to be some support for our hypothesis regarding migration, however there did not seem to be much difference between the top 10 and the bottom 10 when it came to the prevalence of people hilding a job requiring a tertiary education. </w:t>
      </w:r>
    </w:p>
    <w:p w14:paraId="490536DC" w14:textId="4B89D245" w:rsidR="00D2522F" w:rsidRDefault="00D2522F" w:rsidP="003576D3">
      <w:r w:rsidRPr="00D2522F">
        <w:rPr>
          <w:noProof/>
        </w:rPr>
        <w:drawing>
          <wp:inline distT="0" distB="0" distL="0" distR="0" wp14:anchorId="08732F0B" wp14:editId="70FD96A9">
            <wp:extent cx="5731510" cy="18542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54200"/>
                    </a:xfrm>
                    <a:prstGeom prst="rect">
                      <a:avLst/>
                    </a:prstGeom>
                  </pic:spPr>
                </pic:pic>
              </a:graphicData>
            </a:graphic>
          </wp:inline>
        </w:drawing>
      </w:r>
    </w:p>
    <w:p w14:paraId="219EC720" w14:textId="68E32BBA" w:rsidR="00005008" w:rsidRDefault="00D2522F" w:rsidP="003576D3">
      <w:r>
        <w:t>In general, the most affected suburbs were in unexpected locations</w:t>
      </w:r>
      <w:r w:rsidR="00005008">
        <w:t>.</w:t>
      </w:r>
    </w:p>
    <w:p w14:paraId="21E0AD5A" w14:textId="63C041E2" w:rsidR="00005008" w:rsidRPr="00005008" w:rsidRDefault="00005008" w:rsidP="003576D3">
      <w:pPr>
        <w:rPr>
          <w:b/>
          <w:bCs/>
        </w:rPr>
      </w:pPr>
      <w:r w:rsidRPr="00005008">
        <w:rPr>
          <w:b/>
          <w:bCs/>
        </w:rPr>
        <w:t>Question 3</w:t>
      </w:r>
    </w:p>
    <w:p w14:paraId="6DA1E88B" w14:textId="3E74C3E4" w:rsidR="00D2522F" w:rsidRDefault="00005008" w:rsidP="003576D3">
      <w:r>
        <w:t xml:space="preserve">After identifying some variables of interest, we performed a linear regression (OLS) using the python module </w:t>
      </w:r>
      <w:r w:rsidRPr="00005008">
        <w:rPr>
          <w:i/>
          <w:iCs/>
        </w:rPr>
        <w:t>statsmodel</w:t>
      </w:r>
      <w:r>
        <w:t xml:space="preserve">, with our variable </w:t>
      </w:r>
      <w:r w:rsidRPr="00005008">
        <w:rPr>
          <w:i/>
          <w:iCs/>
        </w:rPr>
        <w:t>delta</w:t>
      </w:r>
      <w:r>
        <w:t xml:space="preserve"> as the dependant variable. After a couple of </w:t>
      </w:r>
      <w:r w:rsidR="00186DE5">
        <w:t>regressions with slightly different variables,</w:t>
      </w:r>
      <w:bookmarkStart w:id="0" w:name="_GoBack"/>
      <w:bookmarkEnd w:id="0"/>
      <w:r>
        <w:t xml:space="preserve"> we obtained the following results:</w:t>
      </w:r>
    </w:p>
    <w:p w14:paraId="7DCC27B6" w14:textId="0D85E536" w:rsidR="00005008" w:rsidRPr="0084698D" w:rsidRDefault="00005008" w:rsidP="003576D3">
      <w:r>
        <w:rPr>
          <w:noProof/>
        </w:rPr>
        <w:drawing>
          <wp:inline distT="0" distB="0" distL="0" distR="0" wp14:anchorId="6CAB3121" wp14:editId="6C8FBCC6">
            <wp:extent cx="4409005" cy="263968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l="1768" t="22718" r="27376" b="4557"/>
                    <a:stretch/>
                  </pic:blipFill>
                  <pic:spPr bwMode="auto">
                    <a:xfrm>
                      <a:off x="0" y="0"/>
                      <a:ext cx="4621743" cy="2767050"/>
                    </a:xfrm>
                    <a:prstGeom prst="rect">
                      <a:avLst/>
                    </a:prstGeom>
                    <a:noFill/>
                    <a:ln>
                      <a:noFill/>
                    </a:ln>
                    <a:extLst>
                      <a:ext uri="{53640926-AAD7-44D8-BBD7-CCE9431645EC}">
                        <a14:shadowObscured xmlns:a14="http://schemas.microsoft.com/office/drawing/2010/main"/>
                      </a:ext>
                    </a:extLst>
                  </pic:spPr>
                </pic:pic>
              </a:graphicData>
            </a:graphic>
          </wp:inline>
        </w:drawing>
      </w:r>
    </w:p>
    <w:p w14:paraId="50813B7D" w14:textId="7F0D385E" w:rsidR="00A06A0C" w:rsidRDefault="00005008" w:rsidP="003576D3">
      <w:r>
        <w:lastRenderedPageBreak/>
        <w:t>As can be seen, the overall ‘fit’ of the</w:t>
      </w:r>
      <w:r w:rsidR="00213056">
        <w:t xml:space="preserve"> model, or its explanatory power is quite low, with an R-Squared of just 0.071. </w:t>
      </w:r>
      <w:r w:rsidR="00186DE5">
        <w:t>On the other hand</w:t>
      </w:r>
      <w:r w:rsidR="00213056">
        <w:t xml:space="preserve">, it seems that our variables do appear to be at least statistically significant, as indicated by the low p-values associated with the variables </w:t>
      </w:r>
      <w:r w:rsidR="00213056" w:rsidRPr="00213056">
        <w:rPr>
          <w:i/>
          <w:iCs/>
        </w:rPr>
        <w:t>% holding a job requiring tertiary education</w:t>
      </w:r>
      <w:r w:rsidR="00213056">
        <w:t xml:space="preserve">, </w:t>
      </w:r>
      <w:r w:rsidR="00213056" w:rsidRPr="00213056">
        <w:rPr>
          <w:i/>
          <w:iCs/>
        </w:rPr>
        <w:t>Percent born outside of Aus</w:t>
      </w:r>
      <w:r w:rsidR="00213056">
        <w:t xml:space="preserve"> and </w:t>
      </w:r>
      <w:r w:rsidR="00213056" w:rsidRPr="00213056">
        <w:rPr>
          <w:i/>
          <w:iCs/>
        </w:rPr>
        <w:t>% 0 to 4</w:t>
      </w:r>
      <w:r w:rsidR="00483942">
        <w:t xml:space="preserve">. </w:t>
      </w:r>
    </w:p>
    <w:p w14:paraId="47B4086F" w14:textId="3A55F226" w:rsidR="00A06A0C" w:rsidRDefault="00483942" w:rsidP="003576D3">
      <w:r>
        <w:t xml:space="preserve">However, all the coefficients are quite small, and in the case of </w:t>
      </w:r>
      <w:r w:rsidRPr="00213056">
        <w:rPr>
          <w:i/>
          <w:iCs/>
        </w:rPr>
        <w:t>% holding a job requiring tertiary education</w:t>
      </w:r>
      <w:r>
        <w:t>, the co-efficient is in fact negative, which is contrary to our original hypothesis. This is an interesting question, but beyond the scope of our current analysis</w:t>
      </w:r>
      <w:r w:rsidR="00A06A0C">
        <w:t xml:space="preserve">. Some of this seems to have been reported in an article in </w:t>
      </w:r>
      <w:hyperlink r:id="rId10" w:history="1">
        <w:r w:rsidR="00A06A0C" w:rsidRPr="00A06A0C">
          <w:rPr>
            <w:rStyle w:val="Hyperlink"/>
            <w:i/>
            <w:iCs/>
          </w:rPr>
          <w:t>The Age</w:t>
        </w:r>
      </w:hyperlink>
      <w:r w:rsidR="00A06A0C">
        <w:t xml:space="preserve">, based on a far more detailed </w:t>
      </w:r>
      <w:hyperlink r:id="rId11" w:history="1">
        <w:r w:rsidR="00A06A0C" w:rsidRPr="00A06A0C">
          <w:rPr>
            <w:rStyle w:val="Hyperlink"/>
          </w:rPr>
          <w:t>analysis of the broader financial impacts of Covid-19</w:t>
        </w:r>
      </w:hyperlink>
      <w:r>
        <w:t xml:space="preserve">. </w:t>
      </w:r>
    </w:p>
    <w:p w14:paraId="25A9AE3C" w14:textId="624CE0B9" w:rsidR="00F445AF" w:rsidRDefault="00F445AF" w:rsidP="00F445AF">
      <w:r>
        <w:t>T</w:t>
      </w:r>
      <w:r w:rsidR="00A06A0C">
        <w:t>he</w:t>
      </w:r>
      <w:r>
        <w:t xml:space="preserve"> variable</w:t>
      </w:r>
      <w:r w:rsidR="00A06A0C">
        <w:t xml:space="preserve"> </w:t>
      </w:r>
      <w:r w:rsidR="00A06A0C" w:rsidRPr="00213056">
        <w:rPr>
          <w:i/>
          <w:iCs/>
        </w:rPr>
        <w:t>Percent born outside of Aus</w:t>
      </w:r>
      <w:r w:rsidR="00A06A0C">
        <w:rPr>
          <w:i/>
          <w:iCs/>
        </w:rPr>
        <w:t xml:space="preserve"> </w:t>
      </w:r>
      <w:r w:rsidR="00A06A0C">
        <w:t>was found to have a negative, and statis</w:t>
      </w:r>
      <w:r w:rsidR="00186DE5">
        <w:t>tical</w:t>
      </w:r>
      <w:r w:rsidR="00A06A0C">
        <w:t>ly significant relationship</w:t>
      </w:r>
      <w:r>
        <w:t xml:space="preserve"> with the percentage change in house prices, which is in line with our initial hypothesis. We explain this by the fact that Covid-19 has led to a decline in permanent migration, migrants on working visas and in international students. Demand for housing in suburbs popular with these groups would be expected to be particularly impacted by Covid-19.</w:t>
      </w:r>
    </w:p>
    <w:p w14:paraId="2B52FCA8" w14:textId="1BB74A4F" w:rsidR="00F445AF" w:rsidRDefault="00F445AF" w:rsidP="00F445AF">
      <w:r>
        <w:t xml:space="preserve">In the case of the age variable we found that including a variable for the percentage of suburb between 20-39 was statistically insignificant, whilst the variable </w:t>
      </w:r>
      <w:r w:rsidRPr="00213056">
        <w:rPr>
          <w:i/>
          <w:iCs/>
        </w:rPr>
        <w:t>% 0 to 4</w:t>
      </w:r>
      <w:r>
        <w:t xml:space="preserve"> has a positive co-efficient, suggesting suburbs with more young families are less likely to be affected by Covid-19. Again, the relationship between demographic factors such as population age and the impact of Covid-19 would benefit from a more detailed analysis than provided here.</w:t>
      </w:r>
    </w:p>
    <w:p w14:paraId="5B95EE2F" w14:textId="29B379D9" w:rsidR="00A06A0C" w:rsidRPr="00A06A0C" w:rsidRDefault="00A06A0C" w:rsidP="003576D3"/>
    <w:p w14:paraId="7085D65C" w14:textId="77777777" w:rsidR="00052104" w:rsidRDefault="00052104" w:rsidP="003576D3"/>
    <w:sectPr w:rsidR="00052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24"/>
    <w:rsid w:val="00005008"/>
    <w:rsid w:val="00052104"/>
    <w:rsid w:val="00063EA7"/>
    <w:rsid w:val="000D7590"/>
    <w:rsid w:val="000E51E6"/>
    <w:rsid w:val="00126082"/>
    <w:rsid w:val="00140359"/>
    <w:rsid w:val="00186DE5"/>
    <w:rsid w:val="001C0E60"/>
    <w:rsid w:val="00213056"/>
    <w:rsid w:val="00276424"/>
    <w:rsid w:val="003576D3"/>
    <w:rsid w:val="0036233E"/>
    <w:rsid w:val="00422954"/>
    <w:rsid w:val="0045270B"/>
    <w:rsid w:val="00483942"/>
    <w:rsid w:val="004C3714"/>
    <w:rsid w:val="00564AD2"/>
    <w:rsid w:val="00590403"/>
    <w:rsid w:val="006D62DD"/>
    <w:rsid w:val="00792392"/>
    <w:rsid w:val="007B31AA"/>
    <w:rsid w:val="007E0220"/>
    <w:rsid w:val="0084698D"/>
    <w:rsid w:val="00940479"/>
    <w:rsid w:val="00970C5A"/>
    <w:rsid w:val="00A06A0C"/>
    <w:rsid w:val="00AB1B08"/>
    <w:rsid w:val="00D2522F"/>
    <w:rsid w:val="00E71D49"/>
    <w:rsid w:val="00F445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37C4"/>
  <w15:chartTrackingRefBased/>
  <w15:docId w15:val="{C34567DC-4380-4636-B996-F1E0406E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62DD"/>
    <w:rPr>
      <w:color w:val="0563C1" w:themeColor="hyperlink"/>
      <w:u w:val="single"/>
    </w:rPr>
  </w:style>
  <w:style w:type="character" w:styleId="UnresolvedMention">
    <w:name w:val="Unresolved Mention"/>
    <w:basedOn w:val="DefaultParagraphFont"/>
    <w:uiPriority w:val="99"/>
    <w:semiHidden/>
    <w:unhideWhenUsed/>
    <w:rsid w:val="006D62DD"/>
    <w:rPr>
      <w:color w:val="605E5C"/>
      <w:shd w:val="clear" w:color="auto" w:fill="E1DFDD"/>
    </w:rPr>
  </w:style>
  <w:style w:type="paragraph" w:styleId="NormalWeb">
    <w:name w:val="Normal (Web)"/>
    <w:basedOn w:val="Normal"/>
    <w:uiPriority w:val="99"/>
    <w:semiHidden/>
    <w:unhideWhenUsed/>
    <w:rsid w:val="0036233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179286">
      <w:bodyDiv w:val="1"/>
      <w:marLeft w:val="0"/>
      <w:marRight w:val="0"/>
      <w:marTop w:val="0"/>
      <w:marBottom w:val="0"/>
      <w:divBdr>
        <w:top w:val="none" w:sz="0" w:space="0" w:color="auto"/>
        <w:left w:val="none" w:sz="0" w:space="0" w:color="auto"/>
        <w:bottom w:val="none" w:sz="0" w:space="0" w:color="auto"/>
        <w:right w:val="none" w:sz="0" w:space="0" w:color="auto"/>
      </w:divBdr>
    </w:div>
    <w:div w:id="1552039861">
      <w:bodyDiv w:val="1"/>
      <w:marLeft w:val="0"/>
      <w:marRight w:val="0"/>
      <w:marTop w:val="0"/>
      <w:marBottom w:val="0"/>
      <w:divBdr>
        <w:top w:val="none" w:sz="0" w:space="0" w:color="auto"/>
        <w:left w:val="none" w:sz="0" w:space="0" w:color="auto"/>
        <w:bottom w:val="none" w:sz="0" w:space="0" w:color="auto"/>
        <w:right w:val="none" w:sz="0" w:space="0" w:color="auto"/>
      </w:divBdr>
    </w:div>
    <w:div w:id="179269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taylorfry.com.au/articles/covid-19-financial-impact-index/" TargetMode="External"/><Relationship Id="rId5" Type="http://schemas.openxmlformats.org/officeDocument/2006/relationships/image" Target="media/image1.png"/><Relationship Id="rId10" Type="http://schemas.openxmlformats.org/officeDocument/2006/relationships/hyperlink" Target="https://www.theage.com.au/national/victoria/data-shows-melbourne-suburbs-worst-hit-by-covid-19-financial-impact-20200608-p550kb.html" TargetMode="External"/><Relationship Id="rId4" Type="http://schemas.openxmlformats.org/officeDocument/2006/relationships/hyperlink" Target="https://www.kaggle.com/anthonypino/melbourne-housing-market?select=MELBOURNE_HOUSE_PRICES_LESS.csv"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Laurie F</dc:creator>
  <cp:keywords/>
  <dc:description/>
  <cp:lastModifiedBy>Walker, Laurie F</cp:lastModifiedBy>
  <cp:revision>4</cp:revision>
  <dcterms:created xsi:type="dcterms:W3CDTF">2020-07-25T15:15:00Z</dcterms:created>
  <dcterms:modified xsi:type="dcterms:W3CDTF">2020-07-26T12:55:00Z</dcterms:modified>
</cp:coreProperties>
</file>