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pPr>
      <w:r>
        <w:rPr>
          <w:b/>
          <w:color w:val="9C3329"/>
          <w:sz w:val="26"/>
        </w:rPr>
        <w:t>JACQUESNOIR</w:t>
      </w:r>
    </w:p>
    <w:p>
      <w:pPr>
        <w:pStyle w:val="Title"/>
      </w:pPr>
      <w:r>
        <w:t>Référence de conception UX UI</w:t>
      </w:r>
    </w:p>
    <w:p>
      <w:pPr>
        <w:spacing w:after="500"/>
      </w:pPr>
      <w:r>
        <w:rPr>
          <w:sz w:val="26"/>
        </w:rPr>
        <w:t>Synthèse de la direction artistique, des écrans, des interactions et des composants réutilisables de l’application de blackjack.</w:t>
      </w:r>
    </w:p>
    <w:tbl>
      <w:tblPr>
        <w:tblW w:type="auto" w:w="0"/>
        <w:jc w:val="center"/>
        <w:tblLayout w:type="fixed"/>
        <w:tblLook w:firstColumn="1" w:firstRow="1" w:lastColumn="0" w:lastRow="0" w:noHBand="0" w:noVBand="1" w:val="04A0"/>
      </w:tblPr>
      <w:tblGrid>
        <w:gridCol w:w="5026"/>
        <w:gridCol w:w="5026"/>
      </w:tblGrid>
      <w:tr>
        <w:tc>
          <w:tcPr>
            <w:tcW w:type="dxa" w:w="208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Objet</w:t>
            </w:r>
          </w:p>
        </w:tc>
        <w:tc>
          <w:tcPr>
            <w:tcW w:type="dxa" w:w="7200"/>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Contenu</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But</w:t>
            </w:r>
          </w:p>
        </w:tc>
        <w:tc>
          <w:tcPr>
            <w:tcW w:type="dxa" w:w="720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Consigner le système de conception final.</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Périmètre</w:t>
            </w:r>
          </w:p>
        </w:tc>
        <w:tc>
          <w:tcPr>
            <w:tcW w:type="dxa" w:w="720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Accueil, jeu, mise et statistiques.</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Usage</w:t>
            </w:r>
          </w:p>
        </w:tc>
        <w:tc>
          <w:tcPr>
            <w:tcW w:type="dxa" w:w="720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Référence pour design produit et implémentation Compose.</w:t>
            </w:r>
          </w:p>
        </w:tc>
      </w:tr>
    </w:tbl>
    <w:p>
      <w:pPr>
        <w:spacing w:after="20"/>
      </w:pPr>
    </w:p>
    <w:p>
      <w:pPr>
        <w:spacing w:after="140"/>
      </w:pPr>
      <w:r>
        <w:t>Ce document consolide les décisions prises pendant le prototypage afin que l’intention de l’expérience reste intacte lors de la mise en œuvre. Il décrit le système visuel, la structure des écrans et les comportements attendus.</w:t>
      </w:r>
    </w:p>
    <w:p>
      <w:r>
        <w:br w:type="page"/>
      </w:r>
    </w:p>
    <w:p>
      <w:pPr>
        <w:pStyle w:val="Heading1"/>
        <w:spacing w:before="280" w:after="140"/>
      </w:pPr>
      <w:r>
        <w:t>1  Vision UX et direction artistique</w:t>
      </w:r>
    </w:p>
    <w:p>
      <w:pPr>
        <w:spacing w:after="140"/>
      </w:pPr>
      <w:r>
        <w:t>JacquesNoir traite le blackjack comme une parenthèse dans un appareil administratif vieillissant. L’interface ne célèbre pas le casino : elle met en scène une bureaucratie rétro, sévère et légèrement absurde, au sein de laquelle le jeu devient un espace de décision plus libre. L’administration encadre ; le blackjack libère.</w:t>
      </w:r>
    </w:p>
    <w:tbl>
      <w:tblPr>
        <w:tblW w:type="auto" w:w="0"/>
        <w:jc w:val="center"/>
        <w:tblLayout w:type="fixed"/>
        <w:tblLook w:firstColumn="1" w:firstRow="1" w:lastColumn="0" w:lastRow="0" w:noHBand="0" w:noVBand="1" w:val="04A0"/>
      </w:tblPr>
      <w:tblGrid>
        <w:gridCol w:w="5026"/>
        <w:gridCol w:w="5026"/>
      </w:tblGrid>
      <w:tr>
        <w:tc>
          <w:tcPr>
            <w:tcW w:type="dxa" w:w="223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Élément</w:t>
            </w:r>
          </w:p>
        </w:tc>
        <w:tc>
          <w:tcPr>
            <w:tcW w:type="dxa" w:w="705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Décision</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Univers</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Vieille administration, formulaires, rapports imprimés, cachets et procédures.</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Époque</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Soviétique et rétrofuturiste implicite, sans pastiche littéral ni iconographie politique.</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Jeu</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Direct, tactile et vivant ; jamais clinquant ni luxueux.</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Voix</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Laconique, factuelle, légèrement grave.</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Matière</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Papier, encre, usure contenue et contraste net.</w:t>
            </w:r>
          </w:p>
        </w:tc>
      </w:tr>
    </w:tbl>
    <w:p>
      <w:pPr>
        <w:spacing w:after="20"/>
      </w:pPr>
    </w:p>
    <w:p>
      <w:pPr>
        <w:pStyle w:val="Heading2"/>
        <w:spacing w:before="180" w:after="100"/>
      </w:pPr>
      <w:r>
        <w:t>Principes UX</w:t>
      </w:r>
    </w:p>
    <w:p>
      <w:pPr>
        <w:pStyle w:val="ListBullet"/>
        <w:spacing w:after="60"/>
      </w:pPr>
      <w:r>
        <w:t>La situation précède l’action : solde, mise et état restent lisibles avant toute commande.</w:t>
      </w:r>
    </w:p>
    <w:p>
      <w:pPr>
        <w:pStyle w:val="ListBullet"/>
        <w:spacing w:after="60"/>
      </w:pPr>
      <w:r>
        <w:t>Les gestes sont rares et centraux : jouer, gérer la mise, révéler et consulter.</w:t>
      </w:r>
    </w:p>
    <w:p>
      <w:pPr>
        <w:pStyle w:val="ListBullet"/>
        <w:spacing w:after="60"/>
      </w:pPr>
      <w:r>
        <w:t>La tension provient des cartes et de leur résolution, pas de récompenses visuelles excessives.</w:t>
      </w:r>
    </w:p>
    <w:p>
      <w:pPr>
        <w:pStyle w:val="ListBullet"/>
        <w:spacing w:after="60"/>
      </w:pPr>
      <w:r>
        <w:t>Les interfaces administratives structurent ; les interfaces de jeu restent rapides et permissives.</w:t>
      </w:r>
    </w:p>
    <w:p>
      <w:pPr>
        <w:pStyle w:val="ListBullet"/>
        <w:spacing w:after="60"/>
      </w:pPr>
      <w:r>
        <w:t>Chaque étape irréversible est explicite : mise confirmée, main en cours, résolution, collecte.</w:t>
      </w:r>
    </w:p>
    <w:p>
      <w:pPr>
        <w:pStyle w:val="Heading1"/>
        <w:spacing w:before="280" w:after="140"/>
      </w:pPr>
      <w:r>
        <w:t>2  Dictionnaire visuel final</w:t>
      </w:r>
    </w:p>
    <w:p>
      <w:pPr>
        <w:spacing w:after="140"/>
      </w:pPr>
      <w:r>
        <w:t>La palette est brute, limitée et stable. La couleur hiérarchise l’information, signale l’état et installe l’atmosphère ; elle ne décore pas sans fonction.</w:t>
      </w:r>
    </w:p>
    <w:tbl>
      <w:tblPr>
        <w:tblW w:type="auto" w:w="0"/>
        <w:jc w:val="center"/>
        <w:tblLayout w:type="fixed"/>
        <w:tblLook w:firstColumn="1" w:firstRow="1" w:lastColumn="0" w:lastRow="0" w:noHBand="0" w:noVBand="1" w:val="04A0"/>
      </w:tblPr>
      <w:tblGrid>
        <w:gridCol w:w="3351"/>
        <w:gridCol w:w="3351"/>
        <w:gridCol w:w="3351"/>
      </w:tblGrid>
      <w:tr>
        <w:tc>
          <w:tcPr>
            <w:tcW w:type="dxa" w:w="194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Token brut</w:t>
            </w:r>
          </w:p>
        </w:tc>
        <w:tc>
          <w:tcPr>
            <w:tcW w:type="dxa" w:w="158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Valeur</w:t>
            </w:r>
          </w:p>
        </w:tc>
        <w:tc>
          <w:tcPr>
            <w:tcW w:type="dxa" w:w="568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Rôle</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Ink</w:t>
            </w:r>
          </w:p>
        </w:tc>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#171817</w:t>
            </w:r>
          </w:p>
        </w:tc>
        <w:tc>
          <w:tcPr>
            <w:tcW w:type="dxa" w:w="56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Texte, contours et pictogrammes.</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Paper</w:t>
            </w:r>
          </w:p>
        </w:tc>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#F3F0E8</w:t>
            </w:r>
          </w:p>
        </w:tc>
        <w:tc>
          <w:tcPr>
            <w:tcW w:type="dxa" w:w="56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Fond clair et surface de feuille.</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Charcoal</w:t>
            </w:r>
          </w:p>
        </w:tc>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#2E302E</w:t>
            </w:r>
          </w:p>
        </w:tc>
        <w:tc>
          <w:tcPr>
            <w:tcW w:type="dxa" w:w="56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Surfaces denses et en-têtes.</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Grey</w:t>
            </w:r>
          </w:p>
        </w:tc>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#686A66</w:t>
            </w:r>
          </w:p>
        </w:tc>
        <w:tc>
          <w:tcPr>
            <w:tcW w:type="dxa" w:w="56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Métadonnées et traits.</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Red</w:t>
            </w:r>
          </w:p>
        </w:tc>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#9C3329</w:t>
            </w:r>
          </w:p>
        </w:tc>
        <w:tc>
          <w:tcPr>
            <w:tcW w:type="dxa" w:w="56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Alerte, trace administrative, décision engagée.</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Gold</w:t>
            </w:r>
          </w:p>
        </w:tc>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#B58A3B</w:t>
            </w:r>
          </w:p>
        </w:tc>
        <w:tc>
          <w:tcPr>
            <w:tcW w:type="dxa" w:w="56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Mise et valeur, utilisé avec retenue.</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Green</w:t>
            </w:r>
          </w:p>
        </w:tc>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#516C57</w:t>
            </w:r>
          </w:p>
        </w:tc>
        <w:tc>
          <w:tcPr>
            <w:tcW w:type="dxa" w:w="56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Validation ou résultat favorable.</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Night</w:t>
            </w:r>
          </w:p>
        </w:tc>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#191B1A</w:t>
            </w:r>
          </w:p>
        </w:tc>
        <w:tc>
          <w:tcPr>
            <w:tcW w:type="dxa" w:w="56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Fond sombre de la table de jeu.</w:t>
            </w:r>
          </w:p>
        </w:tc>
      </w:tr>
    </w:tbl>
    <w:p>
      <w:pPr>
        <w:spacing w:after="20"/>
      </w:pPr>
    </w:p>
    <w:tbl>
      <w:tblPr>
        <w:tblW w:type="auto" w:w="0"/>
        <w:jc w:val="center"/>
        <w:tblLayout w:type="fixed"/>
        <w:tblLook w:firstColumn="1" w:firstRow="1" w:lastColumn="0" w:lastRow="0" w:noHBand="0" w:noVBand="1" w:val="04A0"/>
      </w:tblPr>
      <w:tblGrid>
        <w:gridCol w:w="2513"/>
        <w:gridCol w:w="2513"/>
        <w:gridCol w:w="2513"/>
        <w:gridCol w:w="2513"/>
      </w:tblGrid>
      <w:tr>
        <w:tc>
          <w:tcPr>
            <w:tcW w:type="dxa" w:w="208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Usage</w:t>
            </w:r>
          </w:p>
        </w:tc>
        <w:tc>
          <w:tcPr>
            <w:tcW w:type="dxa" w:w="1440"/>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Light</w:t>
            </w:r>
          </w:p>
        </w:tc>
        <w:tc>
          <w:tcPr>
            <w:tcW w:type="dxa" w:w="151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Dark</w:t>
            </w:r>
          </w:p>
        </w:tc>
        <w:tc>
          <w:tcPr>
            <w:tcW w:type="dxa" w:w="417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Règle</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surface.background</w:t>
            </w:r>
          </w:p>
        </w:tc>
        <w:tc>
          <w:tcPr>
            <w:tcW w:type="dxa" w:w="14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Paper</w:t>
            </w:r>
          </w:p>
        </w:tc>
        <w:tc>
          <w:tcPr>
            <w:tcW w:type="dxa" w:w="15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Night</w:t>
            </w:r>
          </w:p>
        </w:tc>
        <w:tc>
          <w:tcPr>
            <w:tcW w:type="dxa" w:w="41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Fond dominant.</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surface.raised</w:t>
            </w:r>
          </w:p>
        </w:tc>
        <w:tc>
          <w:tcPr>
            <w:tcW w:type="dxa" w:w="14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White</w:t>
            </w:r>
          </w:p>
        </w:tc>
        <w:tc>
          <w:tcPr>
            <w:tcW w:type="dxa" w:w="15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Charcoal</w:t>
            </w:r>
          </w:p>
        </w:tc>
        <w:tc>
          <w:tcPr>
            <w:tcW w:type="dxa" w:w="41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Feuille, modal ou panneau.</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content.primary</w:t>
            </w:r>
          </w:p>
        </w:tc>
        <w:tc>
          <w:tcPr>
            <w:tcW w:type="dxa" w:w="14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Ink</w:t>
            </w:r>
          </w:p>
        </w:tc>
        <w:tc>
          <w:tcPr>
            <w:tcW w:type="dxa" w:w="15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Paper</w:t>
            </w:r>
          </w:p>
        </w:tc>
        <w:tc>
          <w:tcPr>
            <w:tcW w:type="dxa" w:w="41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Texte et icônes actifs.</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content.secondary</w:t>
            </w:r>
          </w:p>
        </w:tc>
        <w:tc>
          <w:tcPr>
            <w:tcW w:type="dxa" w:w="14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Grey</w:t>
            </w:r>
          </w:p>
        </w:tc>
        <w:tc>
          <w:tcPr>
            <w:tcW w:type="dxa" w:w="15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#B9B8B0</w:t>
            </w:r>
          </w:p>
        </w:tc>
        <w:tc>
          <w:tcPr>
            <w:tcW w:type="dxa" w:w="41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Aide et métadonnées.</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border.subtle</w:t>
            </w:r>
          </w:p>
        </w:tc>
        <w:tc>
          <w:tcPr>
            <w:tcW w:type="dxa" w:w="14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#D9D9D9</w:t>
            </w:r>
          </w:p>
        </w:tc>
        <w:tc>
          <w:tcPr>
            <w:tcW w:type="dxa" w:w="15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#4A4C48</w:t>
            </w:r>
          </w:p>
        </w:tc>
        <w:tc>
          <w:tcPr>
            <w:tcW w:type="dxa" w:w="41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Filets et séparateurs.</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action.primary</w:t>
            </w:r>
          </w:p>
        </w:tc>
        <w:tc>
          <w:tcPr>
            <w:tcW w:type="dxa" w:w="14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Ink</w:t>
            </w:r>
          </w:p>
        </w:tc>
        <w:tc>
          <w:tcPr>
            <w:tcW w:type="dxa" w:w="15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Paper</w:t>
            </w:r>
          </w:p>
        </w:tc>
        <w:tc>
          <w:tcPr>
            <w:tcW w:type="dxa" w:w="41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Action standard.</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status.critical</w:t>
            </w:r>
          </w:p>
        </w:tc>
        <w:tc>
          <w:tcPr>
            <w:tcW w:type="dxa" w:w="14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Red</w:t>
            </w:r>
          </w:p>
        </w:tc>
        <w:tc>
          <w:tcPr>
            <w:tcW w:type="dxa" w:w="15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#C15B50</w:t>
            </w:r>
          </w:p>
        </w:tc>
        <w:tc>
          <w:tcPr>
            <w:tcW w:type="dxa" w:w="41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Alerte, perte, cachet.</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status.value</w:t>
            </w:r>
          </w:p>
        </w:tc>
        <w:tc>
          <w:tcPr>
            <w:tcW w:type="dxa" w:w="14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Gold</w:t>
            </w:r>
          </w:p>
        </w:tc>
        <w:tc>
          <w:tcPr>
            <w:tcW w:type="dxa" w:w="15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#D0A64D</w:t>
            </w:r>
          </w:p>
        </w:tc>
        <w:tc>
          <w:tcPr>
            <w:tcW w:type="dxa" w:w="41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Mise et valeur.</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status.success</w:t>
            </w:r>
          </w:p>
        </w:tc>
        <w:tc>
          <w:tcPr>
            <w:tcW w:type="dxa" w:w="14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Green</w:t>
            </w:r>
          </w:p>
        </w:tc>
        <w:tc>
          <w:tcPr>
            <w:tcW w:type="dxa" w:w="15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#84A188</w:t>
            </w:r>
          </w:p>
        </w:tc>
        <w:tc>
          <w:tcPr>
            <w:tcW w:type="dxa" w:w="41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Gain et validation.</w:t>
            </w:r>
          </w:p>
        </w:tc>
      </w:tr>
    </w:tbl>
    <w:p>
      <w:pPr>
        <w:spacing w:after="20"/>
      </w:pPr>
    </w:p>
    <w:p>
      <w:pPr>
        <w:spacing w:after="140"/>
      </w:pPr>
      <w:r>
        <w:t>Règles : le rouge intervient à un point de décision, d’alerte ou de trace ; l’or est réservé à la valeur engagée ; le vert confirme un résultat. Les contrastes restent robustes dans les deux thèmes. Le sombre est la scène du jeu ; le clair porte les documents, paramètres et statistiques.</w:t>
      </w:r>
    </w:p>
    <w:p>
      <w:pPr>
        <w:pStyle w:val="Heading1"/>
        <w:spacing w:before="280" w:after="140"/>
      </w:pPr>
      <w:r>
        <w:t>3  Principes des cartes et des jetons</w:t>
      </w:r>
    </w:p>
    <w:p>
      <w:pPr>
        <w:pStyle w:val="Heading2"/>
        <w:spacing w:before="180" w:after="100"/>
      </w:pPr>
      <w:r>
        <w:t>Cartes</w:t>
      </w:r>
    </w:p>
    <w:p>
      <w:pPr>
        <w:spacing w:after="140"/>
      </w:pPr>
      <w:r>
        <w:t>Les cartes sont des objets physiques numérisés : fond ivoire, bord fin sombre, indice de rang très lisible et enseigne à contraste franc. Elles ne sont ni luxueuses, ni de simples tuiles abstraites. Une légère superposition suggère la main et économise l’espace.</w:t>
      </w:r>
    </w:p>
    <w:tbl>
      <w:tblPr>
        <w:tblW w:type="auto" w:w="0"/>
        <w:jc w:val="center"/>
        <w:tblLayout w:type="fixed"/>
        <w:tblLook w:firstColumn="1" w:firstRow="1" w:lastColumn="0" w:lastRow="0" w:noHBand="0" w:noVBand="1" w:val="04A0"/>
      </w:tblPr>
      <w:tblGrid>
        <w:gridCol w:w="5026"/>
        <w:gridCol w:w="5026"/>
      </w:tblGrid>
      <w:tr>
        <w:tc>
          <w:tcPr>
            <w:tcW w:type="dxa" w:w="223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Propriété</w:t>
            </w:r>
          </w:p>
        </w:tc>
        <w:tc>
          <w:tcPr>
            <w:tcW w:type="dxa" w:w="705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Règle</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Format</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Vertical, coins légèrement adoucis, sans effet plastique.</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Hiérarchie</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Rang et enseigne d’abord ; illustration minimale ensuite.</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États</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Cachée, révélée, résolue, collectée.</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Interaction</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Appui long sur une carte superposée pour la révéler quand l’état le permet.</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Mouvement</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Distribution, retournement et collecte courts, directionnels et lisibles.</w:t>
            </w:r>
          </w:p>
        </w:tc>
      </w:tr>
    </w:tbl>
    <w:p>
      <w:pPr>
        <w:spacing w:after="20"/>
      </w:pPr>
    </w:p>
    <w:p>
      <w:pPr>
        <w:pStyle w:val="Heading2"/>
        <w:spacing w:before="180" w:after="100"/>
      </w:pPr>
      <w:r>
        <w:t>Jetons et tokens de mise</w:t>
      </w:r>
    </w:p>
    <w:p>
      <w:pPr>
        <w:spacing w:after="140"/>
      </w:pPr>
      <w:r>
        <w:t>Les jetons sont des sélecteurs de montant avant d’être des objets décoratifs. Chaque valeur est distinguée par contour, montant imprimé et accent discret : la couleur seule ne porte jamais le sens.</w:t>
      </w:r>
    </w:p>
    <w:p>
      <w:pPr>
        <w:pStyle w:val="ListBullet"/>
        <w:spacing w:after="60"/>
      </w:pPr>
      <w:r>
        <w:t>Grille de tailles fixe pour un rythme tactile stable.</w:t>
      </w:r>
    </w:p>
    <w:p>
      <w:pPr>
        <w:pStyle w:val="ListBullet"/>
        <w:spacing w:after="60"/>
      </w:pPr>
      <w:r>
        <w:t>Valeurs courantes accessibles immédiatement ; montant exact disponible dans le champ éditable.</w:t>
      </w:r>
    </w:p>
    <w:p>
      <w:pPr>
        <w:pStyle w:val="ListBullet"/>
        <w:spacing w:after="60"/>
      </w:pPr>
      <w:r>
        <w:t>Jeton actif : contour renforcé et légère élévation ; jeton indisponible : désaturé mais lisible.</w:t>
      </w:r>
    </w:p>
    <w:p>
      <w:pPr>
        <w:pStyle w:val="ListBullet"/>
        <w:spacing w:after="60"/>
      </w:pPr>
      <w:r>
        <w:t>Aucune brillance, rotation ou effet gratuit : le jeton accompagne la décision.</w:t>
      </w:r>
    </w:p>
    <w:p>
      <w:pPr>
        <w:pStyle w:val="Heading1"/>
        <w:spacing w:before="280" w:after="140"/>
      </w:pPr>
      <w:r>
        <w:t>4  Structure de l application et barre supérieure</w:t>
      </w:r>
    </w:p>
    <w:tbl>
      <w:tblPr>
        <w:tblW w:type="auto" w:w="0"/>
        <w:jc w:val="center"/>
        <w:tblLayout w:type="fixed"/>
        <w:tblLook w:firstColumn="1" w:firstRow="1" w:lastColumn="0" w:lastRow="0" w:noHBand="0" w:noVBand="1" w:val="04A0"/>
      </w:tblPr>
      <w:tblGrid>
        <w:gridCol w:w="3351"/>
        <w:gridCol w:w="3351"/>
        <w:gridCol w:w="3351"/>
      </w:tblGrid>
      <w:tr>
        <w:tc>
          <w:tcPr>
            <w:tcW w:type="dxa" w:w="158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Niveau</w:t>
            </w:r>
          </w:p>
        </w:tc>
        <w:tc>
          <w:tcPr>
            <w:tcW w:type="dxa" w:w="367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Contenu</w:t>
            </w:r>
          </w:p>
        </w:tc>
        <w:tc>
          <w:tcPr>
            <w:tcW w:type="dxa" w:w="403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Rôle</w:t>
            </w:r>
          </w:p>
        </w:tc>
      </w:tr>
      <w:tr>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Accueil</w:t>
            </w:r>
          </w:p>
        </w:tc>
        <w:tc>
          <w:tcPr>
            <w:tcW w:type="dxa" w:w="367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Situation actuelle et opérations possibles</w:t>
            </w:r>
          </w:p>
        </w:tc>
        <w:tc>
          <w:tcPr>
            <w:tcW w:type="dxa" w:w="40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Point de départ administratif.</w:t>
            </w:r>
          </w:p>
        </w:tc>
      </w:tr>
      <w:tr>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Jeu</w:t>
            </w:r>
          </w:p>
        </w:tc>
        <w:tc>
          <w:tcPr>
            <w:tcW w:type="dxa" w:w="367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Table, cartes, actions et états</w:t>
            </w:r>
          </w:p>
        </w:tc>
        <w:tc>
          <w:tcPr>
            <w:tcW w:type="dxa" w:w="40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Cœur de l’expérience en thème sombre.</w:t>
            </w:r>
          </w:p>
        </w:tc>
      </w:tr>
      <w:tr>
        <w:tc>
          <w:tcPr>
            <w:tcW w:type="dxa" w:w="15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Mise</w:t>
            </w:r>
          </w:p>
        </w:tc>
        <w:tc>
          <w:tcPr>
            <w:tcW w:type="dxa" w:w="367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Formulaire modal au-dessus du jeu</w:t>
            </w:r>
          </w:p>
        </w:tc>
        <w:tc>
          <w:tcPr>
            <w:tcW w:type="dxa" w:w="40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Prépare ou modifie le montant engagé.</w:t>
            </w:r>
          </w:p>
        </w:tc>
      </w:tr>
      <w:tr>
        <w:tc>
          <w:tcPr>
            <w:tcW w:type="dxa" w:w="15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Statistiques</w:t>
            </w:r>
          </w:p>
        </w:tc>
        <w:tc>
          <w:tcPr>
            <w:tcW w:type="dxa" w:w="367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Rapport feuille avec tableau et tampon</w:t>
            </w:r>
          </w:p>
        </w:tc>
        <w:tc>
          <w:tcPr>
            <w:tcW w:type="dxa" w:w="40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Retour analytique en thème clair.</w:t>
            </w:r>
          </w:p>
        </w:tc>
      </w:tr>
    </w:tbl>
    <w:p>
      <w:pPr>
        <w:spacing w:after="20"/>
      </w:pPr>
    </w:p>
    <w:p>
      <w:pPr>
        <w:spacing w:after="140"/>
      </w:pPr>
      <w:r>
        <w:t>La barre supérieure est commune dans son squelette : titre ou retour à gauche, contexte au centre lorsque nécessaire, informations globales et actions secondaires à droite. Sa densité demeure basse. Le solde est toujours accessible ; la mise devient actionnable seulement dans le contexte du jeu.</w:t>
      </w:r>
    </w:p>
    <w:p>
      <w:pPr>
        <w:pStyle w:val="ListBullet"/>
        <w:spacing w:after="60"/>
      </w:pPr>
      <w:r>
        <w:t>Hauteur constante et séparateur fin adapté au thème.</w:t>
      </w:r>
    </w:p>
    <w:p>
      <w:pPr>
        <w:pStyle w:val="ListBullet"/>
        <w:spacing w:after="60"/>
      </w:pPr>
      <w:r>
        <w:t>Typographie compacte ; capitales réservées aux libellés de section.</w:t>
      </w:r>
    </w:p>
    <w:p>
      <w:pPr>
        <w:pStyle w:val="ListBullet"/>
        <w:spacing w:after="60"/>
      </w:pPr>
      <w:r>
        <w:t>Icônes secondaires accompagnées d’un libellé accessible.</w:t>
      </w:r>
    </w:p>
    <w:p>
      <w:pPr>
        <w:pStyle w:val="ListBullet"/>
        <w:spacing w:after="60"/>
      </w:pPr>
      <w:r>
        <w:t>Le bouton « … » regroupe les actions exceptionnelles de la main.</w:t>
      </w:r>
    </w:p>
    <w:p>
      <w:r>
        <w:br w:type="page"/>
      </w:r>
    </w:p>
    <w:p>
      <w:pPr>
        <w:pStyle w:val="Heading1"/>
        <w:spacing w:before="280" w:after="140"/>
      </w:pPr>
      <w:r>
        <w:t>5  Écran d accueil final</w:t>
      </w:r>
    </w:p>
    <w:p>
      <w:pPr>
        <w:spacing w:after="140"/>
      </w:pPr>
      <w:r>
        <w:t>L’accueil fait sentir la bureaucratie sans ralentir l’entrée dans le jeu. La composition est volontairement asymétrique : l’information à gauche, la possibilité d’agir plus bas et centrée.</w:t>
      </w:r>
    </w:p>
    <w:tbl>
      <w:tblPr>
        <w:tblW w:type="auto" w:w="0"/>
        <w:jc w:val="center"/>
        <w:tblLayout w:type="fixed"/>
        <w:tblLook w:firstColumn="1" w:firstRow="1" w:lastColumn="0" w:lastRow="0" w:noHBand="0" w:noVBand="1" w:val="04A0"/>
      </w:tblPr>
      <w:tblGrid>
        <w:gridCol w:w="5026"/>
        <w:gridCol w:w="5026"/>
      </w:tblGrid>
      <w:tr>
        <w:tc>
          <w:tcPr>
            <w:tcW w:type="dxa" w:w="223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Zone</w:t>
            </w:r>
          </w:p>
        </w:tc>
        <w:tc>
          <w:tcPr>
            <w:tcW w:type="dxa" w:w="705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Composition et comportement</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Situation actuelle</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Bloc aligné à gauche : solde, dernière activité, éventuel statut de partie. Les valeurs précèdent les libellés secondaires.</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Opérations possibles</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Bloc centré dans le bas de l’écran ; entrées vers jouer, statistiques et autres opérations.</w:t>
            </w:r>
          </w:p>
        </w:tc>
      </w:tr>
      <w:tr>
        <w:tc>
          <w:tcPr>
            <w:tcW w:type="dxa" w:w="22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Lignes d’action</w:t>
            </w:r>
          </w:p>
        </w:tc>
        <w:tc>
          <w:tcPr>
            <w:tcW w:type="dxa" w:w="705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Chaque ligne est cliquable sur toute sa largeur utile, soulignée comme à la machine à écrire. Le soulignement est un code d’interaction.</w:t>
            </w:r>
          </w:p>
        </w:tc>
      </w:tr>
      <w:tr>
        <w:tc>
          <w:tcPr>
            <w:tcW w:type="dxa" w:w="22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Fond et rythme</w:t>
            </w:r>
          </w:p>
        </w:tc>
        <w:tc>
          <w:tcPr>
            <w:tcW w:type="dxa" w:w="705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Fond de feuille clair, espaces larges, filets et métadonnées de registre.</w:t>
            </w:r>
          </w:p>
        </w:tc>
      </w:tr>
    </w:tbl>
    <w:p>
      <w:pPr>
        <w:spacing w:after="20"/>
      </w:pPr>
    </w:p>
    <w:p>
      <w:pPr>
        <w:pStyle w:val="ListBullet"/>
        <w:spacing w:after="60"/>
      </w:pPr>
      <w:r>
        <w:t>Premier lancement : situation initiale explicite, sans statistiques fictives.</w:t>
      </w:r>
    </w:p>
    <w:p>
      <w:pPr>
        <w:pStyle w:val="ListBullet"/>
        <w:spacing w:after="60"/>
      </w:pPr>
      <w:r>
        <w:t>Partie en cours : l’opération principale devient « reprendre la table ».</w:t>
      </w:r>
    </w:p>
    <w:p>
      <w:pPr>
        <w:pStyle w:val="ListBullet"/>
        <w:spacing w:after="60"/>
      </w:pPr>
      <w:r>
        <w:t>Solde insuffisant : lien visible, explication courte au moment de l’action.</w:t>
      </w:r>
    </w:p>
    <w:p>
      <w:pPr>
        <w:pStyle w:val="ListBullet"/>
        <w:spacing w:after="60"/>
      </w:pPr>
      <w:r>
        <w:t>Navigation clavier et lecteur d’écran : les lignes sont de vrais boutons ou liens aux intitulés explicites.</w:t>
      </w:r>
    </w:p>
    <w:p>
      <w:pPr>
        <w:pStyle w:val="Heading1"/>
        <w:spacing w:before="280" w:after="140"/>
      </w:pPr>
      <w:r>
        <w:t>6  Écran de jeu et déroulement</w:t>
      </w:r>
    </w:p>
    <w:p>
      <w:pPr>
        <w:spacing w:after="140"/>
      </w:pPr>
      <w:r>
        <w:t>L’écran de jeu concentre la mise en scène sans perdre les repères d’une table fonctionnelle. Le fond sombre distingue la partie du monde administratif ; la composition privilégie l’axe vertical et préserve une zone claire pour les mains du joueur.</w:t>
      </w:r>
    </w:p>
    <w:tbl>
      <w:tblPr>
        <w:tblW w:type="auto" w:w="0"/>
        <w:jc w:val="center"/>
        <w:tblLayout w:type="fixed"/>
        <w:tblLook w:firstColumn="1" w:firstRow="1" w:lastColumn="0" w:lastRow="0" w:noHBand="0" w:noVBand="1" w:val="04A0"/>
      </w:tblPr>
      <w:tblGrid>
        <w:gridCol w:w="3351"/>
        <w:gridCol w:w="3351"/>
        <w:gridCol w:w="3351"/>
      </w:tblGrid>
      <w:tr>
        <w:tc>
          <w:tcPr>
            <w:tcW w:type="dxa" w:w="208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Zone</w:t>
            </w:r>
          </w:p>
        </w:tc>
        <w:tc>
          <w:tcPr>
            <w:tcW w:type="dxa" w:w="201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Position</w:t>
            </w:r>
          </w:p>
        </w:tc>
        <w:tc>
          <w:tcPr>
            <w:tcW w:type="dxa" w:w="518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Contenu</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Croupier</w:t>
            </w:r>
          </w:p>
        </w:tc>
        <w:tc>
          <w:tcPr>
            <w:tcW w:type="dxa" w:w="201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Haut</w:t>
            </w:r>
          </w:p>
        </w:tc>
        <w:tc>
          <w:tcPr>
            <w:tcW w:type="dxa" w:w="51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Main du croupier et statut compact de la banque.</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Pioche et défausse</w:t>
            </w:r>
          </w:p>
        </w:tc>
        <w:tc>
          <w:tcPr>
            <w:tcW w:type="dxa" w:w="201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Centre</w:t>
            </w:r>
          </w:p>
        </w:tc>
        <w:tc>
          <w:tcPr>
            <w:tcW w:type="dxa" w:w="51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Paquet et pile de collecte, repères constants.</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Mise</w:t>
            </w:r>
          </w:p>
        </w:tc>
        <w:tc>
          <w:tcPr>
            <w:tcW w:type="dxa" w:w="201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Tiers bas gauche</w:t>
            </w:r>
          </w:p>
        </w:tc>
        <w:tc>
          <w:tcPr>
            <w:tcW w:type="dxa" w:w="518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Montant engagé ; tap avant distribution pour ouvrir la mise.</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Main joueur</w:t>
            </w:r>
          </w:p>
        </w:tc>
        <w:tc>
          <w:tcPr>
            <w:tcW w:type="dxa" w:w="201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Tiers bas droite</w:t>
            </w:r>
          </w:p>
        </w:tc>
        <w:tc>
          <w:tcPr>
            <w:tcW w:type="dxa" w:w="518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Cartes superposées, score et main active.</w:t>
            </w:r>
          </w:p>
        </w:tc>
      </w:tr>
    </w:tbl>
    <w:p>
      <w:pPr>
        <w:spacing w:after="20"/>
      </w:pPr>
    </w:p>
    <w:p>
      <w:pPr>
        <w:pStyle w:val="ListBullet"/>
        <w:spacing w:after="60"/>
      </w:pPr>
      <w:r>
        <w:t>Les cartes sont superposées ; un appui long les révèle lorsqu’un état caché l’autorise.</w:t>
      </w:r>
    </w:p>
    <w:p>
      <w:pPr>
        <w:pStyle w:val="ListBullet"/>
        <w:spacing w:after="60"/>
      </w:pPr>
      <w:r>
        <w:t>Le bouton « … » ouvre les actions contextuelles, notamment doubler et séparer, uniquement lorsqu’elles sont légales.</w:t>
      </w:r>
    </w:p>
    <w:p>
      <w:pPr>
        <w:pStyle w:val="ListBullet"/>
        <w:spacing w:after="60"/>
      </w:pPr>
      <w:r>
        <w:t>Après split, chaque main est une slide ; les slides non actives restent en lecture seule.</w:t>
      </w:r>
    </w:p>
    <w:p>
      <w:pPr>
        <w:pStyle w:val="ListBullet"/>
        <w:spacing w:after="60"/>
      </w:pPr>
      <w:r>
        <w:t>Après stand, bust ou double, le focus passe automatiquement à la main suivante.</w:t>
      </w:r>
    </w:p>
    <w:p>
      <w:pPr>
        <w:pStyle w:val="ListBullet"/>
        <w:spacing w:after="60"/>
      </w:pPr>
      <w:r>
        <w:t>Une fois les mains terminées, le croupier joue, les résultats apparaissent brièvement, puis les cartes sont collectées vers la défausse.</w:t>
      </w:r>
    </w:p>
    <w:tbl>
      <w:tblPr>
        <w:tblW w:type="auto" w:w="0"/>
        <w:jc w:val="center"/>
        <w:tblLayout w:type="fixed"/>
        <w:tblLook w:firstColumn="1" w:firstRow="1" w:lastColumn="0" w:lastRow="0" w:noHBand="0" w:noVBand="1" w:val="04A0"/>
      </w:tblPr>
      <w:tblGrid>
        <w:gridCol w:w="3351"/>
        <w:gridCol w:w="3351"/>
        <w:gridCol w:w="3351"/>
      </w:tblGrid>
      <w:tr>
        <w:tc>
          <w:tcPr>
            <w:tcW w:type="dxa" w:w="194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État</w:t>
            </w:r>
          </w:p>
        </w:tc>
        <w:tc>
          <w:tcPr>
            <w:tcW w:type="dxa" w:w="3240"/>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Entrée</w:t>
            </w:r>
          </w:p>
        </w:tc>
        <w:tc>
          <w:tcPr>
            <w:tcW w:type="dxa" w:w="403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Sortie</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Préparation</w:t>
            </w:r>
          </w:p>
        </w:tc>
        <w:tc>
          <w:tcPr>
            <w:tcW w:type="dxa" w:w="32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Ouverture ou fin de résolution</w:t>
            </w:r>
          </w:p>
        </w:tc>
        <w:tc>
          <w:tcPr>
            <w:tcW w:type="dxa" w:w="40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Mise confirmée et distribution.</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Décision joueur</w:t>
            </w:r>
          </w:p>
        </w:tc>
        <w:tc>
          <w:tcPr>
            <w:tcW w:type="dxa" w:w="32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Cartes distribuées</w:t>
            </w:r>
          </w:p>
        </w:tc>
        <w:tc>
          <w:tcPr>
            <w:tcW w:type="dxa" w:w="40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Hit, stand, double, split ou fin.</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Décision suivante</w:t>
            </w:r>
          </w:p>
        </w:tc>
        <w:tc>
          <w:tcPr>
            <w:tcW w:type="dxa" w:w="32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Main résolue après split</w:t>
            </w:r>
          </w:p>
        </w:tc>
        <w:tc>
          <w:tcPr>
            <w:tcW w:type="dxa" w:w="40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Activation de la main suivante.</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Jeu croupier</w:t>
            </w:r>
          </w:p>
        </w:tc>
        <w:tc>
          <w:tcPr>
            <w:tcW w:type="dxa" w:w="32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Mains joueur terminées</w:t>
            </w:r>
          </w:p>
        </w:tc>
        <w:tc>
          <w:tcPr>
            <w:tcW w:type="dxa" w:w="40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Comparaison finale.</w:t>
            </w:r>
          </w:p>
        </w:tc>
      </w:tr>
      <w:tr>
        <w:tc>
          <w:tcPr>
            <w:tcW w:type="dxa" w:w="194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Résolution</w:t>
            </w:r>
          </w:p>
        </w:tc>
        <w:tc>
          <w:tcPr>
            <w:tcW w:type="dxa" w:w="324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Croupier terminé</w:t>
            </w:r>
          </w:p>
        </w:tc>
        <w:tc>
          <w:tcPr>
            <w:tcW w:type="dxa" w:w="403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Résultat visible puis collecte.</w:t>
            </w:r>
          </w:p>
        </w:tc>
      </w:tr>
      <w:tr>
        <w:tc>
          <w:tcPr>
            <w:tcW w:type="dxa" w:w="194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Collecte</w:t>
            </w:r>
          </w:p>
        </w:tc>
        <w:tc>
          <w:tcPr>
            <w:tcW w:type="dxa" w:w="324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Résultat temporisé</w:t>
            </w:r>
          </w:p>
        </w:tc>
        <w:tc>
          <w:tcPr>
            <w:tcW w:type="dxa" w:w="403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Retour à préparation.</w:t>
            </w:r>
          </w:p>
        </w:tc>
      </w:tr>
    </w:tbl>
    <w:p>
      <w:pPr>
        <w:spacing w:after="20"/>
      </w:pPr>
    </w:p>
    <w:p>
      <w:r>
        <w:br w:type="page"/>
      </w:r>
    </w:p>
    <w:p>
      <w:pPr>
        <w:pStyle w:val="Heading1"/>
        <w:spacing w:before="280" w:after="140"/>
      </w:pPr>
      <w:r>
        <w:t>7  Formulaire de mise</w:t>
      </w:r>
    </w:p>
    <w:p>
      <w:pPr>
        <w:spacing w:after="140"/>
      </w:pPr>
      <w:r>
        <w:t>La gestion de la mise est un formulaire modal au-dessus de la table, et non un écran séparé. Le contexte du jeu reste visible, tandis que l’opération assume sa tonalité administrative.</w:t>
      </w:r>
    </w:p>
    <w:tbl>
      <w:tblPr>
        <w:tblW w:type="auto" w:w="0"/>
        <w:jc w:val="center"/>
        <w:tblLayout w:type="fixed"/>
        <w:tblLook w:firstColumn="1" w:firstRow="1" w:lastColumn="0" w:lastRow="0" w:noHBand="0" w:noVBand="1" w:val="04A0"/>
      </w:tblPr>
      <w:tblGrid>
        <w:gridCol w:w="5026"/>
        <w:gridCol w:w="5026"/>
      </w:tblGrid>
      <w:tr>
        <w:tc>
          <w:tcPr>
            <w:tcW w:type="dxa" w:w="2376"/>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Élément</w:t>
            </w:r>
          </w:p>
        </w:tc>
        <w:tc>
          <w:tcPr>
            <w:tcW w:type="dxa" w:w="6912"/>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Comportement</w:t>
            </w:r>
          </w:p>
        </w:tc>
      </w:tr>
      <w:tr>
        <w:tc>
          <w:tcPr>
            <w:tcW w:type="dxa" w:w="23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Fond modal</w:t>
            </w:r>
          </w:p>
        </w:tc>
        <w:tc>
          <w:tcPr>
            <w:tcW w:type="dxa" w:w="69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Surface claire, cadrée, avec assombrissement mesuré de la table.</w:t>
            </w:r>
          </w:p>
        </w:tc>
      </w:tr>
      <w:tr>
        <w:tc>
          <w:tcPr>
            <w:tcW w:type="dxa" w:w="23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Jetons</w:t>
            </w:r>
          </w:p>
        </w:tc>
        <w:tc>
          <w:tcPr>
            <w:tcW w:type="dxa" w:w="69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Sélection rapide d’une valeur prédéfinie ; état actif net.</w:t>
            </w:r>
          </w:p>
        </w:tc>
      </w:tr>
      <w:tr>
        <w:tc>
          <w:tcPr>
            <w:tcW w:type="dxa" w:w="23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Montant engagé</w:t>
            </w:r>
          </w:p>
        </w:tc>
        <w:tc>
          <w:tcPr>
            <w:tcW w:type="dxa" w:w="69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Champ directement éditable : tap, clavier numérique, valeur exacte possible.</w:t>
            </w:r>
          </w:p>
        </w:tc>
      </w:tr>
      <w:tr>
        <w:tc>
          <w:tcPr>
            <w:tcW w:type="dxa" w:w="23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Contraintes</w:t>
            </w:r>
          </w:p>
        </w:tc>
        <w:tc>
          <w:tcPr>
            <w:tcW w:type="dxa" w:w="69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Validation contre solde et limites de table ; message explicite et correctif.</w:t>
            </w:r>
          </w:p>
        </w:tc>
      </w:tr>
      <w:tr>
        <w:tc>
          <w:tcPr>
            <w:tcW w:type="dxa" w:w="2376"/>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Actions</w:t>
            </w:r>
          </w:p>
        </w:tc>
        <w:tc>
          <w:tcPr>
            <w:tcW w:type="dxa" w:w="6912"/>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Annuler et confirmer ; confirmer inactif tant que le montant est invalide.</w:t>
            </w:r>
          </w:p>
        </w:tc>
      </w:tr>
      <w:tr>
        <w:tc>
          <w:tcPr>
            <w:tcW w:type="dxa" w:w="2376"/>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Retour</w:t>
            </w:r>
          </w:p>
        </w:tc>
        <w:tc>
          <w:tcPr>
            <w:tcW w:type="dxa" w:w="6912"/>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Fermeture vers la table sans réinitialiser le contexte visible.</w:t>
            </w:r>
          </w:p>
        </w:tc>
      </w:tr>
    </w:tbl>
    <w:p>
      <w:pPr>
        <w:spacing w:after="20"/>
      </w:pPr>
    </w:p>
    <w:p>
      <w:pPr>
        <w:pStyle w:val="ListBullet"/>
        <w:spacing w:after="60"/>
      </w:pPr>
      <w:r>
        <w:t>La saisie est conservée après une erreur ; aucune réinitialisation silencieuse.</w:t>
      </w:r>
    </w:p>
    <w:p>
      <w:pPr>
        <w:pStyle w:val="ListBullet"/>
        <w:spacing w:after="60"/>
      </w:pPr>
      <w:r>
        <w:t>Les jetons modifient le champ ; le champ met à jour la sélection lorsqu’une valeur correspond.</w:t>
      </w:r>
    </w:p>
    <w:p>
      <w:pPr>
        <w:pStyle w:val="ListBullet"/>
        <w:spacing w:after="60"/>
      </w:pPr>
      <w:r>
        <w:t>Le montant final est annoncé au lecteur d’écran.</w:t>
      </w:r>
    </w:p>
    <w:p>
      <w:pPr>
        <w:pStyle w:val="ListBullet"/>
        <w:spacing w:after="60"/>
      </w:pPr>
      <w:r>
        <w:t>Après distribution, la mise devient non modifiable et cet état est visible.</w:t>
      </w:r>
    </w:p>
    <w:p>
      <w:pPr>
        <w:pStyle w:val="Heading1"/>
        <w:spacing w:before="280" w:after="140"/>
      </w:pPr>
      <w:r>
        <w:t>8  Écran de statistiques</w:t>
      </w:r>
    </w:p>
    <w:p>
      <w:pPr>
        <w:spacing w:after="140"/>
      </w:pPr>
      <w:r>
        <w:t>Les statistiques prennent la forme d’un rapport sur feuille, calme et imprimable. Ce n’est pas un tableau de bord financier : les faits sont présentés avec la hiérarchie d’un relevé administratif.</w:t>
      </w:r>
    </w:p>
    <w:tbl>
      <w:tblPr>
        <w:tblW w:type="auto" w:w="0"/>
        <w:jc w:val="center"/>
        <w:tblLayout w:type="fixed"/>
        <w:tblLook w:firstColumn="1" w:firstRow="1" w:lastColumn="0" w:lastRow="0" w:noHBand="0" w:noVBand="1" w:val="04A0"/>
      </w:tblPr>
      <w:tblGrid>
        <w:gridCol w:w="5026"/>
        <w:gridCol w:w="5026"/>
      </w:tblGrid>
      <w:tr>
        <w:tc>
          <w:tcPr>
            <w:tcW w:type="dxa" w:w="208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Bloc</w:t>
            </w:r>
          </w:p>
        </w:tc>
        <w:tc>
          <w:tcPr>
            <w:tcW w:type="dxa" w:w="7200"/>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Contenu</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Titre de rapport</w:t>
            </w:r>
          </w:p>
        </w:tc>
        <w:tc>
          <w:tcPr>
            <w:tcW w:type="dxa" w:w="720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Période, jeu ou session, et métadonnées réduites.</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Table principale</w:t>
            </w:r>
          </w:p>
        </w:tc>
        <w:tc>
          <w:tcPr>
            <w:tcW w:type="dxa" w:w="720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Colonnes Carte, Apparitions et Pourcentage ; en-têtes persistants au défilement.</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Barres</w:t>
            </w:r>
          </w:p>
        </w:tc>
        <w:tc>
          <w:tcPr>
            <w:tcW w:type="dxa" w:w="720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Barres horizontales discrètes dans la colonne de pourcentage ; elles confirment les chiffres sans les concurrencer.</w:t>
            </w:r>
          </w:p>
        </w:tc>
      </w:tr>
      <w:tr>
        <w:tc>
          <w:tcPr>
            <w:tcW w:type="dxa" w:w="208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Résumé</w:t>
            </w:r>
          </w:p>
        </w:tc>
        <w:tc>
          <w:tcPr>
            <w:tcW w:type="dxa" w:w="720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Mains jouées, résultat net, distribution ou tendance utile.</w:t>
            </w:r>
          </w:p>
        </w:tc>
      </w:tr>
      <w:tr>
        <w:tc>
          <w:tcPr>
            <w:tcW w:type="dxa" w:w="208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Tampon</w:t>
            </w:r>
          </w:p>
        </w:tc>
        <w:tc>
          <w:tcPr>
            <w:tcW w:type="dxa" w:w="720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Marque rouge visible mais discrète, sans masquer de donnée ni simuler une validation réelle.</w:t>
            </w:r>
          </w:p>
        </w:tc>
      </w:tr>
    </w:tbl>
    <w:p>
      <w:pPr>
        <w:spacing w:after="20"/>
      </w:pPr>
    </w:p>
    <w:p>
      <w:pPr>
        <w:spacing w:after="140"/>
      </w:pPr>
      <w:r>
        <w:t>Les valeurs sont alignées et comparables. Les pourcentages conservent une précision cohérente ; les barres ont toujours un libellé chiffré.</w:t>
      </w:r>
    </w:p>
    <w:p>
      <w:r>
        <w:br w:type="page"/>
      </w:r>
    </w:p>
    <w:p>
      <w:pPr>
        <w:pStyle w:val="Heading1"/>
        <w:spacing w:before="280" w:after="140"/>
      </w:pPr>
      <w:r>
        <w:t>9  Composants Compose réutilisables</w:t>
      </w:r>
    </w:p>
    <w:p>
      <w:pPr>
        <w:spacing w:after="140"/>
      </w:pPr>
      <w:r>
        <w:t>L’implémentation Compose doit isoler règles métier et états visuels. Les composants sont orientés données, testables et prévisualisables dans leurs états importants.</w:t>
      </w:r>
    </w:p>
    <w:tbl>
      <w:tblPr>
        <w:tblW w:type="auto" w:w="0"/>
        <w:jc w:val="center"/>
        <w:tblLayout w:type="fixed"/>
        <w:tblLook w:firstColumn="1" w:firstRow="1" w:lastColumn="0" w:lastRow="0" w:noHBand="0" w:noVBand="1" w:val="04A0"/>
      </w:tblPr>
      <w:tblGrid>
        <w:gridCol w:w="3351"/>
        <w:gridCol w:w="3351"/>
        <w:gridCol w:w="3351"/>
      </w:tblGrid>
      <w:tr>
        <w:tc>
          <w:tcPr>
            <w:tcW w:type="dxa" w:w="2304"/>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Composant</w:t>
            </w:r>
          </w:p>
        </w:tc>
        <w:tc>
          <w:tcPr>
            <w:tcW w:type="dxa" w:w="3960"/>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Responsabilité</w:t>
            </w:r>
          </w:p>
        </w:tc>
        <w:tc>
          <w:tcPr>
            <w:tcW w:type="dxa" w:w="2448"/>
            <w:shd w:fill="2E302E"/>
            <w:tcBorders>
              <w:top w:val="single" w:sz="6" w:color="D9D9D9"/>
              <w:left w:val="single" w:sz="6" w:color="D9D9D9"/>
              <w:bottom w:val="single" w:sz="6" w:color="D9D9D9"/>
              <w:right w:val="single" w:sz="6" w:color="D9D9D9"/>
            </w:tcBorders>
            <w:vAlign w:val="center"/>
          </w:tcPr>
          <w:p>
            <w:pPr>
              <w:spacing w:after="0"/>
            </w:pPr>
            <w:r/>
            <w:r>
              <w:rPr>
                <w:rFonts w:ascii="Aptos" w:hAnsi="Aptos"/>
                <w:b/>
                <w:color w:val="FFFFFF"/>
                <w:sz w:val="18"/>
              </w:rPr>
              <w:t>Variantes</w:t>
            </w:r>
          </w:p>
        </w:tc>
      </w:tr>
      <w:tr>
        <w:tc>
          <w:tcPr>
            <w:tcW w:type="dxa" w:w="230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JacquesNoirTheme</w:t>
            </w:r>
          </w:p>
        </w:tc>
        <w:tc>
          <w:tcPr>
            <w:tcW w:type="dxa" w:w="396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Tokens light dark, typo et formes</w:t>
            </w:r>
          </w:p>
        </w:tc>
        <w:tc>
          <w:tcPr>
            <w:tcW w:type="dxa" w:w="244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Light, Dark.</w:t>
            </w:r>
          </w:p>
        </w:tc>
      </w:tr>
      <w:tr>
        <w:tc>
          <w:tcPr>
            <w:tcW w:type="dxa" w:w="230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AppTopBar</w:t>
            </w:r>
          </w:p>
        </w:tc>
        <w:tc>
          <w:tcPr>
            <w:tcW w:type="dxa" w:w="396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Navigation et contexte global</w:t>
            </w:r>
          </w:p>
        </w:tc>
        <w:tc>
          <w:tcPr>
            <w:tcW w:type="dxa" w:w="244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Accueil, retour, solde.</w:t>
            </w:r>
          </w:p>
        </w:tc>
      </w:tr>
      <w:tr>
        <w:tc>
          <w:tcPr>
            <w:tcW w:type="dxa" w:w="230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TypewriterActionRow</w:t>
            </w:r>
          </w:p>
        </w:tc>
        <w:tc>
          <w:tcPr>
            <w:tcW w:type="dxa" w:w="396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Ligne d’action soulignée</w:t>
            </w:r>
          </w:p>
        </w:tc>
        <w:tc>
          <w:tcPr>
            <w:tcW w:type="dxa" w:w="244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Normal, désactivé, focus.</w:t>
            </w:r>
          </w:p>
        </w:tc>
      </w:tr>
      <w:tr>
        <w:tc>
          <w:tcPr>
            <w:tcW w:type="dxa" w:w="230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CardView</w:t>
            </w:r>
          </w:p>
        </w:tc>
        <w:tc>
          <w:tcPr>
            <w:tcW w:type="dxa" w:w="396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Carte et états</w:t>
            </w:r>
          </w:p>
        </w:tc>
        <w:tc>
          <w:tcPr>
            <w:tcW w:type="dxa" w:w="244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Cachée, révélée, résolue.</w:t>
            </w:r>
          </w:p>
        </w:tc>
      </w:tr>
      <w:tr>
        <w:tc>
          <w:tcPr>
            <w:tcW w:type="dxa" w:w="230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HandStack</w:t>
            </w:r>
          </w:p>
        </w:tc>
        <w:tc>
          <w:tcPr>
            <w:tcW w:type="dxa" w:w="396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Cartes superposées et appui long</w:t>
            </w:r>
          </w:p>
        </w:tc>
        <w:tc>
          <w:tcPr>
            <w:tcW w:type="dxa" w:w="244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Active, inactive, lecture seule.</w:t>
            </w:r>
          </w:p>
        </w:tc>
      </w:tr>
      <w:tr>
        <w:tc>
          <w:tcPr>
            <w:tcW w:type="dxa" w:w="230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ChipSelector</w:t>
            </w:r>
          </w:p>
        </w:tc>
        <w:tc>
          <w:tcPr>
            <w:tcW w:type="dxa" w:w="396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Sélection de mise</w:t>
            </w:r>
          </w:p>
        </w:tc>
        <w:tc>
          <w:tcPr>
            <w:tcW w:type="dxa" w:w="244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Disponible, sélectionné, indisponible.</w:t>
            </w:r>
          </w:p>
        </w:tc>
      </w:tr>
      <w:tr>
        <w:tc>
          <w:tcPr>
            <w:tcW w:type="dxa" w:w="230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BetModal</w:t>
            </w:r>
          </w:p>
        </w:tc>
        <w:tc>
          <w:tcPr>
            <w:tcW w:type="dxa" w:w="396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Formulaire et validation</w:t>
            </w:r>
          </w:p>
        </w:tc>
        <w:tc>
          <w:tcPr>
            <w:tcW w:type="dxa" w:w="244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Création, correction, solde insuffisant.</w:t>
            </w:r>
          </w:p>
        </w:tc>
      </w:tr>
      <w:tr>
        <w:tc>
          <w:tcPr>
            <w:tcW w:type="dxa" w:w="230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GameActionMenu</w:t>
            </w:r>
          </w:p>
        </w:tc>
        <w:tc>
          <w:tcPr>
            <w:tcW w:type="dxa" w:w="396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Actions contextuelles</w:t>
            </w:r>
          </w:p>
        </w:tc>
        <w:tc>
          <w:tcPr>
            <w:tcW w:type="dxa" w:w="244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Hit, stand, double, split.</w:t>
            </w:r>
          </w:p>
        </w:tc>
      </w:tr>
      <w:tr>
        <w:tc>
          <w:tcPr>
            <w:tcW w:type="dxa" w:w="2304"/>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StatReportTable</w:t>
            </w:r>
          </w:p>
        </w:tc>
        <w:tc>
          <w:tcPr>
            <w:tcW w:type="dxa" w:w="3960"/>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Carte apparitions pourcentage</w:t>
            </w:r>
          </w:p>
        </w:tc>
        <w:tc>
          <w:tcPr>
            <w:tcW w:type="dxa" w:w="2448"/>
            <w:tcBorders>
              <w:top w:val="single" w:sz="6" w:color="D9D9D9"/>
              <w:left w:val="single" w:sz="6" w:color="D9D9D9"/>
              <w:bottom w:val="single" w:sz="6" w:color="D9D9D9"/>
              <w:right w:val="single" w:sz="6" w:color="D9D9D9"/>
            </w:tcBorders>
            <w:vAlign w:val="center"/>
          </w:tcPr>
          <w:p>
            <w:pPr>
              <w:spacing w:after="0"/>
            </w:pPr>
            <w:r/>
            <w:r>
              <w:rPr>
                <w:rFonts w:ascii="Aptos" w:hAnsi="Aptos"/>
                <w:b w:val="0"/>
                <w:color w:val="000000"/>
                <w:sz w:val="17"/>
              </w:rPr>
              <w:t>Vide, chargé, liste longue.</w:t>
            </w:r>
          </w:p>
        </w:tc>
      </w:tr>
      <w:tr>
        <w:tc>
          <w:tcPr>
            <w:tcW w:type="dxa" w:w="2304"/>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StampedSummary</w:t>
            </w:r>
          </w:p>
        </w:tc>
        <w:tc>
          <w:tcPr>
            <w:tcW w:type="dxa" w:w="3960"/>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Résumé et tampon contrôlé</w:t>
            </w:r>
          </w:p>
        </w:tc>
        <w:tc>
          <w:tcPr>
            <w:tcW w:type="dxa" w:w="2448"/>
            <w:tcBorders>
              <w:top w:val="single" w:sz="6" w:color="D9D9D9"/>
              <w:left w:val="single" w:sz="6" w:color="D9D9D9"/>
              <w:bottom w:val="single" w:sz="6" w:color="D9D9D9"/>
              <w:right w:val="single" w:sz="6" w:color="D9D9D9"/>
            </w:tcBorders>
            <w:shd w:fill="ECE9E1"/>
            <w:vAlign w:val="center"/>
          </w:tcPr>
          <w:p>
            <w:pPr>
              <w:spacing w:after="0"/>
            </w:pPr>
            <w:r/>
            <w:r>
              <w:rPr>
                <w:rFonts w:ascii="Aptos" w:hAnsi="Aptos"/>
                <w:b w:val="0"/>
                <w:color w:val="000000"/>
                <w:sz w:val="17"/>
              </w:rPr>
              <w:t>Neutre, positif, perte.</w:t>
            </w:r>
          </w:p>
        </w:tc>
      </w:tr>
    </w:tbl>
    <w:p>
      <w:pPr>
        <w:spacing w:after="20"/>
      </w:pPr>
    </w:p>
    <w:p>
      <w:pPr>
        <w:pStyle w:val="Heading2"/>
        <w:spacing w:before="180" w:after="100"/>
      </w:pPr>
      <w:r>
        <w:t>Recommandations de structure</w:t>
      </w:r>
    </w:p>
    <w:p>
      <w:pPr>
        <w:pStyle w:val="ListBullet"/>
        <w:spacing w:after="60"/>
      </w:pPr>
      <w:r>
        <w:t>Organiser par feature : home, game, bet, statistics et design system. Le design system ne dépend d’aucune feature.</w:t>
      </w:r>
    </w:p>
    <w:p>
      <w:pPr>
        <w:pStyle w:val="ListBullet"/>
        <w:spacing w:after="60"/>
      </w:pPr>
      <w:r>
        <w:t>Conserver un état de domaine explicite : phase, mains, main active, mise, droits d’action, résultat. L’UI dérive ses permissions de cet état.</w:t>
      </w:r>
    </w:p>
    <w:p>
      <w:pPr>
        <w:pStyle w:val="ListBullet"/>
        <w:spacing w:after="60"/>
      </w:pPr>
      <w:r>
        <w:t>Séparer les intentions utilisateur des effets de table, afin de simplifier tests et animations.</w:t>
      </w:r>
    </w:p>
    <w:p>
      <w:pPr>
        <w:pStyle w:val="ListBullet"/>
        <w:spacing w:after="60"/>
      </w:pPr>
      <w:r>
        <w:t>Employer un ViewModel par écran ou flux ; les règles de blackjack ne vivent pas dans les composables.</w:t>
      </w:r>
    </w:p>
    <w:p>
      <w:pPr>
        <w:pStyle w:val="ListBullet"/>
        <w:spacing w:after="60"/>
      </w:pPr>
      <w:r>
        <w:t>Prévoir des previews pour split, bust, modal invalide, rapport vide et thème sombre.</w:t>
      </w:r>
    </w:p>
    <w:p>
      <w:pPr>
        <w:pStyle w:val="Heading1"/>
        <w:spacing w:before="280" w:after="140"/>
      </w:pPr>
      <w:r>
        <w:t>10  Critères de cohérence avant livraison</w:t>
      </w:r>
    </w:p>
    <w:p>
      <w:pPr>
        <w:pStyle w:val="ListBullet"/>
        <w:spacing w:after="60"/>
      </w:pPr>
      <w:r>
        <w:t>Le contraste administratif jeu est perceptible sans surcharge décorative.</w:t>
      </w:r>
    </w:p>
    <w:p>
      <w:pPr>
        <w:pStyle w:val="ListBullet"/>
        <w:spacing w:after="60"/>
      </w:pPr>
      <w:r>
        <w:t>Aucune action de blackjack ne dépend uniquement de couleur, geste caché ou animation.</w:t>
      </w:r>
    </w:p>
    <w:p>
      <w:pPr>
        <w:pStyle w:val="ListBullet"/>
        <w:spacing w:after="60"/>
      </w:pPr>
      <w:r>
        <w:t>Le parcours mise → distribution → mains → résolution → collecte est complet sans validation redondante.</w:t>
      </w:r>
    </w:p>
    <w:p>
      <w:pPr>
        <w:pStyle w:val="ListBullet"/>
        <w:spacing w:after="60"/>
      </w:pPr>
      <w:r>
        <w:t>Les statistiques restent lisibles sans les barres graphiques.</w:t>
      </w:r>
    </w:p>
    <w:p>
      <w:pPr>
        <w:pStyle w:val="ListBullet"/>
        <w:spacing w:after="60"/>
      </w:pPr>
      <w:r>
        <w:t>Les composants partagent tokens, espacements et états d’accessibilité dans les deux thèmes.</w:t>
      </w:r>
    </w:p>
    <w:sectPr w:rsidR="00FC693F" w:rsidRPr="0006063C" w:rsidSect="00034616">
      <w:headerReference w:type="default" r:id="rId9"/>
      <w:footerReference w:type="default" r:id="rId10"/>
      <w:pgSz w:w="12240" w:h="15840"/>
      <w:pgMar w:top="979"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6A66"/>
        <w:sz w:val="16"/>
      </w:rPr>
      <w:t>Document de conception  •  7 octobre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86A66"/>
        <w:sz w:val="16"/>
      </w:rPr>
      <w:t>JACQUESNOIR  /  RÉFÉRENCE UX 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JacquesNoir Référence de conception UX UI</dc:title>
  <dc:subject>Synthèse UX UI</dc:subject>
  <dc:creator>JacquesNoir</dc:creator>
  <cp:keywords/>
  <dc:description>generated by python-docx</dc:description>
  <cp:lastModifiedBy/>
  <cp:revision>1</cp:revision>
  <dcterms:created xsi:type="dcterms:W3CDTF">2013-12-23T23:15:00Z</dcterms:created>
  <dcterms:modified xsi:type="dcterms:W3CDTF">2013-12-23T23:15:00Z</dcterms:modified>
  <cp:category/>
</cp:coreProperties>
</file>