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1F10A" w14:textId="77777777" w:rsidR="003E4511" w:rsidRPr="000978BA" w:rsidRDefault="003E4511" w:rsidP="00EB5616">
      <w:pPr>
        <w:jc w:val="both"/>
        <w:rPr>
          <w:rFonts w:ascii="Arial" w:hAnsi="Arial" w:cs="Arial"/>
        </w:rPr>
      </w:pPr>
    </w:p>
    <w:p w14:paraId="39586077" w14:textId="305CA9A9" w:rsidR="003E4511" w:rsidRPr="000978BA" w:rsidRDefault="003E4511" w:rsidP="003E4511">
      <w:pPr>
        <w:jc w:val="center"/>
        <w:rPr>
          <w:rFonts w:ascii="Arial" w:hAnsi="Arial" w:cs="Arial"/>
          <w:b/>
          <w:bCs/>
        </w:rPr>
      </w:pPr>
      <w:r w:rsidRPr="000978BA">
        <w:rPr>
          <w:rFonts w:ascii="Arial" w:hAnsi="Arial" w:cs="Arial"/>
          <w:b/>
          <w:bCs/>
        </w:rPr>
        <w:t>CPE 55</w:t>
      </w:r>
      <w:r w:rsidRPr="000978BA">
        <w:rPr>
          <w:rFonts w:ascii="Arial" w:hAnsi="Arial" w:cs="Arial"/>
          <w:b/>
          <w:bCs/>
          <w:vertAlign w:val="superscript"/>
        </w:rPr>
        <w:t>th</w:t>
      </w:r>
      <w:r w:rsidRPr="000978BA">
        <w:rPr>
          <w:rFonts w:ascii="Arial" w:hAnsi="Arial" w:cs="Arial"/>
          <w:b/>
          <w:bCs/>
        </w:rPr>
        <w:t xml:space="preserve"> Advisory: Transition Phase Measures for Private Education Institutions</w:t>
      </w:r>
      <w:r w:rsidR="003337F9" w:rsidRPr="000978BA">
        <w:rPr>
          <w:rFonts w:ascii="Arial" w:hAnsi="Arial" w:cs="Arial"/>
          <w:b/>
          <w:bCs/>
        </w:rPr>
        <w:t xml:space="preserve"> from 22 November 2021</w:t>
      </w:r>
    </w:p>
    <w:p w14:paraId="5A26DF4B" w14:textId="5FC8E725" w:rsidR="00564308" w:rsidRPr="000978BA" w:rsidRDefault="00831983" w:rsidP="00EB5616">
      <w:pPr>
        <w:jc w:val="both"/>
        <w:rPr>
          <w:rFonts w:ascii="Arial" w:hAnsi="Arial" w:cs="Arial"/>
        </w:rPr>
      </w:pPr>
      <w:r w:rsidRPr="000978BA">
        <w:rPr>
          <w:rFonts w:ascii="Arial" w:hAnsi="Arial" w:cs="Arial"/>
        </w:rPr>
        <w:t>Dear Sirs,</w:t>
      </w:r>
    </w:p>
    <w:p w14:paraId="4644933E" w14:textId="7102DA3C" w:rsidR="00831983" w:rsidRPr="000978BA" w:rsidRDefault="00831983" w:rsidP="00EB5616">
      <w:pPr>
        <w:pStyle w:val="ListParagraph"/>
        <w:numPr>
          <w:ilvl w:val="0"/>
          <w:numId w:val="1"/>
        </w:numPr>
        <w:ind w:left="0" w:firstLine="0"/>
        <w:jc w:val="both"/>
        <w:rPr>
          <w:rFonts w:ascii="Arial" w:hAnsi="Arial" w:cs="Arial"/>
        </w:rPr>
      </w:pPr>
      <w:r w:rsidRPr="000978BA">
        <w:rPr>
          <w:rFonts w:ascii="Arial" w:hAnsi="Arial" w:cs="Arial"/>
        </w:rPr>
        <w:t xml:space="preserve">On 20 November 2021, the Multi-Ministry Task Force (MTF) announced </w:t>
      </w:r>
      <w:r w:rsidR="004B1B34" w:rsidRPr="000978BA">
        <w:rPr>
          <w:rFonts w:ascii="Arial" w:hAnsi="Arial" w:cs="Arial"/>
        </w:rPr>
        <w:t xml:space="preserve">the end of Stabilisation </w:t>
      </w:r>
      <w:r w:rsidR="003E4511" w:rsidRPr="000978BA">
        <w:rPr>
          <w:rFonts w:ascii="Arial" w:hAnsi="Arial" w:cs="Arial"/>
        </w:rPr>
        <w:t>P</w:t>
      </w:r>
      <w:r w:rsidR="004B1B34" w:rsidRPr="000978BA">
        <w:rPr>
          <w:rFonts w:ascii="Arial" w:hAnsi="Arial" w:cs="Arial"/>
        </w:rPr>
        <w:t xml:space="preserve">hase on 21 November 2021 (date inclusive). A </w:t>
      </w:r>
      <w:r w:rsidRPr="000978BA">
        <w:rPr>
          <w:rFonts w:ascii="Arial" w:hAnsi="Arial" w:cs="Arial"/>
        </w:rPr>
        <w:t xml:space="preserve">calibrated reopening of activities </w:t>
      </w:r>
      <w:r w:rsidR="004B1B34" w:rsidRPr="000978BA">
        <w:rPr>
          <w:rFonts w:ascii="Arial" w:hAnsi="Arial" w:cs="Arial"/>
        </w:rPr>
        <w:t xml:space="preserve">will be adopted </w:t>
      </w:r>
      <w:r w:rsidRPr="000978BA">
        <w:rPr>
          <w:rFonts w:ascii="Arial" w:hAnsi="Arial" w:cs="Arial"/>
        </w:rPr>
        <w:t xml:space="preserve">as Singapore </w:t>
      </w:r>
      <w:r w:rsidR="004B1B34" w:rsidRPr="000978BA">
        <w:rPr>
          <w:rFonts w:ascii="Arial" w:hAnsi="Arial" w:cs="Arial"/>
        </w:rPr>
        <w:t xml:space="preserve">moves </w:t>
      </w:r>
      <w:r w:rsidR="00C00715" w:rsidRPr="000978BA">
        <w:rPr>
          <w:rFonts w:ascii="Arial" w:hAnsi="Arial" w:cs="Arial"/>
        </w:rPr>
        <w:t>into</w:t>
      </w:r>
      <w:r w:rsidR="00494458" w:rsidRPr="000978BA">
        <w:rPr>
          <w:rFonts w:ascii="Arial" w:hAnsi="Arial" w:cs="Arial"/>
        </w:rPr>
        <w:t xml:space="preserve"> a Transition Phase </w:t>
      </w:r>
      <w:r w:rsidRPr="000978BA">
        <w:rPr>
          <w:rFonts w:ascii="Arial" w:hAnsi="Arial" w:cs="Arial"/>
        </w:rPr>
        <w:t xml:space="preserve">effective from 22 November 2021 onwards. The </w:t>
      </w:r>
      <w:r w:rsidR="00817214" w:rsidRPr="000978BA">
        <w:rPr>
          <w:rFonts w:ascii="Arial" w:hAnsi="Arial" w:cs="Arial"/>
        </w:rPr>
        <w:t>M</w:t>
      </w:r>
      <w:r w:rsidR="003E4511" w:rsidRPr="000978BA">
        <w:rPr>
          <w:rFonts w:ascii="Arial" w:hAnsi="Arial" w:cs="Arial"/>
        </w:rPr>
        <w:t>TF</w:t>
      </w:r>
      <w:r w:rsidR="00817214" w:rsidRPr="000978BA">
        <w:rPr>
          <w:rFonts w:ascii="Arial" w:hAnsi="Arial" w:cs="Arial"/>
        </w:rPr>
        <w:t xml:space="preserve"> press</w:t>
      </w:r>
      <w:r w:rsidRPr="000978BA">
        <w:rPr>
          <w:rFonts w:ascii="Arial" w:hAnsi="Arial" w:cs="Arial"/>
        </w:rPr>
        <w:t xml:space="preserve"> release is attached below.</w:t>
      </w:r>
    </w:p>
    <w:p w14:paraId="15B599E6" w14:textId="4B3EF817" w:rsidR="00E75169" w:rsidRPr="000978BA" w:rsidRDefault="00817214" w:rsidP="00EB5616">
      <w:pPr>
        <w:jc w:val="both"/>
        <w:rPr>
          <w:rFonts w:ascii="Arial" w:hAnsi="Arial" w:cs="Arial"/>
        </w:rPr>
      </w:pPr>
      <w:r w:rsidRPr="000978BA">
        <w:object w:dxaOrig="935" w:dyaOrig="605" w14:anchorId="4810E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8" o:title=""/>
          </v:shape>
          <o:OLEObject Type="Embed" ProgID="AcroExch.Document.2020" ShapeID="_x0000_i1025" DrawAspect="Icon" ObjectID="_1699076195" r:id="rId9"/>
        </w:object>
      </w:r>
    </w:p>
    <w:p w14:paraId="416DA830" w14:textId="793570F5" w:rsidR="00831983" w:rsidRPr="000978BA" w:rsidRDefault="00831983" w:rsidP="00EB5616">
      <w:pPr>
        <w:jc w:val="both"/>
        <w:rPr>
          <w:rFonts w:ascii="Arial" w:hAnsi="Arial" w:cs="Arial"/>
          <w:b/>
          <w:bCs/>
        </w:rPr>
      </w:pPr>
      <w:r w:rsidRPr="000978BA">
        <w:rPr>
          <w:rFonts w:ascii="Arial" w:hAnsi="Arial" w:cs="Arial"/>
          <w:b/>
          <w:bCs/>
        </w:rPr>
        <w:t>Guidance for Private Education Institutions</w:t>
      </w:r>
      <w:r w:rsidR="003E4511" w:rsidRPr="000978BA">
        <w:rPr>
          <w:rFonts w:ascii="Arial" w:hAnsi="Arial" w:cs="Arial"/>
          <w:b/>
          <w:bCs/>
        </w:rPr>
        <w:t xml:space="preserve"> (PEIs)</w:t>
      </w:r>
      <w:r w:rsidRPr="000978BA">
        <w:rPr>
          <w:rFonts w:ascii="Arial" w:hAnsi="Arial" w:cs="Arial"/>
          <w:b/>
          <w:bCs/>
        </w:rPr>
        <w:t xml:space="preserve"> </w:t>
      </w:r>
    </w:p>
    <w:p w14:paraId="1F28C545" w14:textId="267DE066" w:rsidR="00A62EED" w:rsidRPr="000978BA" w:rsidRDefault="00A62EED" w:rsidP="00EB5616">
      <w:pPr>
        <w:jc w:val="both"/>
        <w:rPr>
          <w:rFonts w:ascii="Arial" w:hAnsi="Arial" w:cs="Arial"/>
          <w:b/>
          <w:bCs/>
          <w:i/>
          <w:iCs/>
        </w:rPr>
      </w:pPr>
      <w:r w:rsidRPr="000978BA">
        <w:rPr>
          <w:rFonts w:ascii="Arial" w:hAnsi="Arial" w:cs="Arial"/>
          <w:b/>
          <w:bCs/>
          <w:color w:val="FF0000"/>
        </w:rPr>
        <w:t xml:space="preserve">[Updated] </w:t>
      </w:r>
      <w:r w:rsidRPr="000978BA">
        <w:rPr>
          <w:rFonts w:ascii="Arial" w:hAnsi="Arial" w:cs="Arial"/>
          <w:i/>
          <w:iCs/>
          <w:color w:val="000000" w:themeColor="text1"/>
        </w:rPr>
        <w:t xml:space="preserve">National </w:t>
      </w:r>
      <w:r w:rsidR="003E4511" w:rsidRPr="000978BA">
        <w:rPr>
          <w:rFonts w:ascii="Arial" w:hAnsi="Arial" w:cs="Arial"/>
          <w:i/>
          <w:iCs/>
          <w:color w:val="000000" w:themeColor="text1"/>
        </w:rPr>
        <w:t>Safe Management Measures (</w:t>
      </w:r>
      <w:r w:rsidRPr="000978BA">
        <w:rPr>
          <w:rFonts w:ascii="Arial" w:hAnsi="Arial" w:cs="Arial"/>
          <w:i/>
          <w:iCs/>
          <w:color w:val="000000" w:themeColor="text1"/>
        </w:rPr>
        <w:t>SMMs</w:t>
      </w:r>
      <w:r w:rsidR="003E4511" w:rsidRPr="000978BA">
        <w:rPr>
          <w:rFonts w:ascii="Arial" w:hAnsi="Arial" w:cs="Arial"/>
          <w:i/>
          <w:iCs/>
          <w:color w:val="000000" w:themeColor="text1"/>
        </w:rPr>
        <w:t>)</w:t>
      </w:r>
    </w:p>
    <w:p w14:paraId="6293F96E" w14:textId="29699DD8" w:rsidR="00C500D6" w:rsidRPr="000978BA" w:rsidRDefault="00EB5616" w:rsidP="00597D28">
      <w:pPr>
        <w:pStyle w:val="ListParagraph"/>
        <w:numPr>
          <w:ilvl w:val="0"/>
          <w:numId w:val="1"/>
        </w:numPr>
        <w:ind w:left="0" w:firstLine="0"/>
        <w:jc w:val="both"/>
        <w:rPr>
          <w:rFonts w:ascii="Arial" w:hAnsi="Arial" w:cs="Arial"/>
        </w:rPr>
      </w:pPr>
      <w:r w:rsidRPr="000978BA">
        <w:rPr>
          <w:rFonts w:ascii="Arial" w:hAnsi="Arial" w:cs="Arial"/>
          <w:b/>
          <w:bCs/>
          <w:color w:val="FF0000"/>
        </w:rPr>
        <w:t>[Updated]</w:t>
      </w:r>
      <w:r w:rsidRPr="000978BA">
        <w:rPr>
          <w:rFonts w:ascii="Arial" w:hAnsi="Arial" w:cs="Arial"/>
          <w:b/>
          <w:bCs/>
        </w:rPr>
        <w:t xml:space="preserve"> </w:t>
      </w:r>
      <w:r w:rsidR="00494458" w:rsidRPr="000978BA">
        <w:rPr>
          <w:rFonts w:ascii="Arial" w:hAnsi="Arial" w:cs="Arial"/>
          <w:b/>
          <w:bCs/>
        </w:rPr>
        <w:t>Social Gathering Group Size</w:t>
      </w:r>
      <w:r w:rsidR="00A62EED" w:rsidRPr="000978BA">
        <w:rPr>
          <w:rFonts w:ascii="Arial" w:hAnsi="Arial" w:cs="Arial"/>
          <w:b/>
          <w:bCs/>
        </w:rPr>
        <w:t xml:space="preserve">: </w:t>
      </w:r>
      <w:r w:rsidR="00494458" w:rsidRPr="000978BA">
        <w:rPr>
          <w:rFonts w:ascii="Arial" w:hAnsi="Arial" w:cs="Arial"/>
        </w:rPr>
        <w:t xml:space="preserve">From 22 November 2021, the permissible social gathering group size will be increased from 2 persons to 5 persons. </w:t>
      </w:r>
    </w:p>
    <w:p w14:paraId="7D7003A4" w14:textId="77777777" w:rsidR="004B1B34" w:rsidRPr="000978BA" w:rsidRDefault="004B1B34" w:rsidP="003F0066">
      <w:pPr>
        <w:pStyle w:val="ListParagraph"/>
        <w:rPr>
          <w:rFonts w:ascii="Arial" w:hAnsi="Arial" w:cs="Arial"/>
        </w:rPr>
      </w:pPr>
    </w:p>
    <w:p w14:paraId="79278D98" w14:textId="3DE45568" w:rsidR="004B1B34" w:rsidRPr="000978BA" w:rsidRDefault="00395020" w:rsidP="00597D28">
      <w:pPr>
        <w:pStyle w:val="ListParagraph"/>
        <w:numPr>
          <w:ilvl w:val="0"/>
          <w:numId w:val="1"/>
        </w:numPr>
        <w:ind w:left="0" w:firstLine="0"/>
        <w:jc w:val="both"/>
        <w:rPr>
          <w:rFonts w:ascii="Arial" w:hAnsi="Arial" w:cs="Arial"/>
        </w:rPr>
      </w:pPr>
      <w:r w:rsidRPr="000978BA">
        <w:rPr>
          <w:rFonts w:ascii="Arial" w:hAnsi="Arial" w:cs="Arial"/>
        </w:rPr>
        <w:t>Accordingly, activities in PEIs can resume in groups of five,</w:t>
      </w:r>
      <w:r w:rsidR="008D2321" w:rsidRPr="000978BA">
        <w:rPr>
          <w:rFonts w:ascii="Arial" w:hAnsi="Arial" w:cs="Arial"/>
        </w:rPr>
        <w:t xml:space="preserve"> </w:t>
      </w:r>
      <w:r w:rsidR="00AE3D65" w:rsidRPr="000978BA">
        <w:rPr>
          <w:rFonts w:ascii="Arial" w:hAnsi="Arial" w:cs="Arial"/>
        </w:rPr>
        <w:t xml:space="preserve">subject to any additional and/or separate </w:t>
      </w:r>
      <w:r w:rsidR="00874D5B" w:rsidRPr="000978BA">
        <w:rPr>
          <w:rFonts w:ascii="Arial" w:hAnsi="Arial" w:cs="Arial"/>
        </w:rPr>
        <w:t>guidelines in p</w:t>
      </w:r>
      <w:r w:rsidRPr="000978BA">
        <w:rPr>
          <w:rFonts w:ascii="Arial" w:hAnsi="Arial" w:cs="Arial"/>
        </w:rPr>
        <w:t>ara</w:t>
      </w:r>
      <w:r w:rsidR="003E4511" w:rsidRPr="000978BA">
        <w:rPr>
          <w:rFonts w:ascii="Arial" w:hAnsi="Arial" w:cs="Arial"/>
        </w:rPr>
        <w:t>graph</w:t>
      </w:r>
      <w:r w:rsidRPr="000978BA">
        <w:rPr>
          <w:rFonts w:ascii="Arial" w:hAnsi="Arial" w:cs="Arial"/>
        </w:rPr>
        <w:t xml:space="preserve"> </w:t>
      </w:r>
      <w:r w:rsidR="008B131B" w:rsidRPr="000978BA">
        <w:rPr>
          <w:rFonts w:ascii="Arial" w:hAnsi="Arial" w:cs="Arial"/>
        </w:rPr>
        <w:t>10</w:t>
      </w:r>
      <w:r w:rsidRPr="000978BA">
        <w:rPr>
          <w:rFonts w:ascii="Arial" w:hAnsi="Arial" w:cs="Arial"/>
        </w:rPr>
        <w:t xml:space="preserve"> </w:t>
      </w:r>
      <w:r w:rsidR="00874D5B" w:rsidRPr="000978BA">
        <w:rPr>
          <w:rFonts w:ascii="Arial" w:hAnsi="Arial" w:cs="Arial"/>
        </w:rPr>
        <w:t>for specific higher-risk activities, including total participant caps and safe distance requirements</w:t>
      </w:r>
      <w:r w:rsidR="003E4511" w:rsidRPr="000978BA">
        <w:rPr>
          <w:rFonts w:ascii="Arial" w:hAnsi="Arial" w:cs="Arial"/>
        </w:rPr>
        <w:t>,</w:t>
      </w:r>
      <w:r w:rsidR="00874D5B" w:rsidRPr="000978BA">
        <w:rPr>
          <w:rFonts w:ascii="Arial" w:hAnsi="Arial" w:cs="Arial"/>
        </w:rPr>
        <w:t xml:space="preserve"> etc. </w:t>
      </w:r>
      <w:r w:rsidRPr="000978BA">
        <w:rPr>
          <w:rFonts w:ascii="Arial" w:hAnsi="Arial" w:cs="Arial"/>
        </w:rPr>
        <w:t xml:space="preserve"> </w:t>
      </w:r>
    </w:p>
    <w:p w14:paraId="07DF7ED6" w14:textId="77777777" w:rsidR="00494458" w:rsidRPr="000978BA" w:rsidRDefault="00494458" w:rsidP="00494458">
      <w:pPr>
        <w:pStyle w:val="ListParagraph"/>
        <w:ind w:left="0"/>
        <w:jc w:val="both"/>
        <w:rPr>
          <w:rFonts w:ascii="Arial" w:hAnsi="Arial" w:cs="Arial"/>
        </w:rPr>
      </w:pPr>
    </w:p>
    <w:p w14:paraId="496C97BD" w14:textId="0E482ACC" w:rsidR="00494458" w:rsidRPr="000978BA" w:rsidRDefault="00C500D6" w:rsidP="009D5A77">
      <w:pPr>
        <w:pStyle w:val="ListParagraph"/>
        <w:numPr>
          <w:ilvl w:val="0"/>
          <w:numId w:val="1"/>
        </w:numPr>
        <w:ind w:left="0" w:firstLine="0"/>
        <w:jc w:val="both"/>
        <w:rPr>
          <w:rFonts w:ascii="Arial" w:hAnsi="Arial" w:cs="Arial"/>
        </w:rPr>
      </w:pPr>
      <w:r w:rsidRPr="000978BA">
        <w:rPr>
          <w:rFonts w:ascii="Arial" w:hAnsi="Arial" w:cs="Arial"/>
          <w:b/>
          <w:bCs/>
          <w:color w:val="FF0000"/>
        </w:rPr>
        <w:t xml:space="preserve">[Updated] </w:t>
      </w:r>
      <w:r w:rsidR="003E4511" w:rsidRPr="000978BA">
        <w:rPr>
          <w:rFonts w:ascii="Arial" w:hAnsi="Arial" w:cs="Arial"/>
          <w:b/>
          <w:bCs/>
        </w:rPr>
        <w:t>Food &amp; Beverage (</w:t>
      </w:r>
      <w:r w:rsidRPr="000978BA">
        <w:rPr>
          <w:rFonts w:ascii="Arial" w:hAnsi="Arial" w:cs="Arial"/>
          <w:b/>
        </w:rPr>
        <w:t>F&amp;B</w:t>
      </w:r>
      <w:r w:rsidR="003E4511" w:rsidRPr="000978BA">
        <w:rPr>
          <w:rFonts w:ascii="Arial" w:hAnsi="Arial" w:cs="Arial"/>
          <w:b/>
        </w:rPr>
        <w:t>)</w:t>
      </w:r>
      <w:r w:rsidRPr="000978BA">
        <w:rPr>
          <w:rFonts w:ascii="Arial" w:hAnsi="Arial" w:cs="Arial"/>
          <w:b/>
        </w:rPr>
        <w:t xml:space="preserve"> </w:t>
      </w:r>
      <w:r w:rsidR="000779FB">
        <w:rPr>
          <w:rFonts w:ascii="Arial" w:hAnsi="Arial" w:cs="Arial"/>
          <w:b/>
        </w:rPr>
        <w:t>O</w:t>
      </w:r>
      <w:r w:rsidRPr="000978BA">
        <w:rPr>
          <w:rFonts w:ascii="Arial" w:hAnsi="Arial" w:cs="Arial"/>
          <w:b/>
        </w:rPr>
        <w:t xml:space="preserve">utlets: </w:t>
      </w:r>
      <w:r w:rsidRPr="000978BA">
        <w:rPr>
          <w:rFonts w:ascii="Arial" w:hAnsi="Arial" w:cs="Arial"/>
          <w:bCs/>
        </w:rPr>
        <w:t xml:space="preserve">From 22 November 2021, </w:t>
      </w:r>
      <w:r w:rsidR="00494458" w:rsidRPr="000978BA">
        <w:rPr>
          <w:rFonts w:ascii="Arial" w:hAnsi="Arial" w:cs="Arial"/>
          <w:bCs/>
        </w:rPr>
        <w:t>groups of up to 5 persons, even if not from the same household, will be allowed to dine-in at</w:t>
      </w:r>
      <w:r w:rsidR="00494458" w:rsidRPr="000978BA">
        <w:rPr>
          <w:rFonts w:ascii="Arial" w:hAnsi="Arial" w:cs="Arial"/>
        </w:rPr>
        <w:t xml:space="preserve"> F&amp;B establishments if all the diners are fully vaccinated. </w:t>
      </w:r>
      <w:r w:rsidR="00874D5B" w:rsidRPr="000978BA">
        <w:rPr>
          <w:rFonts w:ascii="Arial" w:hAnsi="Arial" w:cs="Arial"/>
        </w:rPr>
        <w:t xml:space="preserve">For avoidance of doubt, unvaccinated </w:t>
      </w:r>
      <w:r w:rsidR="00494458" w:rsidRPr="000978BA">
        <w:rPr>
          <w:rFonts w:ascii="Arial" w:hAnsi="Arial" w:cs="Arial"/>
        </w:rPr>
        <w:t xml:space="preserve">children aged 12 years and below (i.e. born in 2009 or later) may be included within the group of 5 persons </w:t>
      </w:r>
      <w:proofErr w:type="gramStart"/>
      <w:r w:rsidR="00494458" w:rsidRPr="000978BA">
        <w:rPr>
          <w:rFonts w:ascii="Arial" w:hAnsi="Arial" w:cs="Arial"/>
        </w:rPr>
        <w:t>as long as</w:t>
      </w:r>
      <w:proofErr w:type="gramEnd"/>
      <w:r w:rsidR="00494458" w:rsidRPr="000978BA">
        <w:rPr>
          <w:rFonts w:ascii="Arial" w:hAnsi="Arial" w:cs="Arial"/>
        </w:rPr>
        <w:t xml:space="preserve"> all these children are from the same household. </w:t>
      </w:r>
      <w:r w:rsidR="00F7098D" w:rsidRPr="000978BA">
        <w:rPr>
          <w:rFonts w:ascii="Arial" w:hAnsi="Arial" w:cs="Arial"/>
          <w:u w:val="single"/>
        </w:rPr>
        <w:t xml:space="preserve">From 1 December 2021, medically </w:t>
      </w:r>
      <w:r w:rsidR="00494458" w:rsidRPr="000978BA">
        <w:rPr>
          <w:rFonts w:ascii="Arial" w:hAnsi="Arial" w:cs="Arial"/>
          <w:u w:val="single"/>
        </w:rPr>
        <w:t>ineligible persons may also be included within such groups of 5 persons.</w:t>
      </w:r>
      <w:r w:rsidR="00494458" w:rsidRPr="000978BA">
        <w:rPr>
          <w:rFonts w:ascii="Arial" w:hAnsi="Arial" w:cs="Arial"/>
        </w:rPr>
        <w:t xml:space="preserve"> </w:t>
      </w:r>
    </w:p>
    <w:p w14:paraId="292114E0" w14:textId="77777777" w:rsidR="00494458" w:rsidRPr="000978BA" w:rsidRDefault="00494458" w:rsidP="00BD512C">
      <w:pPr>
        <w:pStyle w:val="ListParagraph"/>
        <w:ind w:left="0"/>
        <w:jc w:val="both"/>
        <w:rPr>
          <w:rFonts w:ascii="Arial" w:hAnsi="Arial" w:cs="Arial"/>
        </w:rPr>
      </w:pPr>
    </w:p>
    <w:p w14:paraId="55A5FAF0" w14:textId="0031AD2B" w:rsidR="008C24E5" w:rsidRPr="000978BA" w:rsidRDefault="00F7098D" w:rsidP="00494458">
      <w:pPr>
        <w:pStyle w:val="ListParagraph"/>
        <w:numPr>
          <w:ilvl w:val="0"/>
          <w:numId w:val="1"/>
        </w:numPr>
        <w:ind w:left="0" w:firstLine="0"/>
        <w:jc w:val="both"/>
        <w:rPr>
          <w:rFonts w:ascii="Arial" w:hAnsi="Arial" w:cs="Arial"/>
          <w:i/>
          <w:iCs/>
        </w:rPr>
      </w:pPr>
      <w:r w:rsidRPr="000978BA">
        <w:rPr>
          <w:rFonts w:ascii="Arial" w:hAnsi="Arial" w:cs="Arial"/>
        </w:rPr>
        <w:t>Groups of up to 5 vaccinated persons can also dine in at coffeeshops</w:t>
      </w:r>
      <w:r w:rsidR="008C24E5" w:rsidRPr="000978BA">
        <w:rPr>
          <w:rStyle w:val="FootnoteReference"/>
          <w:rFonts w:ascii="Arial" w:hAnsi="Arial" w:cs="Arial"/>
        </w:rPr>
        <w:footnoteReference w:id="1"/>
      </w:r>
      <w:r w:rsidR="006F0729" w:rsidRPr="000978BA">
        <w:rPr>
          <w:rFonts w:ascii="Arial" w:hAnsi="Arial" w:cs="Arial"/>
        </w:rPr>
        <w:t>, including those in PEIs,</w:t>
      </w:r>
      <w:r w:rsidR="008C24E5" w:rsidRPr="000978BA">
        <w:rPr>
          <w:rFonts w:ascii="Arial" w:hAnsi="Arial" w:cs="Arial"/>
        </w:rPr>
        <w:t xml:space="preserve"> </w:t>
      </w:r>
      <w:proofErr w:type="gramStart"/>
      <w:r w:rsidRPr="000978BA">
        <w:rPr>
          <w:rFonts w:ascii="Arial" w:hAnsi="Arial" w:cs="Arial"/>
        </w:rPr>
        <w:t>as long as</w:t>
      </w:r>
      <w:proofErr w:type="gramEnd"/>
      <w:r w:rsidRPr="000978BA">
        <w:rPr>
          <w:rFonts w:ascii="Arial" w:hAnsi="Arial" w:cs="Arial"/>
        </w:rPr>
        <w:t xml:space="preserve"> full </w:t>
      </w:r>
      <w:r w:rsidR="003E4511" w:rsidRPr="000978BA">
        <w:rPr>
          <w:rFonts w:ascii="Arial" w:hAnsi="Arial" w:cs="Arial"/>
        </w:rPr>
        <w:t>Vaccination Differentiated Measures (</w:t>
      </w:r>
      <w:r w:rsidRPr="000978BA">
        <w:rPr>
          <w:rFonts w:ascii="Arial" w:hAnsi="Arial" w:cs="Arial"/>
        </w:rPr>
        <w:t>VDS</w:t>
      </w:r>
      <w:r w:rsidR="003E4511" w:rsidRPr="000978BA">
        <w:rPr>
          <w:rFonts w:ascii="Arial" w:hAnsi="Arial" w:cs="Arial"/>
        </w:rPr>
        <w:t>)</w:t>
      </w:r>
      <w:r w:rsidRPr="000978BA">
        <w:rPr>
          <w:rFonts w:ascii="Arial" w:hAnsi="Arial" w:cs="Arial"/>
        </w:rPr>
        <w:t xml:space="preserve"> checks are implemented from 22 Nov</w:t>
      </w:r>
      <w:r w:rsidR="006719C2" w:rsidRPr="000978BA">
        <w:rPr>
          <w:rFonts w:ascii="Arial" w:hAnsi="Arial" w:cs="Arial"/>
        </w:rPr>
        <w:t>ember</w:t>
      </w:r>
      <w:r w:rsidRPr="000978BA">
        <w:rPr>
          <w:rFonts w:ascii="Arial" w:hAnsi="Arial" w:cs="Arial"/>
        </w:rPr>
        <w:t xml:space="preserve"> 2021.</w:t>
      </w:r>
      <w:r w:rsidR="00BF72CC" w:rsidRPr="000978BA">
        <w:rPr>
          <w:rFonts w:ascii="Arial" w:hAnsi="Arial" w:cs="Arial"/>
        </w:rPr>
        <w:t xml:space="preserve"> </w:t>
      </w:r>
      <w:r w:rsidRPr="000978BA">
        <w:rPr>
          <w:rFonts w:ascii="Arial" w:hAnsi="Arial" w:cs="Arial"/>
        </w:rPr>
        <w:t xml:space="preserve">This includes the following </w:t>
      </w:r>
      <w:r w:rsidR="008C24E5" w:rsidRPr="000978BA">
        <w:rPr>
          <w:rFonts w:ascii="Arial" w:hAnsi="Arial" w:cs="Arial"/>
        </w:rPr>
        <w:t>control measures as follows:</w:t>
      </w:r>
    </w:p>
    <w:p w14:paraId="1AD31273" w14:textId="77777777" w:rsidR="008C24E5" w:rsidRPr="000978BA" w:rsidRDefault="008C24E5" w:rsidP="008C24E5">
      <w:pPr>
        <w:pStyle w:val="ListParagraph"/>
        <w:ind w:left="0"/>
        <w:jc w:val="both"/>
        <w:rPr>
          <w:rFonts w:ascii="Arial" w:hAnsi="Arial" w:cs="Arial"/>
          <w:i/>
          <w:iCs/>
        </w:rPr>
      </w:pPr>
    </w:p>
    <w:p w14:paraId="44056543" w14:textId="5CE7A5C9" w:rsidR="006F0729" w:rsidRPr="000978BA" w:rsidRDefault="006F0729" w:rsidP="006F0729">
      <w:pPr>
        <w:pStyle w:val="ListParagraph"/>
        <w:numPr>
          <w:ilvl w:val="0"/>
          <w:numId w:val="9"/>
        </w:numPr>
        <w:jc w:val="both"/>
        <w:rPr>
          <w:rFonts w:ascii="Arial" w:hAnsi="Arial" w:cs="Arial"/>
          <w:i/>
          <w:iCs/>
        </w:rPr>
      </w:pPr>
      <w:r w:rsidRPr="000978BA">
        <w:rPr>
          <w:rFonts w:ascii="Arial" w:hAnsi="Arial" w:cs="Arial"/>
          <w:b/>
          <w:bCs/>
        </w:rPr>
        <w:t>Inform Patrons:</w:t>
      </w:r>
      <w:r w:rsidR="004D1B84" w:rsidRPr="000978BA">
        <w:rPr>
          <w:rFonts w:ascii="Arial" w:hAnsi="Arial" w:cs="Arial"/>
        </w:rPr>
        <w:t xml:space="preserve"> Operators </w:t>
      </w:r>
      <w:r w:rsidR="009D5A77" w:rsidRPr="000978BA">
        <w:rPr>
          <w:rFonts w:ascii="Arial" w:hAnsi="Arial" w:cs="Arial"/>
        </w:rPr>
        <w:t>must p</w:t>
      </w:r>
      <w:r w:rsidRPr="000978BA">
        <w:rPr>
          <w:rFonts w:ascii="Arial" w:hAnsi="Arial" w:cs="Arial"/>
        </w:rPr>
        <w:t xml:space="preserve">ut up posters to inform patrons that only fully vaccinated patrons </w:t>
      </w:r>
      <w:proofErr w:type="gramStart"/>
      <w:r w:rsidRPr="000978BA">
        <w:rPr>
          <w:rFonts w:ascii="Arial" w:hAnsi="Arial" w:cs="Arial"/>
        </w:rPr>
        <w:t>are allowed to</w:t>
      </w:r>
      <w:proofErr w:type="gramEnd"/>
      <w:r w:rsidRPr="000978BA">
        <w:rPr>
          <w:rFonts w:ascii="Arial" w:hAnsi="Arial" w:cs="Arial"/>
        </w:rPr>
        <w:t xml:space="preserve"> dine-in together in groups of up to </w:t>
      </w:r>
      <w:r w:rsidR="003E4511" w:rsidRPr="000978BA">
        <w:rPr>
          <w:rFonts w:ascii="Arial" w:hAnsi="Arial" w:cs="Arial"/>
        </w:rPr>
        <w:t>5</w:t>
      </w:r>
      <w:r w:rsidRPr="000978BA">
        <w:rPr>
          <w:rFonts w:ascii="Arial" w:hAnsi="Arial" w:cs="Arial"/>
        </w:rPr>
        <w:t>. Operators should put up their own posters to be</w:t>
      </w:r>
      <w:r w:rsidR="009D5A77" w:rsidRPr="000978BA">
        <w:rPr>
          <w:rFonts w:ascii="Arial" w:hAnsi="Arial" w:cs="Arial"/>
        </w:rPr>
        <w:t>gin</w:t>
      </w:r>
      <w:r w:rsidRPr="000978BA">
        <w:rPr>
          <w:rFonts w:ascii="Arial" w:hAnsi="Arial" w:cs="Arial"/>
        </w:rPr>
        <w:t xml:space="preserve"> the implementation. </w:t>
      </w:r>
      <w:r w:rsidR="009D5A77" w:rsidRPr="000978BA">
        <w:rPr>
          <w:rFonts w:ascii="Arial" w:hAnsi="Arial" w:cs="Arial"/>
        </w:rPr>
        <w:t xml:space="preserve">While coffeeshops do not need to seek </w:t>
      </w:r>
      <w:r w:rsidR="003E4511" w:rsidRPr="000978BA">
        <w:rPr>
          <w:rFonts w:ascii="Arial" w:hAnsi="Arial" w:cs="Arial"/>
        </w:rPr>
        <w:t>Singapore Food Agency (</w:t>
      </w:r>
      <w:r w:rsidR="009D5A77" w:rsidRPr="000978BA">
        <w:rPr>
          <w:rFonts w:ascii="Arial" w:hAnsi="Arial" w:cs="Arial"/>
        </w:rPr>
        <w:t>SFA</w:t>
      </w:r>
      <w:r w:rsidR="003E4511" w:rsidRPr="000978BA">
        <w:rPr>
          <w:rFonts w:ascii="Arial" w:hAnsi="Arial" w:cs="Arial"/>
        </w:rPr>
        <w:t>)</w:t>
      </w:r>
      <w:r w:rsidR="009D5A77" w:rsidRPr="000978BA">
        <w:rPr>
          <w:rFonts w:ascii="Arial" w:hAnsi="Arial" w:cs="Arial"/>
        </w:rPr>
        <w:t xml:space="preserve">’s approval to implement revised VDS measures, they can  indicate interest with </w:t>
      </w:r>
      <w:r w:rsidR="003E4511" w:rsidRPr="000978BA">
        <w:rPr>
          <w:rFonts w:ascii="Arial" w:hAnsi="Arial" w:cs="Arial"/>
        </w:rPr>
        <w:t xml:space="preserve">SFA </w:t>
      </w:r>
      <w:r w:rsidR="004D1B84" w:rsidRPr="000978BA">
        <w:rPr>
          <w:rFonts w:ascii="Arial" w:hAnsi="Arial" w:cs="Arial"/>
        </w:rPr>
        <w:t>here</w:t>
      </w:r>
      <w:r w:rsidR="009D5A77" w:rsidRPr="000978BA">
        <w:rPr>
          <w:rFonts w:ascii="Arial" w:hAnsi="Arial" w:cs="Arial"/>
        </w:rPr>
        <w:t xml:space="preserve"> (</w:t>
      </w:r>
      <w:hyperlink r:id="rId10" w:history="1">
        <w:r w:rsidR="009D5A77" w:rsidRPr="000978BA">
          <w:rPr>
            <w:rStyle w:val="Hyperlink"/>
            <w:rFonts w:ascii="Arial" w:hAnsi="Arial" w:cs="Arial"/>
            <w:color w:val="4472C4" w:themeColor="accent1"/>
            <w:u w:val="none"/>
          </w:rPr>
          <w:t>https://go.gov.sg/vdscoffeeshops</w:t>
        </w:r>
      </w:hyperlink>
      <w:r w:rsidR="009D5A77" w:rsidRPr="000978BA">
        <w:rPr>
          <w:rFonts w:ascii="Arial" w:hAnsi="Arial" w:cs="Arial"/>
        </w:rPr>
        <w:t xml:space="preserve">) to allow-up to 5 pax to dine-in. SFA will provide official posters after verifying the measures. </w:t>
      </w:r>
    </w:p>
    <w:p w14:paraId="31578884" w14:textId="77777777" w:rsidR="006F0729" w:rsidRPr="000978BA" w:rsidRDefault="006F0729" w:rsidP="006F0729">
      <w:pPr>
        <w:pStyle w:val="ListParagraph"/>
        <w:jc w:val="both"/>
        <w:rPr>
          <w:rFonts w:ascii="Arial" w:hAnsi="Arial" w:cs="Arial"/>
          <w:i/>
          <w:iCs/>
        </w:rPr>
      </w:pPr>
    </w:p>
    <w:p w14:paraId="33E73F97" w14:textId="24D489FF" w:rsidR="006F0729" w:rsidRPr="000978BA" w:rsidRDefault="006F0729" w:rsidP="006F0729">
      <w:pPr>
        <w:pStyle w:val="ListParagraph"/>
        <w:numPr>
          <w:ilvl w:val="0"/>
          <w:numId w:val="9"/>
        </w:numPr>
        <w:jc w:val="both"/>
        <w:rPr>
          <w:rFonts w:ascii="Arial" w:hAnsi="Arial" w:cs="Arial"/>
          <w:i/>
          <w:iCs/>
        </w:rPr>
      </w:pPr>
      <w:r w:rsidRPr="000978BA">
        <w:rPr>
          <w:rFonts w:ascii="Arial" w:hAnsi="Arial" w:cs="Arial"/>
          <w:b/>
          <w:bCs/>
        </w:rPr>
        <w:t xml:space="preserve">Access Control: </w:t>
      </w:r>
      <w:r w:rsidR="004D1B84" w:rsidRPr="000978BA">
        <w:rPr>
          <w:rFonts w:ascii="Arial" w:hAnsi="Arial" w:cs="Arial"/>
        </w:rPr>
        <w:t>Operators</w:t>
      </w:r>
      <w:r w:rsidR="009D5A77" w:rsidRPr="000978BA">
        <w:rPr>
          <w:rFonts w:ascii="Arial" w:hAnsi="Arial" w:cs="Arial"/>
        </w:rPr>
        <w:t xml:space="preserve"> must i</w:t>
      </w:r>
      <w:r w:rsidRPr="000978BA">
        <w:rPr>
          <w:rFonts w:ascii="Arial" w:hAnsi="Arial" w:cs="Arial"/>
        </w:rPr>
        <w:t xml:space="preserve">ntroduce control access by cordoning off areas and have dedicated </w:t>
      </w:r>
      <w:r w:rsidR="00B5177F" w:rsidRPr="000978BA">
        <w:rPr>
          <w:rFonts w:ascii="Arial" w:hAnsi="Arial" w:cs="Arial"/>
        </w:rPr>
        <w:t xml:space="preserve">access </w:t>
      </w:r>
      <w:r w:rsidRPr="000978BA">
        <w:rPr>
          <w:rFonts w:ascii="Arial" w:hAnsi="Arial" w:cs="Arial"/>
        </w:rPr>
        <w:t xml:space="preserve">points. </w:t>
      </w:r>
    </w:p>
    <w:p w14:paraId="0E83470B" w14:textId="77777777" w:rsidR="006F0729" w:rsidRPr="000978BA" w:rsidRDefault="006F0729" w:rsidP="006F0729">
      <w:pPr>
        <w:pStyle w:val="ListParagraph"/>
        <w:rPr>
          <w:rFonts w:ascii="Arial" w:hAnsi="Arial" w:cs="Arial"/>
        </w:rPr>
      </w:pPr>
    </w:p>
    <w:p w14:paraId="21C77120" w14:textId="124F416E" w:rsidR="006F0729" w:rsidRPr="000978BA" w:rsidRDefault="006F0729" w:rsidP="006F0729">
      <w:pPr>
        <w:pStyle w:val="ListParagraph"/>
        <w:numPr>
          <w:ilvl w:val="0"/>
          <w:numId w:val="9"/>
        </w:numPr>
        <w:jc w:val="both"/>
        <w:rPr>
          <w:rFonts w:ascii="Arial" w:hAnsi="Arial" w:cs="Arial"/>
          <w:i/>
          <w:iCs/>
        </w:rPr>
      </w:pPr>
      <w:r w:rsidRPr="000978BA">
        <w:rPr>
          <w:rFonts w:ascii="Arial" w:hAnsi="Arial" w:cs="Arial"/>
          <w:b/>
          <w:bCs/>
        </w:rPr>
        <w:lastRenderedPageBreak/>
        <w:t xml:space="preserve">Vaccination Status Checks: </w:t>
      </w:r>
      <w:r w:rsidRPr="000978BA">
        <w:rPr>
          <w:rFonts w:ascii="Arial" w:hAnsi="Arial" w:cs="Arial"/>
        </w:rPr>
        <w:t xml:space="preserve">At the entry points, </w:t>
      </w:r>
      <w:r w:rsidR="004D1B84" w:rsidRPr="000978BA">
        <w:rPr>
          <w:rFonts w:ascii="Arial" w:hAnsi="Arial" w:cs="Arial"/>
        </w:rPr>
        <w:t>operators</w:t>
      </w:r>
      <w:r w:rsidRPr="000978BA">
        <w:rPr>
          <w:rFonts w:ascii="Arial" w:hAnsi="Arial" w:cs="Arial"/>
        </w:rPr>
        <w:t xml:space="preserve"> must check the vaccination status of all patrons, and differentiate patrons who are fully vaccinated and dining in. Patrons may show their </w:t>
      </w:r>
      <w:proofErr w:type="spellStart"/>
      <w:r w:rsidRPr="000978BA">
        <w:rPr>
          <w:rFonts w:ascii="Arial" w:hAnsi="Arial" w:cs="Arial"/>
        </w:rPr>
        <w:t>SafeEntry</w:t>
      </w:r>
      <w:proofErr w:type="spellEnd"/>
      <w:r w:rsidRPr="000978BA">
        <w:rPr>
          <w:rFonts w:ascii="Arial" w:hAnsi="Arial" w:cs="Arial"/>
        </w:rPr>
        <w:t xml:space="preserve"> check-in green pass on their </w:t>
      </w:r>
      <w:proofErr w:type="spellStart"/>
      <w:r w:rsidRPr="000978BA">
        <w:rPr>
          <w:rFonts w:ascii="Arial" w:hAnsi="Arial" w:cs="Arial"/>
        </w:rPr>
        <w:t>TraceTogether</w:t>
      </w:r>
      <w:proofErr w:type="spellEnd"/>
      <w:r w:rsidRPr="000978BA">
        <w:rPr>
          <w:rFonts w:ascii="Arial" w:hAnsi="Arial" w:cs="Arial"/>
        </w:rPr>
        <w:t xml:space="preserve"> (TT) app or provide their TT token to be scanned to determine the</w:t>
      </w:r>
      <w:r w:rsidR="003E4511" w:rsidRPr="000978BA">
        <w:rPr>
          <w:rFonts w:ascii="Arial" w:hAnsi="Arial" w:cs="Arial"/>
        </w:rPr>
        <w:t>ir</w:t>
      </w:r>
      <w:r w:rsidRPr="000978BA">
        <w:rPr>
          <w:rFonts w:ascii="Arial" w:hAnsi="Arial" w:cs="Arial"/>
        </w:rPr>
        <w:t xml:space="preserve"> vaccination status.</w:t>
      </w:r>
    </w:p>
    <w:p w14:paraId="1CB74E64" w14:textId="77777777" w:rsidR="006F0729" w:rsidRPr="000978BA" w:rsidRDefault="006F0729" w:rsidP="006F0729">
      <w:pPr>
        <w:pStyle w:val="ListParagraph"/>
        <w:rPr>
          <w:rFonts w:ascii="Arial" w:hAnsi="Arial" w:cs="Arial"/>
          <w:i/>
          <w:iCs/>
        </w:rPr>
      </w:pPr>
    </w:p>
    <w:p w14:paraId="2F532C12" w14:textId="3DCFECDB" w:rsidR="0068583B" w:rsidRPr="000978BA" w:rsidRDefault="009D5A77" w:rsidP="0068583B">
      <w:pPr>
        <w:pStyle w:val="ListParagraph"/>
        <w:numPr>
          <w:ilvl w:val="0"/>
          <w:numId w:val="1"/>
        </w:numPr>
        <w:ind w:left="0" w:firstLine="0"/>
        <w:jc w:val="both"/>
        <w:rPr>
          <w:rFonts w:ascii="Arial" w:hAnsi="Arial" w:cs="Arial"/>
          <w:i/>
          <w:iCs/>
        </w:rPr>
      </w:pPr>
      <w:r w:rsidRPr="000978BA">
        <w:rPr>
          <w:rFonts w:ascii="Arial" w:hAnsi="Arial" w:cs="Arial"/>
        </w:rPr>
        <w:t>Please be reminded that o</w:t>
      </w:r>
      <w:r w:rsidR="0068583B" w:rsidRPr="000978BA">
        <w:rPr>
          <w:rFonts w:ascii="Arial" w:hAnsi="Arial" w:cs="Arial"/>
        </w:rPr>
        <w:t xml:space="preserve">perators are liable for enforcement action if </w:t>
      </w:r>
      <w:r w:rsidR="003E4511" w:rsidRPr="000978BA">
        <w:rPr>
          <w:rFonts w:ascii="Arial" w:hAnsi="Arial" w:cs="Arial"/>
        </w:rPr>
        <w:t xml:space="preserve">they </w:t>
      </w:r>
      <w:r w:rsidR="0082567E" w:rsidRPr="000978BA">
        <w:rPr>
          <w:rFonts w:ascii="Arial" w:hAnsi="Arial" w:cs="Arial"/>
        </w:rPr>
        <w:t xml:space="preserve">do not abide by all </w:t>
      </w:r>
      <w:r w:rsidR="008E5EB6">
        <w:rPr>
          <w:rFonts w:ascii="Arial" w:hAnsi="Arial" w:cs="Arial"/>
        </w:rPr>
        <w:t xml:space="preserve">the </w:t>
      </w:r>
      <w:r w:rsidR="0082567E" w:rsidRPr="000978BA">
        <w:rPr>
          <w:rFonts w:ascii="Arial" w:hAnsi="Arial" w:cs="Arial"/>
        </w:rPr>
        <w:t xml:space="preserve">required </w:t>
      </w:r>
      <w:r w:rsidR="0068583B" w:rsidRPr="000978BA">
        <w:rPr>
          <w:rFonts w:ascii="Arial" w:hAnsi="Arial" w:cs="Arial"/>
        </w:rPr>
        <w:t>VDS measures. More information on the implementation of VDS for coffeeshops may be found in the joint advisory issued by the SFA and National Environment Agency (NEA) attached below.</w:t>
      </w:r>
    </w:p>
    <w:p w14:paraId="37FED248" w14:textId="77777777" w:rsidR="0068583B" w:rsidRPr="000978BA" w:rsidRDefault="0068583B" w:rsidP="0068583B">
      <w:pPr>
        <w:pStyle w:val="ListParagraph"/>
        <w:ind w:left="0"/>
        <w:jc w:val="both"/>
        <w:rPr>
          <w:rFonts w:ascii="Arial" w:hAnsi="Arial" w:cs="Arial"/>
          <w:i/>
          <w:iCs/>
        </w:rPr>
      </w:pPr>
    </w:p>
    <w:p w14:paraId="22808DB0" w14:textId="32C14D8F" w:rsidR="0068583B" w:rsidRPr="000978BA" w:rsidRDefault="00A94D23" w:rsidP="0068583B">
      <w:pPr>
        <w:pStyle w:val="ListParagraph"/>
        <w:ind w:left="0"/>
        <w:jc w:val="both"/>
        <w:rPr>
          <w:rFonts w:ascii="Arial" w:hAnsi="Arial" w:cs="Arial"/>
          <w:i/>
          <w:iCs/>
        </w:rPr>
      </w:pPr>
      <w:r w:rsidRPr="000978BA">
        <w:rPr>
          <w:rFonts w:ascii="Arial" w:hAnsi="Arial" w:cs="Arial"/>
        </w:rPr>
        <w:object w:dxaOrig="1440" w:dyaOrig="1270" w14:anchorId="409F2927">
          <v:shape id="_x0000_i1029" type="#_x0000_t75" style="width:1in;height:64.5pt" o:ole="">
            <v:imagedata r:id="rId11" o:title=""/>
          </v:shape>
          <o:OLEObject Type="Embed" ProgID="Outlook.FileAttach" ShapeID="_x0000_i1029" DrawAspect="Icon" ObjectID="_1699076196" r:id="rId12"/>
        </w:object>
      </w:r>
    </w:p>
    <w:p w14:paraId="71F99EF5" w14:textId="77777777" w:rsidR="009D5A77" w:rsidRPr="000978BA" w:rsidRDefault="009D5A77" w:rsidP="004D1B84">
      <w:pPr>
        <w:pStyle w:val="ListParagraph"/>
        <w:ind w:left="0"/>
        <w:jc w:val="both"/>
        <w:rPr>
          <w:rFonts w:ascii="Arial" w:hAnsi="Arial" w:cs="Arial"/>
          <w:i/>
          <w:iCs/>
        </w:rPr>
      </w:pPr>
    </w:p>
    <w:p w14:paraId="0FE34413" w14:textId="06A9D875" w:rsidR="006F0729" w:rsidRPr="000978BA" w:rsidRDefault="00541183" w:rsidP="00541183">
      <w:pPr>
        <w:pStyle w:val="ListParagraph"/>
        <w:numPr>
          <w:ilvl w:val="0"/>
          <w:numId w:val="1"/>
        </w:numPr>
        <w:ind w:left="0" w:firstLine="0"/>
        <w:jc w:val="both"/>
        <w:rPr>
          <w:rFonts w:ascii="Arial" w:hAnsi="Arial" w:cs="Arial"/>
          <w:i/>
          <w:iCs/>
        </w:rPr>
      </w:pPr>
      <w:r w:rsidRPr="000978BA">
        <w:rPr>
          <w:rFonts w:ascii="Arial" w:hAnsi="Arial" w:cs="Arial"/>
        </w:rPr>
        <w:t>For avoidance of doubt, pre-tertiary PEIs that have been previously granted exemption from VDS for dining-in may continue to allow students, regardless of vaccination status, to dine in at the school canteen(s), subject</w:t>
      </w:r>
      <w:r w:rsidR="008E5EB6">
        <w:rPr>
          <w:rFonts w:ascii="Arial" w:hAnsi="Arial" w:cs="Arial"/>
        </w:rPr>
        <w:t xml:space="preserve"> to</w:t>
      </w:r>
      <w:r w:rsidRPr="000978BA">
        <w:rPr>
          <w:rFonts w:ascii="Arial" w:hAnsi="Arial" w:cs="Arial"/>
        </w:rPr>
        <w:t xml:space="preserve"> </w:t>
      </w:r>
      <w:r w:rsidRPr="000978BA">
        <w:rPr>
          <w:rFonts w:ascii="Arial" w:hAnsi="Arial" w:cs="Arial"/>
          <w:u w:val="single"/>
        </w:rPr>
        <w:t>conditions stipulated in the 54</w:t>
      </w:r>
      <w:r w:rsidRPr="000978BA">
        <w:rPr>
          <w:rFonts w:ascii="Arial" w:hAnsi="Arial" w:cs="Arial"/>
          <w:u w:val="single"/>
          <w:vertAlign w:val="superscript"/>
        </w:rPr>
        <w:t>th</w:t>
      </w:r>
      <w:r w:rsidRPr="000978BA">
        <w:rPr>
          <w:rFonts w:ascii="Arial" w:hAnsi="Arial" w:cs="Arial"/>
          <w:u w:val="single"/>
        </w:rPr>
        <w:t xml:space="preserve"> advisory</w:t>
      </w:r>
      <w:r w:rsidRPr="00E21AD1">
        <w:rPr>
          <w:rFonts w:ascii="Arial" w:hAnsi="Arial" w:cs="Arial"/>
        </w:rPr>
        <w:t>.</w:t>
      </w:r>
      <w:r w:rsidRPr="000978BA">
        <w:rPr>
          <w:rFonts w:ascii="Arial" w:hAnsi="Arial" w:cs="Arial"/>
          <w:u w:val="single"/>
        </w:rPr>
        <w:t xml:space="preserve"> </w:t>
      </w:r>
    </w:p>
    <w:p w14:paraId="5B989D7B" w14:textId="77777777" w:rsidR="008C24E5" w:rsidRPr="000978BA" w:rsidRDefault="008C24E5" w:rsidP="008C24E5">
      <w:pPr>
        <w:pStyle w:val="ListParagraph"/>
        <w:rPr>
          <w:rFonts w:ascii="Arial" w:hAnsi="Arial" w:cs="Arial"/>
          <w:b/>
          <w:bCs/>
          <w:color w:val="FF0000"/>
        </w:rPr>
      </w:pPr>
    </w:p>
    <w:p w14:paraId="496D7E07" w14:textId="5FDF223C" w:rsidR="00494458" w:rsidRPr="000978BA" w:rsidRDefault="0078715A" w:rsidP="00494458">
      <w:pPr>
        <w:pStyle w:val="ListParagraph"/>
        <w:numPr>
          <w:ilvl w:val="0"/>
          <w:numId w:val="1"/>
        </w:numPr>
        <w:ind w:left="0" w:firstLine="0"/>
        <w:jc w:val="both"/>
        <w:rPr>
          <w:rFonts w:ascii="Arial" w:hAnsi="Arial" w:cs="Arial"/>
          <w:i/>
          <w:iCs/>
        </w:rPr>
      </w:pPr>
      <w:r w:rsidRPr="000978BA">
        <w:rPr>
          <w:rFonts w:ascii="Arial" w:hAnsi="Arial" w:cs="Arial"/>
          <w:b/>
          <w:bCs/>
          <w:color w:val="FF0000"/>
        </w:rPr>
        <w:t xml:space="preserve">[New] </w:t>
      </w:r>
      <w:r w:rsidRPr="000978BA">
        <w:rPr>
          <w:rFonts w:ascii="Arial" w:hAnsi="Arial" w:cs="Arial"/>
          <w:b/>
          <w:bCs/>
          <w:color w:val="000000" w:themeColor="text1"/>
        </w:rPr>
        <w:t xml:space="preserve">Extension of VDS to </w:t>
      </w:r>
      <w:r w:rsidR="00183E97">
        <w:rPr>
          <w:rFonts w:ascii="Arial" w:hAnsi="Arial" w:cs="Arial"/>
          <w:b/>
          <w:bCs/>
          <w:color w:val="000000" w:themeColor="text1"/>
        </w:rPr>
        <w:t>M</w:t>
      </w:r>
      <w:r w:rsidRPr="000978BA">
        <w:rPr>
          <w:rFonts w:ascii="Arial" w:hAnsi="Arial" w:cs="Arial"/>
          <w:b/>
          <w:bCs/>
          <w:color w:val="000000" w:themeColor="text1"/>
        </w:rPr>
        <w:t xml:space="preserve">ore </w:t>
      </w:r>
      <w:r w:rsidR="00183E97">
        <w:rPr>
          <w:rFonts w:ascii="Arial" w:hAnsi="Arial" w:cs="Arial"/>
          <w:b/>
          <w:bCs/>
          <w:color w:val="000000" w:themeColor="text1"/>
        </w:rPr>
        <w:t>V</w:t>
      </w:r>
      <w:r w:rsidRPr="000978BA">
        <w:rPr>
          <w:rFonts w:ascii="Arial" w:hAnsi="Arial" w:cs="Arial"/>
          <w:b/>
          <w:bCs/>
          <w:color w:val="000000" w:themeColor="text1"/>
        </w:rPr>
        <w:t>enues</w:t>
      </w:r>
      <w:r w:rsidR="001B04E9" w:rsidRPr="000978BA">
        <w:rPr>
          <w:rFonts w:ascii="Arial" w:hAnsi="Arial" w:cs="Arial"/>
          <w:b/>
          <w:bCs/>
          <w:color w:val="000000" w:themeColor="text1"/>
        </w:rPr>
        <w:t xml:space="preserve"> from 1 December 2021</w:t>
      </w:r>
      <w:r w:rsidRPr="000978BA">
        <w:rPr>
          <w:rFonts w:ascii="Arial" w:hAnsi="Arial" w:cs="Arial"/>
          <w:b/>
          <w:bCs/>
          <w:color w:val="000000" w:themeColor="text1"/>
        </w:rPr>
        <w:t>:</w:t>
      </w:r>
      <w:r w:rsidR="00C500D6" w:rsidRPr="000978BA">
        <w:rPr>
          <w:rFonts w:ascii="Arial" w:hAnsi="Arial" w:cs="Arial"/>
          <w:color w:val="000000" w:themeColor="text1"/>
        </w:rPr>
        <w:t xml:space="preserve"> </w:t>
      </w:r>
      <w:r w:rsidR="00494458" w:rsidRPr="000978BA">
        <w:rPr>
          <w:rFonts w:ascii="Arial" w:hAnsi="Arial" w:cs="Arial"/>
          <w:color w:val="000000" w:themeColor="text1"/>
        </w:rPr>
        <w:t xml:space="preserve">From 1 December 2021, VDS </w:t>
      </w:r>
      <w:r w:rsidR="003F56DD" w:rsidRPr="000978BA">
        <w:rPr>
          <w:rFonts w:ascii="Arial" w:hAnsi="Arial" w:cs="Arial"/>
          <w:color w:val="000000" w:themeColor="text1"/>
        </w:rPr>
        <w:t xml:space="preserve">will be expanded </w:t>
      </w:r>
      <w:r w:rsidR="00494458" w:rsidRPr="000978BA">
        <w:rPr>
          <w:rFonts w:ascii="Arial" w:hAnsi="Arial" w:cs="Arial"/>
          <w:color w:val="000000" w:themeColor="text1"/>
        </w:rPr>
        <w:t xml:space="preserve">to more settings and activities, including in all </w:t>
      </w:r>
      <w:r w:rsidR="0082567E" w:rsidRPr="000978BA">
        <w:rPr>
          <w:rFonts w:ascii="Arial" w:hAnsi="Arial" w:cs="Arial"/>
          <w:color w:val="000000" w:themeColor="text1"/>
        </w:rPr>
        <w:t>l</w:t>
      </w:r>
      <w:r w:rsidR="00494458" w:rsidRPr="000978BA">
        <w:rPr>
          <w:rFonts w:ascii="Arial" w:hAnsi="Arial" w:cs="Arial"/>
          <w:color w:val="000000" w:themeColor="text1"/>
        </w:rPr>
        <w:t xml:space="preserve">ibraries under the National Library Board (NLB), and selected activities in community clubs/centres under People’s Association (PA). For avoidance of doubt, VDS </w:t>
      </w:r>
      <w:r w:rsidR="0082567E" w:rsidRPr="000978BA">
        <w:rPr>
          <w:rFonts w:ascii="Arial" w:hAnsi="Arial" w:cs="Arial"/>
          <w:color w:val="000000" w:themeColor="text1"/>
        </w:rPr>
        <w:t>is</w:t>
      </w:r>
      <w:r w:rsidR="00494458" w:rsidRPr="000978BA">
        <w:rPr>
          <w:rFonts w:ascii="Arial" w:hAnsi="Arial" w:cs="Arial"/>
          <w:color w:val="000000" w:themeColor="text1"/>
        </w:rPr>
        <w:t xml:space="preserve"> </w:t>
      </w:r>
      <w:r w:rsidR="00494458" w:rsidRPr="000978BA">
        <w:rPr>
          <w:rFonts w:ascii="Arial" w:hAnsi="Arial" w:cs="Arial"/>
          <w:color w:val="000000" w:themeColor="text1"/>
          <w:u w:val="single"/>
        </w:rPr>
        <w:t>not</w:t>
      </w:r>
      <w:r w:rsidR="00494458" w:rsidRPr="000978BA">
        <w:rPr>
          <w:rFonts w:ascii="Arial" w:hAnsi="Arial" w:cs="Arial"/>
          <w:color w:val="000000" w:themeColor="text1"/>
        </w:rPr>
        <w:t xml:space="preserve"> </w:t>
      </w:r>
      <w:r w:rsidR="0082567E" w:rsidRPr="000978BA">
        <w:rPr>
          <w:rFonts w:ascii="Arial" w:hAnsi="Arial" w:cs="Arial"/>
          <w:color w:val="000000" w:themeColor="text1"/>
        </w:rPr>
        <w:t>required for</w:t>
      </w:r>
      <w:r w:rsidR="00494458" w:rsidRPr="000978BA">
        <w:rPr>
          <w:rFonts w:ascii="Arial" w:hAnsi="Arial" w:cs="Arial"/>
          <w:color w:val="000000" w:themeColor="text1"/>
        </w:rPr>
        <w:t xml:space="preserve"> libraries </w:t>
      </w:r>
      <w:r w:rsidR="003F56DD" w:rsidRPr="000978BA">
        <w:rPr>
          <w:rFonts w:ascii="Arial" w:hAnsi="Arial" w:cs="Arial"/>
          <w:color w:val="000000" w:themeColor="text1"/>
        </w:rPr>
        <w:t xml:space="preserve">located within </w:t>
      </w:r>
      <w:r w:rsidR="00494458" w:rsidRPr="000978BA">
        <w:rPr>
          <w:rFonts w:ascii="Arial" w:hAnsi="Arial" w:cs="Arial"/>
          <w:color w:val="000000" w:themeColor="text1"/>
        </w:rPr>
        <w:t>PEIs.</w:t>
      </w:r>
      <w:r w:rsidR="00494458" w:rsidRPr="000978BA">
        <w:rPr>
          <w:rFonts w:ascii="Arial" w:hAnsi="Arial" w:cs="Arial"/>
          <w:b/>
          <w:bCs/>
          <w:color w:val="000000" w:themeColor="text1"/>
        </w:rPr>
        <w:t xml:space="preserve"> </w:t>
      </w:r>
    </w:p>
    <w:p w14:paraId="405638C7" w14:textId="77777777" w:rsidR="003F0066" w:rsidRPr="000978BA" w:rsidRDefault="003F0066" w:rsidP="003F0066">
      <w:pPr>
        <w:pStyle w:val="ListParagraph"/>
        <w:rPr>
          <w:rFonts w:ascii="Arial" w:hAnsi="Arial" w:cs="Arial"/>
          <w:i/>
          <w:iCs/>
        </w:rPr>
      </w:pPr>
    </w:p>
    <w:p w14:paraId="134A5823" w14:textId="0E313516" w:rsidR="003F0066" w:rsidRPr="000978BA" w:rsidRDefault="003F0066" w:rsidP="003F0066">
      <w:pPr>
        <w:pStyle w:val="ListParagraph"/>
        <w:numPr>
          <w:ilvl w:val="0"/>
          <w:numId w:val="1"/>
        </w:numPr>
        <w:ind w:left="0" w:firstLine="0"/>
        <w:jc w:val="both"/>
        <w:rPr>
          <w:rFonts w:ascii="Arial" w:hAnsi="Arial" w:cs="Arial"/>
          <w:b/>
          <w:bCs/>
          <w:i/>
          <w:iCs/>
          <w:color w:val="FF0000"/>
        </w:rPr>
      </w:pPr>
      <w:r w:rsidRPr="000978BA">
        <w:rPr>
          <w:rFonts w:ascii="Arial" w:hAnsi="Arial" w:cs="Arial"/>
          <w:b/>
          <w:bCs/>
          <w:color w:val="FF0000"/>
        </w:rPr>
        <w:t xml:space="preserve">[New] </w:t>
      </w:r>
      <w:bookmarkStart w:id="0" w:name="_Hlk88376149"/>
      <w:r w:rsidRPr="000978BA">
        <w:rPr>
          <w:rFonts w:ascii="Arial" w:hAnsi="Arial" w:cs="Arial"/>
          <w:b/>
          <w:bCs/>
          <w:color w:val="000000" w:themeColor="text1"/>
        </w:rPr>
        <w:t>Removal of VDS Concession for Voluntarily Unvaccinated Individuals</w:t>
      </w:r>
      <w:r w:rsidR="009D5A77" w:rsidRPr="000978BA">
        <w:rPr>
          <w:rFonts w:ascii="Arial" w:hAnsi="Arial" w:cs="Arial"/>
          <w:b/>
          <w:bCs/>
          <w:color w:val="000000" w:themeColor="text1"/>
        </w:rPr>
        <w:t xml:space="preserve"> from </w:t>
      </w:r>
      <w:bookmarkEnd w:id="0"/>
      <w:r w:rsidR="009D5A77" w:rsidRPr="000978BA">
        <w:rPr>
          <w:rFonts w:ascii="Arial" w:hAnsi="Arial" w:cs="Arial"/>
          <w:b/>
          <w:bCs/>
          <w:color w:val="000000" w:themeColor="text1"/>
        </w:rPr>
        <w:t>1 January 2022</w:t>
      </w:r>
      <w:r w:rsidRPr="000978BA">
        <w:rPr>
          <w:rFonts w:ascii="Arial" w:hAnsi="Arial" w:cs="Arial"/>
          <w:b/>
          <w:bCs/>
          <w:color w:val="000000" w:themeColor="text1"/>
        </w:rPr>
        <w:t xml:space="preserve">: </w:t>
      </w:r>
      <w:r w:rsidRPr="000978BA">
        <w:rPr>
          <w:rFonts w:ascii="Arial" w:hAnsi="Arial" w:cs="Arial"/>
          <w:color w:val="000000" w:themeColor="text1"/>
        </w:rPr>
        <w:t xml:space="preserve">Under the current rules, unvaccinated individuals can get a Pre-Event Test (PET) </w:t>
      </w:r>
      <w:r w:rsidR="0082567E" w:rsidRPr="000978BA">
        <w:rPr>
          <w:rFonts w:ascii="Arial" w:hAnsi="Arial" w:cs="Arial"/>
          <w:color w:val="000000" w:themeColor="text1"/>
        </w:rPr>
        <w:t xml:space="preserve">from </w:t>
      </w:r>
      <w:r w:rsidR="00B5177F" w:rsidRPr="000978BA">
        <w:rPr>
          <w:rFonts w:ascii="Arial" w:hAnsi="Arial" w:cs="Arial"/>
          <w:color w:val="000000" w:themeColor="text1"/>
        </w:rPr>
        <w:t xml:space="preserve">a </w:t>
      </w:r>
      <w:r w:rsidR="000978BA">
        <w:rPr>
          <w:rFonts w:ascii="Arial" w:hAnsi="Arial" w:cs="Arial"/>
          <w:color w:val="000000" w:themeColor="text1"/>
        </w:rPr>
        <w:t>Ministry of Health (</w:t>
      </w:r>
      <w:r w:rsidR="00B5177F" w:rsidRPr="000978BA">
        <w:rPr>
          <w:rFonts w:ascii="Arial" w:hAnsi="Arial" w:cs="Arial"/>
          <w:color w:val="000000" w:themeColor="text1"/>
        </w:rPr>
        <w:t>MO</w:t>
      </w:r>
      <w:r w:rsidR="003337F9" w:rsidRPr="000978BA">
        <w:rPr>
          <w:rFonts w:ascii="Arial" w:hAnsi="Arial" w:cs="Arial"/>
          <w:color w:val="000000" w:themeColor="text1"/>
        </w:rPr>
        <w:t>H</w:t>
      </w:r>
      <w:r w:rsidR="000978BA">
        <w:rPr>
          <w:rFonts w:ascii="Arial" w:hAnsi="Arial" w:cs="Arial"/>
          <w:color w:val="000000" w:themeColor="text1"/>
        </w:rPr>
        <w:t>)</w:t>
      </w:r>
      <w:r w:rsidR="00B5177F" w:rsidRPr="000978BA">
        <w:rPr>
          <w:rFonts w:ascii="Arial" w:hAnsi="Arial" w:cs="Arial"/>
          <w:color w:val="000000" w:themeColor="text1"/>
        </w:rPr>
        <w:t xml:space="preserve">-approved COVID-19 test provider </w:t>
      </w:r>
      <w:r w:rsidRPr="000978BA">
        <w:rPr>
          <w:rFonts w:ascii="Arial" w:hAnsi="Arial" w:cs="Arial"/>
          <w:color w:val="000000" w:themeColor="text1"/>
        </w:rPr>
        <w:t xml:space="preserve">and show a negative test result to enter a VDS setting. </w:t>
      </w:r>
      <w:r w:rsidRPr="000978BA">
        <w:rPr>
          <w:rFonts w:ascii="Arial" w:hAnsi="Arial" w:cs="Arial"/>
          <w:b/>
          <w:bCs/>
          <w:color w:val="000000" w:themeColor="text1"/>
        </w:rPr>
        <w:t>This concession will be removed</w:t>
      </w:r>
      <w:r w:rsidR="009D5A77" w:rsidRPr="000978BA">
        <w:rPr>
          <w:rFonts w:ascii="Arial" w:hAnsi="Arial" w:cs="Arial"/>
          <w:b/>
          <w:bCs/>
          <w:color w:val="000000" w:themeColor="text1"/>
        </w:rPr>
        <w:t xml:space="preserve"> from 1 January 2022</w:t>
      </w:r>
      <w:r w:rsidRPr="000978BA">
        <w:rPr>
          <w:rFonts w:ascii="Arial" w:hAnsi="Arial" w:cs="Arial"/>
          <w:color w:val="000000" w:themeColor="text1"/>
        </w:rPr>
        <w:t xml:space="preserve">, as part of efforts to protect unvaccinated individuals from getting infected, as they are subject to greater risk of illnesses. Hence, only fully vaccinated, recovered, or medically ineligible individuals, or children aged 12 years and below (subject to venue/event-specific caps) will be allowed to enter settings where VDS is implemented. </w:t>
      </w:r>
    </w:p>
    <w:p w14:paraId="3BEE9B52" w14:textId="77777777" w:rsidR="009D5A77" w:rsidRPr="000978BA" w:rsidRDefault="009D5A77" w:rsidP="003F0066">
      <w:pPr>
        <w:pStyle w:val="ListParagraph"/>
        <w:ind w:left="0"/>
        <w:jc w:val="both"/>
        <w:rPr>
          <w:rFonts w:ascii="Arial" w:hAnsi="Arial" w:cs="Arial"/>
          <w:b/>
          <w:bCs/>
          <w:i/>
          <w:iCs/>
          <w:color w:val="FF0000"/>
          <w:highlight w:val="yellow"/>
        </w:rPr>
      </w:pPr>
    </w:p>
    <w:p w14:paraId="6AFD16D2" w14:textId="4BB4B8F7" w:rsidR="00EB5616" w:rsidRPr="000978BA" w:rsidRDefault="00EB5616" w:rsidP="00494458">
      <w:pPr>
        <w:pStyle w:val="ListParagraph"/>
        <w:ind w:left="0"/>
        <w:jc w:val="both"/>
        <w:rPr>
          <w:rFonts w:ascii="Arial" w:hAnsi="Arial" w:cs="Arial"/>
          <w:i/>
          <w:iCs/>
        </w:rPr>
      </w:pPr>
      <w:r w:rsidRPr="000978BA">
        <w:rPr>
          <w:rFonts w:ascii="Arial" w:hAnsi="Arial" w:cs="Arial"/>
          <w:b/>
          <w:bCs/>
          <w:color w:val="FF0000"/>
        </w:rPr>
        <w:t xml:space="preserve">[Updated] </w:t>
      </w:r>
      <w:r w:rsidRPr="000978BA">
        <w:rPr>
          <w:rFonts w:ascii="Arial" w:hAnsi="Arial" w:cs="Arial"/>
          <w:i/>
          <w:iCs/>
        </w:rPr>
        <w:t xml:space="preserve">Sector-Specific Guidelines for Higher Risk Activities </w:t>
      </w:r>
    </w:p>
    <w:p w14:paraId="6F28C168" w14:textId="77777777" w:rsidR="00494458" w:rsidRPr="000978BA" w:rsidRDefault="00494458" w:rsidP="00494458">
      <w:pPr>
        <w:pStyle w:val="ListParagraph"/>
        <w:ind w:left="0"/>
        <w:jc w:val="both"/>
        <w:rPr>
          <w:rFonts w:ascii="Arial" w:hAnsi="Arial" w:cs="Arial"/>
          <w:i/>
          <w:iCs/>
        </w:rPr>
      </w:pPr>
    </w:p>
    <w:p w14:paraId="716E43F3" w14:textId="65185569" w:rsidR="00EB5616" w:rsidRPr="000978BA" w:rsidRDefault="00EB5616" w:rsidP="00EB5616">
      <w:pPr>
        <w:pStyle w:val="ListParagraph"/>
        <w:numPr>
          <w:ilvl w:val="0"/>
          <w:numId w:val="1"/>
        </w:numPr>
        <w:ind w:left="0" w:firstLine="0"/>
        <w:jc w:val="both"/>
        <w:rPr>
          <w:rFonts w:ascii="Arial" w:hAnsi="Arial" w:cs="Arial"/>
        </w:rPr>
      </w:pPr>
      <w:r w:rsidRPr="000978BA">
        <w:rPr>
          <w:rFonts w:ascii="Arial" w:hAnsi="Arial" w:cs="Arial"/>
        </w:rPr>
        <w:t>PEIs are also required to adhere to all prevailing guidelines for higher-risk classes and activities on campus. Additional safe management measures apply for Sport or Physical Activity, Dance, Singing, Wind/Brass Instrument, Voice Training, Speech and Drama Classes:</w:t>
      </w:r>
    </w:p>
    <w:p w14:paraId="71917A34" w14:textId="77777777" w:rsidR="00EB5616" w:rsidRPr="000978BA" w:rsidRDefault="00EB5616" w:rsidP="00EB5616">
      <w:pPr>
        <w:pStyle w:val="ListParagraph"/>
        <w:ind w:left="0"/>
        <w:jc w:val="both"/>
        <w:rPr>
          <w:rFonts w:ascii="Arial" w:hAnsi="Arial" w:cs="Arial"/>
        </w:rPr>
      </w:pPr>
    </w:p>
    <w:p w14:paraId="6D17B7A6" w14:textId="77777777" w:rsidR="00EB5616" w:rsidRPr="000978BA" w:rsidRDefault="00EB5616" w:rsidP="00EB5616">
      <w:pPr>
        <w:pStyle w:val="ListParagraph"/>
        <w:numPr>
          <w:ilvl w:val="0"/>
          <w:numId w:val="4"/>
        </w:numPr>
        <w:spacing w:before="240" w:line="252" w:lineRule="auto"/>
        <w:jc w:val="both"/>
        <w:rPr>
          <w:rStyle w:val="Hyperlink"/>
          <w:rFonts w:ascii="Arial" w:hAnsi="Arial" w:cs="Arial"/>
        </w:rPr>
      </w:pPr>
      <w:r w:rsidRPr="000978BA">
        <w:rPr>
          <w:rFonts w:ascii="Arial" w:hAnsi="Arial" w:cs="Arial"/>
        </w:rPr>
        <w:t xml:space="preserve">For all sport or physical activity classes, as well as outdoor dance classes, please refer to the Sport Singapore advisory, available at: </w:t>
      </w:r>
      <w:hyperlink r:id="rId13" w:history="1">
        <w:r w:rsidRPr="000978BA">
          <w:rPr>
            <w:rStyle w:val="Hyperlink"/>
            <w:rFonts w:ascii="Arial" w:hAnsi="Arial" w:cs="Arial"/>
          </w:rPr>
          <w:t>https://www.sportsingapore.gov.sg/Newsroom/Media-Releases</w:t>
        </w:r>
      </w:hyperlink>
    </w:p>
    <w:p w14:paraId="41ED5A62" w14:textId="77777777" w:rsidR="00EB5616" w:rsidRPr="000978BA" w:rsidRDefault="00EB5616" w:rsidP="00EB5616">
      <w:pPr>
        <w:pStyle w:val="ListParagraph"/>
        <w:spacing w:before="240" w:line="252" w:lineRule="auto"/>
        <w:jc w:val="both"/>
        <w:rPr>
          <w:rStyle w:val="Hyperlink"/>
          <w:rFonts w:ascii="Arial" w:hAnsi="Arial" w:cs="Arial"/>
        </w:rPr>
      </w:pPr>
    </w:p>
    <w:p w14:paraId="471C82C3" w14:textId="75957499" w:rsidR="00EB5616" w:rsidRPr="000978BA" w:rsidRDefault="00EB5616" w:rsidP="00EB5616">
      <w:pPr>
        <w:pStyle w:val="ListParagraph"/>
        <w:numPr>
          <w:ilvl w:val="0"/>
          <w:numId w:val="4"/>
        </w:numPr>
        <w:spacing w:before="240" w:line="252" w:lineRule="auto"/>
        <w:jc w:val="both"/>
        <w:rPr>
          <w:rFonts w:ascii="Arial" w:hAnsi="Arial" w:cs="Arial"/>
          <w:color w:val="000000"/>
          <w:u w:val="single"/>
        </w:rPr>
      </w:pPr>
      <w:r w:rsidRPr="000978BA">
        <w:rPr>
          <w:rFonts w:ascii="Arial" w:hAnsi="Arial" w:cs="Arial"/>
        </w:rPr>
        <w:t xml:space="preserve">For indoor dance classes, singing, wind/brass instrument classes, voice training, and speech and drama classes, please refer to the National Arts Council’s advisory, available at </w:t>
      </w:r>
      <w:hyperlink r:id="rId14" w:history="1">
        <w:r w:rsidRPr="000978BA">
          <w:rPr>
            <w:rStyle w:val="Hyperlink"/>
            <w:rFonts w:ascii="Arial" w:hAnsi="Arial" w:cs="Arial"/>
          </w:rPr>
          <w:t>https://www.nac.gov.sg/whatwedo/support/sustaining-the-arts-during-covid-19/Safe-Management-Measures-for-the-Arts-and-Culture-Sector.html</w:t>
        </w:r>
      </w:hyperlink>
      <w:r w:rsidRPr="000978BA">
        <w:rPr>
          <w:rFonts w:ascii="Arial" w:hAnsi="Arial" w:cs="Arial"/>
          <w:color w:val="4472C4"/>
        </w:rPr>
        <w:t xml:space="preserve"> </w:t>
      </w:r>
    </w:p>
    <w:p w14:paraId="33BBCFB8" w14:textId="77777777" w:rsidR="00EB5616" w:rsidRPr="000978BA" w:rsidRDefault="00EB5616" w:rsidP="00EB5616">
      <w:pPr>
        <w:pStyle w:val="ListParagraph"/>
        <w:spacing w:before="240" w:line="252" w:lineRule="auto"/>
        <w:jc w:val="both"/>
        <w:rPr>
          <w:rFonts w:ascii="Arial" w:hAnsi="Arial" w:cs="Arial"/>
          <w:color w:val="000000"/>
          <w:u w:val="single"/>
        </w:rPr>
      </w:pPr>
    </w:p>
    <w:p w14:paraId="58616124" w14:textId="10CE45F1" w:rsidR="003337F9" w:rsidRPr="000978BA" w:rsidRDefault="00EB5616" w:rsidP="00A127E5">
      <w:pPr>
        <w:pStyle w:val="ListParagraph"/>
        <w:numPr>
          <w:ilvl w:val="0"/>
          <w:numId w:val="1"/>
        </w:numPr>
        <w:ind w:left="0" w:firstLine="0"/>
        <w:jc w:val="both"/>
        <w:rPr>
          <w:rFonts w:ascii="Arial" w:hAnsi="Arial" w:cs="Arial"/>
        </w:rPr>
      </w:pPr>
      <w:r w:rsidRPr="000978BA">
        <w:rPr>
          <w:rFonts w:ascii="Arial" w:hAnsi="Arial" w:cs="Arial"/>
          <w:u w:val="single"/>
        </w:rPr>
        <w:lastRenderedPageBreak/>
        <w:t>Live Performances:</w:t>
      </w:r>
      <w:r w:rsidRPr="000978BA">
        <w:rPr>
          <w:rFonts w:ascii="Arial" w:hAnsi="Arial" w:cs="Arial"/>
        </w:rPr>
        <w:t xml:space="preserve"> Live performances may be permitted, subject to the relevant SMMs outlined in National Arts Council (NAC)’s advisory. For live performances in PEI venues, they can be open to ticketed members of public. Nevertheless, PEIs should seek approval from CPE prior to organising live performances.</w:t>
      </w:r>
      <w:r w:rsidRPr="000978BA">
        <w:rPr>
          <w:rFonts w:ascii="Arial" w:hAnsi="Arial" w:cs="Arial"/>
          <w:b/>
          <w:bCs/>
        </w:rPr>
        <w:t xml:space="preserve"> </w:t>
      </w:r>
    </w:p>
    <w:p w14:paraId="65433E4A" w14:textId="1A74200E" w:rsidR="008D2321" w:rsidRPr="000978BA" w:rsidRDefault="008D2321" w:rsidP="003337F9">
      <w:pPr>
        <w:pStyle w:val="ListParagraph"/>
        <w:ind w:left="0"/>
        <w:jc w:val="both"/>
        <w:rPr>
          <w:rFonts w:ascii="Arial" w:hAnsi="Arial" w:cs="Arial"/>
        </w:rPr>
      </w:pPr>
    </w:p>
    <w:p w14:paraId="73FE6943" w14:textId="545DE3D3" w:rsidR="008D2321" w:rsidRPr="000978BA" w:rsidRDefault="008D2321" w:rsidP="008D2321">
      <w:pPr>
        <w:pStyle w:val="ListParagraph"/>
        <w:ind w:left="0"/>
        <w:jc w:val="both"/>
        <w:rPr>
          <w:rFonts w:ascii="Arial" w:hAnsi="Arial" w:cs="Arial"/>
          <w:bCs/>
          <w:i/>
          <w:iCs/>
        </w:rPr>
      </w:pPr>
      <w:r w:rsidRPr="000978BA">
        <w:rPr>
          <w:rFonts w:ascii="Arial" w:hAnsi="Arial" w:cs="Arial"/>
          <w:bCs/>
          <w:i/>
          <w:iCs/>
        </w:rPr>
        <w:t xml:space="preserve">Workplace </w:t>
      </w:r>
      <w:r w:rsidR="00183E97">
        <w:rPr>
          <w:rFonts w:ascii="Arial" w:hAnsi="Arial" w:cs="Arial"/>
          <w:bCs/>
          <w:i/>
          <w:iCs/>
        </w:rPr>
        <w:t>M</w:t>
      </w:r>
      <w:r w:rsidRPr="000978BA">
        <w:rPr>
          <w:rFonts w:ascii="Arial" w:hAnsi="Arial" w:cs="Arial"/>
          <w:bCs/>
          <w:i/>
          <w:iCs/>
        </w:rPr>
        <w:t>easures</w:t>
      </w:r>
    </w:p>
    <w:p w14:paraId="5C26D975" w14:textId="77777777" w:rsidR="008D2321" w:rsidRPr="000978BA" w:rsidRDefault="008D2321" w:rsidP="008D2321">
      <w:pPr>
        <w:pStyle w:val="ListParagraph"/>
        <w:ind w:left="0"/>
        <w:jc w:val="both"/>
        <w:rPr>
          <w:rFonts w:ascii="Arial" w:hAnsi="Arial" w:cs="Arial"/>
          <w:bCs/>
          <w:i/>
          <w:iCs/>
        </w:rPr>
      </w:pPr>
    </w:p>
    <w:p w14:paraId="5BA7C8D5" w14:textId="4ED07B74" w:rsidR="008D2321" w:rsidRPr="000978BA" w:rsidRDefault="00EB5616" w:rsidP="00A127E5">
      <w:pPr>
        <w:pStyle w:val="ListParagraph"/>
        <w:numPr>
          <w:ilvl w:val="0"/>
          <w:numId w:val="1"/>
        </w:numPr>
        <w:ind w:left="0" w:firstLine="0"/>
        <w:jc w:val="both"/>
        <w:rPr>
          <w:rFonts w:ascii="Arial" w:hAnsi="Arial" w:cs="Arial"/>
        </w:rPr>
      </w:pPr>
      <w:r w:rsidRPr="000978BA">
        <w:rPr>
          <w:rFonts w:ascii="Arial" w:hAnsi="Arial" w:cs="Arial"/>
          <w:b/>
          <w:bCs/>
        </w:rPr>
        <w:t>Work-from-home (WFH) will continue to be the default</w:t>
      </w:r>
      <w:r w:rsidRPr="000978BA">
        <w:rPr>
          <w:rFonts w:ascii="Arial" w:hAnsi="Arial" w:cs="Arial"/>
        </w:rPr>
        <w:t xml:space="preserve"> for employees whose job functions can be performed from home</w:t>
      </w:r>
      <w:r w:rsidRPr="000978BA">
        <w:rPr>
          <w:rFonts w:ascii="Arial" w:hAnsi="Arial" w:cs="Arial"/>
          <w:b/>
          <w:bCs/>
        </w:rPr>
        <w:t xml:space="preserve">. </w:t>
      </w:r>
      <w:r w:rsidRPr="000978BA">
        <w:rPr>
          <w:rFonts w:ascii="Arial" w:hAnsi="Arial" w:cs="Arial"/>
        </w:rPr>
        <w:t xml:space="preserve">During this period, the 10-day snap WFH regime will be suspended. There should continue to be no cross-deployment of staff as a default. Social gatherings at workplaces are disallowed. </w:t>
      </w:r>
    </w:p>
    <w:p w14:paraId="2F1CF672" w14:textId="77777777" w:rsidR="008D2321" w:rsidRPr="000978BA" w:rsidRDefault="008D2321" w:rsidP="008D2321">
      <w:pPr>
        <w:pStyle w:val="ListParagraph"/>
        <w:ind w:left="0"/>
        <w:jc w:val="both"/>
        <w:rPr>
          <w:rFonts w:ascii="Arial" w:hAnsi="Arial" w:cs="Arial"/>
        </w:rPr>
      </w:pPr>
    </w:p>
    <w:p w14:paraId="0DBD8167" w14:textId="7E5050BC" w:rsidR="008D2321" w:rsidRPr="000978BA" w:rsidRDefault="00EB5616" w:rsidP="00A127E5">
      <w:pPr>
        <w:pStyle w:val="ListParagraph"/>
        <w:numPr>
          <w:ilvl w:val="0"/>
          <w:numId w:val="1"/>
        </w:numPr>
        <w:ind w:left="0" w:firstLine="0"/>
        <w:jc w:val="both"/>
        <w:rPr>
          <w:rFonts w:ascii="Arial" w:hAnsi="Arial" w:cs="Arial"/>
        </w:rPr>
      </w:pPr>
      <w:r w:rsidRPr="000978BA">
        <w:rPr>
          <w:rFonts w:ascii="Arial" w:hAnsi="Arial" w:cs="Arial"/>
        </w:rPr>
        <w:t>Please refer to the</w:t>
      </w:r>
      <w:r w:rsidR="000978BA">
        <w:rPr>
          <w:rFonts w:ascii="Arial" w:hAnsi="Arial" w:cs="Arial"/>
        </w:rPr>
        <w:t xml:space="preserve"> Ministry of Manpower</w:t>
      </w:r>
      <w:r w:rsidRPr="000978BA">
        <w:rPr>
          <w:rFonts w:ascii="Arial" w:hAnsi="Arial" w:cs="Arial"/>
        </w:rPr>
        <w:t xml:space="preserve"> </w:t>
      </w:r>
      <w:r w:rsidR="000978BA">
        <w:rPr>
          <w:rFonts w:ascii="Arial" w:hAnsi="Arial" w:cs="Arial"/>
        </w:rPr>
        <w:t>(</w:t>
      </w:r>
      <w:r w:rsidRPr="000978BA">
        <w:rPr>
          <w:rFonts w:ascii="Arial" w:hAnsi="Arial" w:cs="Arial"/>
        </w:rPr>
        <w:t>MOM</w:t>
      </w:r>
      <w:r w:rsidR="000978BA">
        <w:rPr>
          <w:rFonts w:ascii="Arial" w:hAnsi="Arial" w:cs="Arial"/>
        </w:rPr>
        <w:t>)</w:t>
      </w:r>
      <w:r w:rsidRPr="000978BA">
        <w:rPr>
          <w:rFonts w:ascii="Arial" w:hAnsi="Arial" w:cs="Arial"/>
        </w:rPr>
        <w:t xml:space="preserve"> </w:t>
      </w:r>
      <w:hyperlink r:id="rId15" w:history="1">
        <w:r w:rsidRPr="000978BA">
          <w:rPr>
            <w:rStyle w:val="Hyperlink"/>
            <w:rFonts w:ascii="Arial" w:hAnsi="Arial" w:cs="Arial"/>
          </w:rPr>
          <w:t>website</w:t>
        </w:r>
      </w:hyperlink>
      <w:r w:rsidRPr="000978BA">
        <w:rPr>
          <w:rFonts w:ascii="Arial" w:hAnsi="Arial" w:cs="Arial"/>
        </w:rPr>
        <w:t xml:space="preserve"> for the full workplace SMMs. Employers should also continue to stagger the start times of employees who need to return to the workplace and implement flexible working hours.</w:t>
      </w:r>
    </w:p>
    <w:p w14:paraId="3A19F2EF" w14:textId="77777777" w:rsidR="008D2321" w:rsidRPr="000978BA" w:rsidRDefault="008D2321" w:rsidP="008D2321">
      <w:pPr>
        <w:pStyle w:val="ListParagraph"/>
        <w:rPr>
          <w:rFonts w:ascii="Arial" w:hAnsi="Arial" w:cs="Arial"/>
        </w:rPr>
      </w:pPr>
    </w:p>
    <w:p w14:paraId="4A5FE099" w14:textId="77777777" w:rsidR="008D2321" w:rsidRPr="000978BA" w:rsidRDefault="00EB5616" w:rsidP="00A127E5">
      <w:pPr>
        <w:pStyle w:val="ListParagraph"/>
        <w:numPr>
          <w:ilvl w:val="0"/>
          <w:numId w:val="1"/>
        </w:numPr>
        <w:ind w:left="0" w:firstLine="0"/>
        <w:jc w:val="both"/>
        <w:rPr>
          <w:rFonts w:ascii="Arial" w:hAnsi="Arial" w:cs="Arial"/>
        </w:rPr>
      </w:pPr>
      <w:r w:rsidRPr="000978BA">
        <w:rPr>
          <w:rFonts w:ascii="Arial" w:hAnsi="Arial" w:cs="Arial"/>
        </w:rPr>
        <w:t>PEIs should also continue to be judicious in only allowing staff whose work must be done onsite, e.g. to support students attending in-person classes, provide other essential services or access lab-based equipment, to return, subject to SMMs. This group of employees is strongly encouraged to self-test weekly via an Antigen Rapid Test (ART) to keep infected employees from coming to work and keep their workplace safe. The ART should be completed within 24 hours before the expected end of their return to the workplace, and the employee should only return if tested negative. This should also apply to employees, on-site contractors and vendors, who need to return to the workplace for ad hoc reasons.</w:t>
      </w:r>
    </w:p>
    <w:p w14:paraId="5B382493" w14:textId="77777777" w:rsidR="008D2321" w:rsidRPr="000978BA" w:rsidRDefault="008D2321" w:rsidP="008D2321">
      <w:pPr>
        <w:pStyle w:val="ListParagraph"/>
        <w:rPr>
          <w:rFonts w:ascii="Arial" w:hAnsi="Arial" w:cs="Arial"/>
        </w:rPr>
      </w:pPr>
    </w:p>
    <w:p w14:paraId="1B55C17F" w14:textId="4322BBA0" w:rsidR="008D2321" w:rsidRPr="000978BA" w:rsidRDefault="00EB5616" w:rsidP="008D2321">
      <w:pPr>
        <w:pStyle w:val="ListParagraph"/>
        <w:numPr>
          <w:ilvl w:val="0"/>
          <w:numId w:val="1"/>
        </w:numPr>
        <w:ind w:left="0" w:firstLine="0"/>
        <w:jc w:val="both"/>
        <w:rPr>
          <w:rFonts w:ascii="Arial" w:hAnsi="Arial" w:cs="Arial"/>
        </w:rPr>
      </w:pPr>
      <w:r w:rsidRPr="000978BA">
        <w:rPr>
          <w:rFonts w:ascii="Arial" w:hAnsi="Arial" w:cs="Arial"/>
        </w:rPr>
        <w:t>From 1 January 2022, only employees who are fully vaccinated</w:t>
      </w:r>
      <w:r w:rsidRPr="000978BA">
        <w:rPr>
          <w:rStyle w:val="FootnoteReference"/>
          <w:rFonts w:ascii="Arial" w:hAnsi="Arial" w:cs="Arial"/>
        </w:rPr>
        <w:footnoteReference w:id="2"/>
      </w:r>
      <w:r w:rsidRPr="000978BA">
        <w:rPr>
          <w:rFonts w:ascii="Arial" w:hAnsi="Arial" w:cs="Arial"/>
        </w:rPr>
        <w:t xml:space="preserve">, or have recovered from COVID-19 within the past 270 days, can return to the workplace. Unvaccinated employees will </w:t>
      </w:r>
      <w:r w:rsidRPr="000978BA">
        <w:rPr>
          <w:rFonts w:ascii="Arial" w:hAnsi="Arial" w:cs="Arial"/>
          <w:u w:val="single"/>
        </w:rPr>
        <w:t>not</w:t>
      </w:r>
      <w:r w:rsidRPr="000978BA">
        <w:rPr>
          <w:rFonts w:ascii="Arial" w:hAnsi="Arial" w:cs="Arial"/>
        </w:rPr>
        <w:t xml:space="preserve"> be allowed to return to the workplace unless they have tested negative for COVID-19 before returning to the workplace, and they will need to pay for the costs of these tests. The test should be a Pre-Event Test at an MOH-approved COVID-19 test provider (</w:t>
      </w:r>
      <w:hyperlink r:id="rId16" w:history="1">
        <w:r w:rsidRPr="000978BA">
          <w:rPr>
            <w:rStyle w:val="Hyperlink"/>
            <w:rFonts w:ascii="Arial" w:hAnsi="Arial" w:cs="Arial"/>
          </w:rPr>
          <w:t>https://www.moh.gov.sg/licensing-and-regulation/regulations-guidelines-and-circulars/details/list-of-covid-19-swab-providers</w:t>
        </w:r>
      </w:hyperlink>
      <w:r w:rsidRPr="000978BA">
        <w:rPr>
          <w:rFonts w:ascii="Arial" w:hAnsi="Arial" w:cs="Arial"/>
        </w:rPr>
        <w:t>), and must be valid</w:t>
      </w:r>
      <w:r w:rsidRPr="000978BA">
        <w:rPr>
          <w:rStyle w:val="FootnoteReference"/>
          <w:rFonts w:ascii="Arial" w:hAnsi="Arial" w:cs="Arial"/>
        </w:rPr>
        <w:footnoteReference w:id="3"/>
      </w:r>
      <w:r w:rsidRPr="000978BA">
        <w:rPr>
          <w:rFonts w:ascii="Arial" w:hAnsi="Arial" w:cs="Arial"/>
        </w:rPr>
        <w:t xml:space="preserve"> for the duration that the employees are required to be present at the workplace. PEIs may refer to the separate press release jointly issued by MOH and MOM, as well as in the tripartite advisory on vaccination at the workplace for further details.</w:t>
      </w:r>
    </w:p>
    <w:p w14:paraId="2684CC1B" w14:textId="77777777" w:rsidR="008D2321" w:rsidRPr="000978BA" w:rsidRDefault="008D2321" w:rsidP="008D2321">
      <w:pPr>
        <w:pStyle w:val="ListParagraph"/>
        <w:ind w:left="0"/>
        <w:jc w:val="both"/>
        <w:rPr>
          <w:rFonts w:ascii="Arial" w:hAnsi="Arial" w:cs="Arial"/>
        </w:rPr>
      </w:pPr>
    </w:p>
    <w:p w14:paraId="34B66B62" w14:textId="2D49C38E" w:rsidR="008D2321" w:rsidRPr="000978BA" w:rsidRDefault="008D2321" w:rsidP="008D2321">
      <w:pPr>
        <w:jc w:val="both"/>
        <w:rPr>
          <w:rFonts w:ascii="Arial" w:hAnsi="Arial" w:cs="Arial"/>
          <w:b/>
        </w:rPr>
      </w:pPr>
      <w:r w:rsidRPr="000978BA">
        <w:rPr>
          <w:rFonts w:ascii="Arial" w:hAnsi="Arial" w:cs="Arial"/>
          <w:b/>
        </w:rPr>
        <w:t xml:space="preserve">Social Responsibility and National SMMs </w:t>
      </w:r>
    </w:p>
    <w:p w14:paraId="45AD4519" w14:textId="2340B41D" w:rsidR="008D2321" w:rsidRPr="000978BA" w:rsidRDefault="00EB5616" w:rsidP="008D2321">
      <w:pPr>
        <w:pStyle w:val="ListParagraph"/>
        <w:numPr>
          <w:ilvl w:val="0"/>
          <w:numId w:val="1"/>
        </w:numPr>
        <w:ind w:left="0" w:firstLine="0"/>
        <w:jc w:val="both"/>
        <w:rPr>
          <w:rFonts w:ascii="Arial" w:hAnsi="Arial" w:cs="Arial"/>
        </w:rPr>
      </w:pPr>
      <w:r w:rsidRPr="000978BA">
        <w:rPr>
          <w:rFonts w:ascii="Arial" w:hAnsi="Arial" w:cs="Arial"/>
          <w:bCs/>
        </w:rPr>
        <w:t xml:space="preserve">All PEIs must continue to abide by prevailing national SMMs. </w:t>
      </w:r>
      <w:r w:rsidRPr="000978BA">
        <w:rPr>
          <w:rFonts w:ascii="Arial" w:hAnsi="Arial" w:cs="Arial"/>
        </w:rPr>
        <w:t xml:space="preserve">PEIs should also check </w:t>
      </w:r>
      <w:hyperlink r:id="rId17" w:history="1">
        <w:r w:rsidRPr="000978BA">
          <w:rPr>
            <w:rStyle w:val="Hyperlink"/>
            <w:rFonts w:ascii="Arial" w:hAnsi="Arial" w:cs="Arial"/>
          </w:rPr>
          <w:t>www.gov.sg/features/covid-19</w:t>
        </w:r>
      </w:hyperlink>
      <w:r w:rsidRPr="000978BA">
        <w:rPr>
          <w:rFonts w:ascii="Arial" w:hAnsi="Arial" w:cs="Arial"/>
        </w:rPr>
        <w:t xml:space="preserve"> for the latest updates and advisories.</w:t>
      </w:r>
    </w:p>
    <w:p w14:paraId="044A82D2" w14:textId="77777777" w:rsidR="008D2321" w:rsidRPr="000978BA" w:rsidRDefault="008D2321" w:rsidP="008D2321">
      <w:pPr>
        <w:pStyle w:val="ListParagraph"/>
        <w:ind w:left="0"/>
        <w:jc w:val="both"/>
        <w:rPr>
          <w:rFonts w:ascii="Arial" w:hAnsi="Arial" w:cs="Arial"/>
        </w:rPr>
      </w:pPr>
    </w:p>
    <w:p w14:paraId="7F5A9EF0" w14:textId="771A43F0" w:rsidR="00EB5616" w:rsidRPr="000978BA" w:rsidRDefault="00EB5616" w:rsidP="008D2321">
      <w:pPr>
        <w:pStyle w:val="ListParagraph"/>
        <w:numPr>
          <w:ilvl w:val="0"/>
          <w:numId w:val="1"/>
        </w:numPr>
        <w:ind w:left="0" w:firstLine="0"/>
        <w:jc w:val="both"/>
        <w:rPr>
          <w:rFonts w:ascii="Arial" w:hAnsi="Arial" w:cs="Arial"/>
        </w:rPr>
      </w:pPr>
      <w:r w:rsidRPr="000978BA">
        <w:rPr>
          <w:rFonts w:ascii="Arial" w:hAnsi="Arial" w:cs="Arial"/>
        </w:rPr>
        <w:t>In addition to the above, PEIs are reminded to adhere to the following:</w:t>
      </w:r>
    </w:p>
    <w:p w14:paraId="52905C31" w14:textId="77777777" w:rsidR="00EB5616" w:rsidRPr="000978BA" w:rsidRDefault="00EB5616" w:rsidP="00EB5616">
      <w:pPr>
        <w:pStyle w:val="ListParagraph"/>
        <w:rPr>
          <w:rFonts w:ascii="Arial" w:hAnsi="Arial" w:cs="Arial"/>
        </w:rPr>
      </w:pPr>
    </w:p>
    <w:p w14:paraId="072D9926" w14:textId="77777777" w:rsidR="00EB5616" w:rsidRPr="000978BA" w:rsidRDefault="00EB5616" w:rsidP="00EB5616">
      <w:pPr>
        <w:pStyle w:val="ListParagraph"/>
        <w:numPr>
          <w:ilvl w:val="0"/>
          <w:numId w:val="7"/>
        </w:numPr>
        <w:spacing w:line="254" w:lineRule="auto"/>
        <w:jc w:val="both"/>
        <w:rPr>
          <w:rFonts w:ascii="Arial" w:hAnsi="Arial" w:cs="Arial"/>
        </w:rPr>
      </w:pPr>
      <w:r w:rsidRPr="000978BA">
        <w:rPr>
          <w:rFonts w:ascii="Arial" w:hAnsi="Arial" w:cs="Arial"/>
        </w:rPr>
        <w:t>Hygiene: High-touch surfaces should be cleaned frequently, and disinfection of premises should be carried out daily, if not more frequently.</w:t>
      </w:r>
    </w:p>
    <w:p w14:paraId="7B58F602" w14:textId="77777777" w:rsidR="00EB5616" w:rsidRPr="000978BA" w:rsidRDefault="00EB5616" w:rsidP="00EB5616">
      <w:pPr>
        <w:pStyle w:val="ListParagraph"/>
        <w:numPr>
          <w:ilvl w:val="0"/>
          <w:numId w:val="7"/>
        </w:numPr>
        <w:spacing w:line="254" w:lineRule="auto"/>
        <w:jc w:val="both"/>
        <w:rPr>
          <w:rFonts w:ascii="Arial" w:hAnsi="Arial" w:cs="Arial"/>
        </w:rPr>
      </w:pPr>
      <w:r w:rsidRPr="000978BA">
        <w:rPr>
          <w:rFonts w:ascii="Arial" w:hAnsi="Arial" w:cs="Arial"/>
        </w:rPr>
        <w:lastRenderedPageBreak/>
        <w:t xml:space="preserve">Safe distancing: All students and staff </w:t>
      </w:r>
      <w:proofErr w:type="gramStart"/>
      <w:r w:rsidRPr="000978BA">
        <w:rPr>
          <w:rFonts w:ascii="Arial" w:hAnsi="Arial" w:cs="Arial"/>
        </w:rPr>
        <w:t>are to wear masks at all times</w:t>
      </w:r>
      <w:proofErr w:type="gramEnd"/>
      <w:r w:rsidRPr="000978BA">
        <w:rPr>
          <w:rStyle w:val="FootnoteReference"/>
          <w:rFonts w:ascii="Arial" w:hAnsi="Arial" w:cs="Arial"/>
        </w:rPr>
        <w:footnoteReference w:id="4"/>
      </w:r>
      <w:r w:rsidRPr="000978BA">
        <w:rPr>
          <w:rFonts w:ascii="Arial" w:hAnsi="Arial" w:cs="Arial"/>
        </w:rPr>
        <w:t>. There should be staggered arrival and dismissal to reduce congestion and intermingling among students in school and on campus.</w:t>
      </w:r>
    </w:p>
    <w:p w14:paraId="7A86C2A3" w14:textId="77777777" w:rsidR="003337F9" w:rsidRPr="000978BA" w:rsidRDefault="003337F9" w:rsidP="003337F9">
      <w:pPr>
        <w:pStyle w:val="ListParagraph"/>
        <w:spacing w:after="0" w:line="254" w:lineRule="auto"/>
        <w:ind w:left="0"/>
        <w:jc w:val="both"/>
        <w:rPr>
          <w:rFonts w:ascii="Arial" w:hAnsi="Arial" w:cs="Arial"/>
          <w:bCs/>
        </w:rPr>
      </w:pPr>
    </w:p>
    <w:p w14:paraId="7582A3B6" w14:textId="21D8F918" w:rsidR="00EB5616" w:rsidRPr="000978BA" w:rsidRDefault="00EB5616" w:rsidP="003337F9">
      <w:pPr>
        <w:pStyle w:val="ListParagraph"/>
        <w:numPr>
          <w:ilvl w:val="0"/>
          <w:numId w:val="1"/>
        </w:numPr>
        <w:spacing w:after="0" w:line="254" w:lineRule="auto"/>
        <w:ind w:left="0" w:firstLine="0"/>
        <w:jc w:val="both"/>
        <w:rPr>
          <w:rFonts w:ascii="Arial" w:hAnsi="Arial" w:cs="Arial"/>
        </w:rPr>
      </w:pPr>
      <w:r w:rsidRPr="000978BA">
        <w:rPr>
          <w:rFonts w:ascii="Arial" w:hAnsi="Arial" w:cs="Arial"/>
        </w:rPr>
        <w:t xml:space="preserve">PEIs should regularly remind all students and staff that if they are experiencing symptoms such as fever, cough, sore throat etc., they should visit a Swab and Send Home (SASH) clinic via private transport for a doctor to assess and advise them on the next steps. Students and staff </w:t>
      </w:r>
      <w:proofErr w:type="gramStart"/>
      <w:r w:rsidRPr="000978BA">
        <w:rPr>
          <w:rFonts w:ascii="Arial" w:hAnsi="Arial" w:cs="Arial"/>
        </w:rPr>
        <w:t>should adopt safe distancing and good hygiene practices at all times</w:t>
      </w:r>
      <w:proofErr w:type="gramEnd"/>
      <w:r w:rsidRPr="000978BA">
        <w:rPr>
          <w:rFonts w:ascii="Arial" w:hAnsi="Arial" w:cs="Arial"/>
        </w:rPr>
        <w:t xml:space="preserve">. </w:t>
      </w:r>
    </w:p>
    <w:p w14:paraId="438D6142" w14:textId="77777777" w:rsidR="003337F9" w:rsidRPr="000978BA" w:rsidRDefault="003337F9" w:rsidP="003337F9">
      <w:pPr>
        <w:pStyle w:val="ListParagraph"/>
        <w:spacing w:after="0" w:line="254" w:lineRule="auto"/>
        <w:ind w:left="0"/>
        <w:jc w:val="both"/>
        <w:rPr>
          <w:rFonts w:ascii="Arial" w:hAnsi="Arial" w:cs="Arial"/>
        </w:rPr>
      </w:pPr>
    </w:p>
    <w:p w14:paraId="730F597D" w14:textId="3E0AE8AF" w:rsidR="00EB5616" w:rsidRPr="000978BA" w:rsidRDefault="00EB5616" w:rsidP="003337F9">
      <w:pPr>
        <w:pStyle w:val="ListParagraph"/>
        <w:numPr>
          <w:ilvl w:val="0"/>
          <w:numId w:val="1"/>
        </w:numPr>
        <w:spacing w:after="0" w:line="254" w:lineRule="auto"/>
        <w:ind w:left="0" w:firstLine="0"/>
        <w:jc w:val="both"/>
        <w:rPr>
          <w:rFonts w:ascii="Arial" w:hAnsi="Arial" w:cs="Arial"/>
        </w:rPr>
      </w:pPr>
      <w:r w:rsidRPr="000978BA">
        <w:rPr>
          <w:rFonts w:ascii="Arial" w:hAnsi="Arial" w:cs="Arial"/>
          <w:bCs/>
        </w:rPr>
        <w:t xml:space="preserve">Please contact us via </w:t>
      </w:r>
      <w:hyperlink r:id="rId18" w:history="1">
        <w:r w:rsidRPr="000978BA">
          <w:rPr>
            <w:rStyle w:val="Hyperlink"/>
            <w:rFonts w:ascii="Arial" w:hAnsi="Arial" w:cs="Arial"/>
            <w:bCs/>
          </w:rPr>
          <w:t>CPE_Registration@ssg.gov.sg</w:t>
        </w:r>
      </w:hyperlink>
      <w:r w:rsidRPr="000978BA">
        <w:rPr>
          <w:rFonts w:ascii="Arial" w:hAnsi="Arial" w:cs="Arial"/>
          <w:bCs/>
        </w:rPr>
        <w:t xml:space="preserve"> if you require any clarification. Thank you.</w:t>
      </w:r>
    </w:p>
    <w:sectPr w:rsidR="00EB5616" w:rsidRPr="000978B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650A2" w14:textId="77777777" w:rsidR="009B3E60" w:rsidRDefault="009B3E60" w:rsidP="00A62EED">
      <w:pPr>
        <w:spacing w:after="0" w:line="240" w:lineRule="auto"/>
      </w:pPr>
      <w:r>
        <w:separator/>
      </w:r>
    </w:p>
  </w:endnote>
  <w:endnote w:type="continuationSeparator" w:id="0">
    <w:p w14:paraId="70F84B97" w14:textId="77777777" w:rsidR="009B3E60" w:rsidRDefault="009B3E60" w:rsidP="00A6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4611" w14:textId="4FD7A46D" w:rsidR="003E4511" w:rsidRDefault="003E4511">
    <w:pPr>
      <w:pStyle w:val="Footer"/>
    </w:pPr>
    <w:r>
      <w:rPr>
        <w:noProof/>
      </w:rPr>
      <w:drawing>
        <wp:inline distT="0" distB="0" distL="0" distR="0" wp14:anchorId="1ECBC563" wp14:editId="0A602E00">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B8225" w14:textId="77777777" w:rsidR="009B3E60" w:rsidRDefault="009B3E60" w:rsidP="00A62EED">
      <w:pPr>
        <w:spacing w:after="0" w:line="240" w:lineRule="auto"/>
      </w:pPr>
      <w:r>
        <w:separator/>
      </w:r>
    </w:p>
  </w:footnote>
  <w:footnote w:type="continuationSeparator" w:id="0">
    <w:p w14:paraId="3DF38C5A" w14:textId="77777777" w:rsidR="009B3E60" w:rsidRDefault="009B3E60" w:rsidP="00A62EED">
      <w:pPr>
        <w:spacing w:after="0" w:line="240" w:lineRule="auto"/>
      </w:pPr>
      <w:r>
        <w:continuationSeparator/>
      </w:r>
    </w:p>
  </w:footnote>
  <w:footnote w:id="1">
    <w:p w14:paraId="4B6E8023" w14:textId="42F2545C" w:rsidR="008C24E5" w:rsidRPr="0068583B" w:rsidRDefault="008C24E5">
      <w:pPr>
        <w:pStyle w:val="FootnoteText"/>
        <w:rPr>
          <w:rFonts w:ascii="Arial" w:hAnsi="Arial" w:cs="Arial"/>
        </w:rPr>
      </w:pPr>
      <w:r w:rsidRPr="0068583B">
        <w:rPr>
          <w:rStyle w:val="FootnoteReference"/>
          <w:rFonts w:ascii="Arial" w:hAnsi="Arial" w:cs="Arial"/>
        </w:rPr>
        <w:footnoteRef/>
      </w:r>
      <w:r w:rsidRPr="0068583B">
        <w:rPr>
          <w:rFonts w:ascii="Arial" w:hAnsi="Arial" w:cs="Arial"/>
        </w:rPr>
        <w:t xml:space="preserve"> </w:t>
      </w:r>
      <w:r w:rsidRPr="0068583B">
        <w:rPr>
          <w:rFonts w:ascii="Arial" w:hAnsi="Arial" w:cs="Arial"/>
        </w:rPr>
        <w:t xml:space="preserve">Coffeeshops refer to premises with </w:t>
      </w:r>
      <w:r w:rsidR="003E4511">
        <w:rPr>
          <w:rFonts w:ascii="Arial" w:hAnsi="Arial" w:cs="Arial"/>
        </w:rPr>
        <w:t>Singapore Food Agency (</w:t>
      </w:r>
      <w:r w:rsidRPr="0068583B">
        <w:rPr>
          <w:rFonts w:ascii="Arial" w:hAnsi="Arial" w:cs="Arial"/>
        </w:rPr>
        <w:t>SFA</w:t>
      </w:r>
      <w:r w:rsidR="003E4511">
        <w:rPr>
          <w:rFonts w:ascii="Arial" w:hAnsi="Arial" w:cs="Arial"/>
        </w:rPr>
        <w:t>)</w:t>
      </w:r>
      <w:r w:rsidRPr="0068583B">
        <w:rPr>
          <w:rFonts w:ascii="Arial" w:hAnsi="Arial" w:cs="Arial"/>
        </w:rPr>
        <w:t xml:space="preserve"> coffeeshop, eating house, or canteen licenses that are not substantially enclosed by a permanent barrier.</w:t>
      </w:r>
    </w:p>
  </w:footnote>
  <w:footnote w:id="2">
    <w:p w14:paraId="0B626FA9" w14:textId="77777777" w:rsidR="00EB5616" w:rsidRDefault="00EB5616" w:rsidP="00EB5616">
      <w:pPr>
        <w:pStyle w:val="FootnoteText"/>
        <w:jc w:val="both"/>
      </w:pPr>
      <w:r>
        <w:rPr>
          <w:rStyle w:val="FootnoteReference"/>
          <w:rFonts w:ascii="Arial" w:hAnsi="Arial" w:cs="Arial"/>
        </w:rPr>
        <w:footnoteRef/>
      </w:r>
      <w:r>
        <w:rPr>
          <w:rFonts w:ascii="Arial" w:hAnsi="Arial" w:cs="Arial"/>
        </w:rPr>
        <w:t xml:space="preserve"> An individual is considered vaccinated if he/she a) has been fully vaccinated, i.e. received the appropriate regimen of World Health Organization Emergency Use Listing (WHO EUL) vaccines including their respective duration post-vaccination for the vaccine to be fully effective and b) had their vaccination records ingested in MOH’s IT systems.</w:t>
      </w:r>
    </w:p>
  </w:footnote>
  <w:footnote w:id="3">
    <w:p w14:paraId="5A625ED0" w14:textId="77777777" w:rsidR="00EB5616" w:rsidRPr="00D169E7" w:rsidRDefault="00EB5616" w:rsidP="00EB5616">
      <w:pPr>
        <w:pStyle w:val="FootnoteText"/>
        <w:rPr>
          <w:rFonts w:ascii="Arial" w:hAnsi="Arial" w:cs="Arial"/>
        </w:rPr>
      </w:pPr>
      <w:r w:rsidRPr="00D169E7">
        <w:rPr>
          <w:rStyle w:val="FootnoteReference"/>
          <w:rFonts w:ascii="Arial" w:hAnsi="Arial" w:cs="Arial"/>
        </w:rPr>
        <w:footnoteRef/>
      </w:r>
      <w:r w:rsidRPr="00D169E7">
        <w:rPr>
          <w:rFonts w:ascii="Arial" w:hAnsi="Arial" w:cs="Arial"/>
        </w:rPr>
        <w:t xml:space="preserve"> Negative ART results are valid for 24 hours.</w:t>
      </w:r>
    </w:p>
  </w:footnote>
  <w:footnote w:id="4">
    <w:p w14:paraId="0ADC4927" w14:textId="77777777" w:rsidR="00EB5616" w:rsidRPr="000B6576" w:rsidRDefault="00EB5616" w:rsidP="00EB5616">
      <w:pPr>
        <w:spacing w:after="240"/>
        <w:jc w:val="both"/>
        <w:rPr>
          <w:rFonts w:ascii="Arial" w:hAnsi="Arial" w:cs="Arial"/>
          <w:i/>
          <w:iCs/>
        </w:rPr>
      </w:pPr>
      <w:r w:rsidRPr="00D169E7">
        <w:rPr>
          <w:rStyle w:val="FootnoteReference"/>
          <w:rFonts w:ascii="Arial" w:hAnsi="Arial" w:cs="Arial"/>
          <w:sz w:val="20"/>
          <w:szCs w:val="20"/>
        </w:rPr>
        <w:footnoteRef/>
      </w:r>
      <w:r w:rsidRPr="00D169E7">
        <w:rPr>
          <w:rFonts w:ascii="Arial" w:hAnsi="Arial" w:cs="Arial"/>
          <w:sz w:val="20"/>
          <w:szCs w:val="20"/>
        </w:rPr>
        <w:t xml:space="preserve"> Children under 6 years old are not required to wear masks. Nonetheless, they are encouraged to wear a mask or face shield.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0C83F" w14:textId="648583F3" w:rsidR="003E4511" w:rsidRDefault="003E4511">
    <w:pPr>
      <w:pStyle w:val="Header"/>
    </w:pPr>
    <w:r>
      <w:rPr>
        <w:noProof/>
        <w:lang w:eastAsia="en-SG"/>
      </w:rPr>
      <w:drawing>
        <wp:inline distT="0" distB="0" distL="0" distR="0" wp14:anchorId="7123E6F4" wp14:editId="09600B24">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F3456"/>
    <w:multiLevelType w:val="hybridMultilevel"/>
    <w:tmpl w:val="18E45D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431D1F"/>
    <w:multiLevelType w:val="hybridMultilevel"/>
    <w:tmpl w:val="F4D42B5C"/>
    <w:lvl w:ilvl="0" w:tplc="D66EBDD0">
      <w:start w:val="1"/>
      <w:numFmt w:val="bullet"/>
      <w:lvlText w:val="•"/>
      <w:lvlJc w:val="left"/>
      <w:pPr>
        <w:tabs>
          <w:tab w:val="num" w:pos="720"/>
        </w:tabs>
        <w:ind w:left="720" w:hanging="360"/>
      </w:pPr>
      <w:rPr>
        <w:rFonts w:ascii="Arial" w:hAnsi="Arial" w:hint="default"/>
      </w:rPr>
    </w:lvl>
    <w:lvl w:ilvl="1" w:tplc="62386756">
      <w:numFmt w:val="none"/>
      <w:lvlText w:val=""/>
      <w:lvlJc w:val="left"/>
      <w:pPr>
        <w:tabs>
          <w:tab w:val="num" w:pos="360"/>
        </w:tabs>
      </w:pPr>
    </w:lvl>
    <w:lvl w:ilvl="2" w:tplc="E35A73FC" w:tentative="1">
      <w:start w:val="1"/>
      <w:numFmt w:val="bullet"/>
      <w:lvlText w:val="•"/>
      <w:lvlJc w:val="left"/>
      <w:pPr>
        <w:tabs>
          <w:tab w:val="num" w:pos="2160"/>
        </w:tabs>
        <w:ind w:left="2160" w:hanging="360"/>
      </w:pPr>
      <w:rPr>
        <w:rFonts w:ascii="Arial" w:hAnsi="Arial" w:hint="default"/>
      </w:rPr>
    </w:lvl>
    <w:lvl w:ilvl="3" w:tplc="03006F24" w:tentative="1">
      <w:start w:val="1"/>
      <w:numFmt w:val="bullet"/>
      <w:lvlText w:val="•"/>
      <w:lvlJc w:val="left"/>
      <w:pPr>
        <w:tabs>
          <w:tab w:val="num" w:pos="2880"/>
        </w:tabs>
        <w:ind w:left="2880" w:hanging="360"/>
      </w:pPr>
      <w:rPr>
        <w:rFonts w:ascii="Arial" w:hAnsi="Arial" w:hint="default"/>
      </w:rPr>
    </w:lvl>
    <w:lvl w:ilvl="4" w:tplc="1226ACC0" w:tentative="1">
      <w:start w:val="1"/>
      <w:numFmt w:val="bullet"/>
      <w:lvlText w:val="•"/>
      <w:lvlJc w:val="left"/>
      <w:pPr>
        <w:tabs>
          <w:tab w:val="num" w:pos="3600"/>
        </w:tabs>
        <w:ind w:left="3600" w:hanging="360"/>
      </w:pPr>
      <w:rPr>
        <w:rFonts w:ascii="Arial" w:hAnsi="Arial" w:hint="default"/>
      </w:rPr>
    </w:lvl>
    <w:lvl w:ilvl="5" w:tplc="CC58E324" w:tentative="1">
      <w:start w:val="1"/>
      <w:numFmt w:val="bullet"/>
      <w:lvlText w:val="•"/>
      <w:lvlJc w:val="left"/>
      <w:pPr>
        <w:tabs>
          <w:tab w:val="num" w:pos="4320"/>
        </w:tabs>
        <w:ind w:left="4320" w:hanging="360"/>
      </w:pPr>
      <w:rPr>
        <w:rFonts w:ascii="Arial" w:hAnsi="Arial" w:hint="default"/>
      </w:rPr>
    </w:lvl>
    <w:lvl w:ilvl="6" w:tplc="6B8AF216" w:tentative="1">
      <w:start w:val="1"/>
      <w:numFmt w:val="bullet"/>
      <w:lvlText w:val="•"/>
      <w:lvlJc w:val="left"/>
      <w:pPr>
        <w:tabs>
          <w:tab w:val="num" w:pos="5040"/>
        </w:tabs>
        <w:ind w:left="5040" w:hanging="360"/>
      </w:pPr>
      <w:rPr>
        <w:rFonts w:ascii="Arial" w:hAnsi="Arial" w:hint="default"/>
      </w:rPr>
    </w:lvl>
    <w:lvl w:ilvl="7" w:tplc="F2568D5A" w:tentative="1">
      <w:start w:val="1"/>
      <w:numFmt w:val="bullet"/>
      <w:lvlText w:val="•"/>
      <w:lvlJc w:val="left"/>
      <w:pPr>
        <w:tabs>
          <w:tab w:val="num" w:pos="5760"/>
        </w:tabs>
        <w:ind w:left="5760" w:hanging="360"/>
      </w:pPr>
      <w:rPr>
        <w:rFonts w:ascii="Arial" w:hAnsi="Arial" w:hint="default"/>
      </w:rPr>
    </w:lvl>
    <w:lvl w:ilvl="8" w:tplc="53D80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C32A41"/>
    <w:multiLevelType w:val="hybridMultilevel"/>
    <w:tmpl w:val="EBDE5BFE"/>
    <w:lvl w:ilvl="0" w:tplc="8CD2D136">
      <w:start w:val="1"/>
      <w:numFmt w:val="decimal"/>
      <w:lvlText w:val="%1."/>
      <w:lvlJc w:val="left"/>
      <w:pPr>
        <w:ind w:left="720" w:hanging="360"/>
      </w:pPr>
      <w:rPr>
        <w:b w:val="0"/>
        <w:bCs w:val="0"/>
        <w:i w:val="0"/>
        <w:iCs w:val="0"/>
        <w:color w:val="000000" w:themeColor="text1"/>
      </w:rPr>
    </w:lvl>
    <w:lvl w:ilvl="1" w:tplc="EF3EA560">
      <w:start w:val="1"/>
      <w:numFmt w:val="lowerLetter"/>
      <w:lvlText w:val="%2."/>
      <w:lvlJc w:val="left"/>
      <w:pPr>
        <w:ind w:left="1440" w:hanging="360"/>
      </w:pPr>
      <w:rPr>
        <w:color w:val="000000" w:themeColor="text1"/>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C33335"/>
    <w:multiLevelType w:val="hybridMultilevel"/>
    <w:tmpl w:val="90D22D1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5F00DDD"/>
    <w:multiLevelType w:val="hybridMultilevel"/>
    <w:tmpl w:val="5254E280"/>
    <w:lvl w:ilvl="0" w:tplc="E304A3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AF4861"/>
    <w:multiLevelType w:val="hybridMultilevel"/>
    <w:tmpl w:val="4EACA958"/>
    <w:lvl w:ilvl="0" w:tplc="9D88EDFE">
      <w:start w:val="6"/>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D62352E"/>
    <w:multiLevelType w:val="hybridMultilevel"/>
    <w:tmpl w:val="ED64CF4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A1F0303"/>
    <w:multiLevelType w:val="hybridMultilevel"/>
    <w:tmpl w:val="DC265962"/>
    <w:lvl w:ilvl="0" w:tplc="6EC4E656">
      <w:start w:val="1"/>
      <w:numFmt w:val="lowerLetter"/>
      <w:lvlText w:val="%1)"/>
      <w:lvlJc w:val="left"/>
      <w:pPr>
        <w:ind w:left="720" w:hanging="360"/>
      </w:pPr>
      <w:rPr>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CF175D3"/>
    <w:multiLevelType w:val="hybridMultilevel"/>
    <w:tmpl w:val="FDDC82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3"/>
  </w:num>
  <w:num w:numId="5">
    <w:abstractNumId w:val="5"/>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83"/>
    <w:rsid w:val="00001463"/>
    <w:rsid w:val="000079EB"/>
    <w:rsid w:val="000779FB"/>
    <w:rsid w:val="000978BA"/>
    <w:rsid w:val="000D24CE"/>
    <w:rsid w:val="001007BF"/>
    <w:rsid w:val="00183E97"/>
    <w:rsid w:val="001977A0"/>
    <w:rsid w:val="001B04E9"/>
    <w:rsid w:val="001C6D28"/>
    <w:rsid w:val="001D16B2"/>
    <w:rsid w:val="001E357B"/>
    <w:rsid w:val="00246FA6"/>
    <w:rsid w:val="0025128D"/>
    <w:rsid w:val="002608A5"/>
    <w:rsid w:val="00283AB2"/>
    <w:rsid w:val="002D0DCA"/>
    <w:rsid w:val="002E5225"/>
    <w:rsid w:val="002F5E33"/>
    <w:rsid w:val="003337F9"/>
    <w:rsid w:val="00343621"/>
    <w:rsid w:val="00395020"/>
    <w:rsid w:val="003D5216"/>
    <w:rsid w:val="003E4511"/>
    <w:rsid w:val="003F0066"/>
    <w:rsid w:val="003F56DD"/>
    <w:rsid w:val="0041048D"/>
    <w:rsid w:val="00412394"/>
    <w:rsid w:val="00433877"/>
    <w:rsid w:val="00494458"/>
    <w:rsid w:val="004966ED"/>
    <w:rsid w:val="004B1B34"/>
    <w:rsid w:val="004D1B84"/>
    <w:rsid w:val="00541183"/>
    <w:rsid w:val="00564308"/>
    <w:rsid w:val="00565A15"/>
    <w:rsid w:val="005907D5"/>
    <w:rsid w:val="006719C2"/>
    <w:rsid w:val="0068583B"/>
    <w:rsid w:val="006E3210"/>
    <w:rsid w:val="006F0729"/>
    <w:rsid w:val="0075650F"/>
    <w:rsid w:val="0078715A"/>
    <w:rsid w:val="007F1A2A"/>
    <w:rsid w:val="00817214"/>
    <w:rsid w:val="0082567E"/>
    <w:rsid w:val="00831983"/>
    <w:rsid w:val="00874D5B"/>
    <w:rsid w:val="008B131B"/>
    <w:rsid w:val="008C24E5"/>
    <w:rsid w:val="008D2321"/>
    <w:rsid w:val="008D74A4"/>
    <w:rsid w:val="008E5EB6"/>
    <w:rsid w:val="00942C94"/>
    <w:rsid w:val="009B3E60"/>
    <w:rsid w:val="009B7B3C"/>
    <w:rsid w:val="009D5A77"/>
    <w:rsid w:val="009E353C"/>
    <w:rsid w:val="00A127E5"/>
    <w:rsid w:val="00A62EED"/>
    <w:rsid w:val="00A94D23"/>
    <w:rsid w:val="00AA798A"/>
    <w:rsid w:val="00AE332A"/>
    <w:rsid w:val="00AE3D65"/>
    <w:rsid w:val="00B208FB"/>
    <w:rsid w:val="00B5177F"/>
    <w:rsid w:val="00B91542"/>
    <w:rsid w:val="00B933C6"/>
    <w:rsid w:val="00BA3E77"/>
    <w:rsid w:val="00BD512C"/>
    <w:rsid w:val="00BF72CC"/>
    <w:rsid w:val="00C00715"/>
    <w:rsid w:val="00C500D6"/>
    <w:rsid w:val="00C919F4"/>
    <w:rsid w:val="00CD6D5E"/>
    <w:rsid w:val="00D17626"/>
    <w:rsid w:val="00D35921"/>
    <w:rsid w:val="00DF2001"/>
    <w:rsid w:val="00E21AD1"/>
    <w:rsid w:val="00E445CF"/>
    <w:rsid w:val="00E6678E"/>
    <w:rsid w:val="00E75169"/>
    <w:rsid w:val="00E917EA"/>
    <w:rsid w:val="00EB5616"/>
    <w:rsid w:val="00ED213D"/>
    <w:rsid w:val="00F06669"/>
    <w:rsid w:val="00F52450"/>
    <w:rsid w:val="00F709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6F539"/>
  <w15:chartTrackingRefBased/>
  <w15:docId w15:val="{B1787356-E432-46AE-AA15-DAEFCAD3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831983"/>
    <w:pPr>
      <w:ind w:left="720"/>
      <w:contextualSpacing/>
    </w:pPr>
  </w:style>
  <w:style w:type="paragraph" w:styleId="FootnoteText">
    <w:name w:val="footnote text"/>
    <w:basedOn w:val="Normal"/>
    <w:link w:val="FootnoteTextChar"/>
    <w:uiPriority w:val="99"/>
    <w:semiHidden/>
    <w:unhideWhenUsed/>
    <w:rsid w:val="00A62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EED"/>
    <w:rPr>
      <w:sz w:val="20"/>
      <w:szCs w:val="20"/>
    </w:rPr>
  </w:style>
  <w:style w:type="character" w:styleId="FootnoteReference">
    <w:name w:val="footnote reference"/>
    <w:basedOn w:val="DefaultParagraphFont"/>
    <w:uiPriority w:val="99"/>
    <w:semiHidden/>
    <w:unhideWhenUsed/>
    <w:rsid w:val="00A62EED"/>
    <w:rPr>
      <w:vertAlign w:val="superscript"/>
    </w:rPr>
  </w:style>
  <w:style w:type="character" w:styleId="Hyperlink">
    <w:name w:val="Hyperlink"/>
    <w:basedOn w:val="DefaultParagraphFont"/>
    <w:uiPriority w:val="99"/>
    <w:unhideWhenUsed/>
    <w:rsid w:val="00EB5616"/>
    <w:rPr>
      <w:rFonts w:ascii="Times New Roman" w:hAnsi="Times New Roman" w:cs="Times New Roman" w:hint="default"/>
      <w:color w:val="000000"/>
      <w:u w:val="single"/>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EB5616"/>
  </w:style>
  <w:style w:type="paragraph" w:styleId="NoSpacing">
    <w:name w:val="No Spacing"/>
    <w:uiPriority w:val="1"/>
    <w:qFormat/>
    <w:rsid w:val="00EB5616"/>
    <w:pPr>
      <w:spacing w:after="0" w:line="240" w:lineRule="auto"/>
    </w:pPr>
    <w:rPr>
      <w:rFonts w:ascii="Arial" w:hAnsi="Arial"/>
    </w:rPr>
  </w:style>
  <w:style w:type="character" w:styleId="CommentReference">
    <w:name w:val="annotation reference"/>
    <w:basedOn w:val="DefaultParagraphFont"/>
    <w:uiPriority w:val="99"/>
    <w:semiHidden/>
    <w:unhideWhenUsed/>
    <w:rsid w:val="00EB5616"/>
    <w:rPr>
      <w:sz w:val="16"/>
      <w:szCs w:val="16"/>
    </w:rPr>
  </w:style>
  <w:style w:type="paragraph" w:styleId="CommentText">
    <w:name w:val="annotation text"/>
    <w:basedOn w:val="Normal"/>
    <w:link w:val="CommentTextChar"/>
    <w:uiPriority w:val="99"/>
    <w:semiHidden/>
    <w:unhideWhenUsed/>
    <w:rsid w:val="00EB5616"/>
    <w:pPr>
      <w:spacing w:line="240" w:lineRule="auto"/>
    </w:pPr>
    <w:rPr>
      <w:sz w:val="20"/>
      <w:szCs w:val="20"/>
    </w:rPr>
  </w:style>
  <w:style w:type="character" w:customStyle="1" w:styleId="CommentTextChar">
    <w:name w:val="Comment Text Char"/>
    <w:basedOn w:val="DefaultParagraphFont"/>
    <w:link w:val="CommentText"/>
    <w:uiPriority w:val="99"/>
    <w:semiHidden/>
    <w:rsid w:val="00EB5616"/>
    <w:rPr>
      <w:sz w:val="20"/>
      <w:szCs w:val="20"/>
    </w:rPr>
  </w:style>
  <w:style w:type="paragraph" w:styleId="CommentSubject">
    <w:name w:val="annotation subject"/>
    <w:basedOn w:val="CommentText"/>
    <w:next w:val="CommentText"/>
    <w:link w:val="CommentSubjectChar"/>
    <w:uiPriority w:val="99"/>
    <w:semiHidden/>
    <w:unhideWhenUsed/>
    <w:rsid w:val="00EB5616"/>
    <w:rPr>
      <w:b/>
      <w:bCs/>
    </w:rPr>
  </w:style>
  <w:style w:type="character" w:customStyle="1" w:styleId="CommentSubjectChar">
    <w:name w:val="Comment Subject Char"/>
    <w:basedOn w:val="CommentTextChar"/>
    <w:link w:val="CommentSubject"/>
    <w:uiPriority w:val="99"/>
    <w:semiHidden/>
    <w:rsid w:val="00EB5616"/>
    <w:rPr>
      <w:b/>
      <w:bCs/>
      <w:sz w:val="20"/>
      <w:szCs w:val="20"/>
    </w:rPr>
  </w:style>
  <w:style w:type="paragraph" w:styleId="BalloonText">
    <w:name w:val="Balloon Text"/>
    <w:basedOn w:val="Normal"/>
    <w:link w:val="BalloonTextChar"/>
    <w:uiPriority w:val="99"/>
    <w:semiHidden/>
    <w:unhideWhenUsed/>
    <w:rsid w:val="00EB5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616"/>
    <w:rPr>
      <w:rFonts w:ascii="Segoe UI" w:hAnsi="Segoe UI" w:cs="Segoe UI"/>
      <w:sz w:val="18"/>
      <w:szCs w:val="18"/>
    </w:rPr>
  </w:style>
  <w:style w:type="paragraph" w:customStyle="1" w:styleId="Default">
    <w:name w:val="Default"/>
    <w:rsid w:val="0049445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6F0729"/>
    <w:rPr>
      <w:color w:val="605E5C"/>
      <w:shd w:val="clear" w:color="auto" w:fill="E1DFDD"/>
    </w:rPr>
  </w:style>
  <w:style w:type="paragraph" w:styleId="Header">
    <w:name w:val="header"/>
    <w:basedOn w:val="Normal"/>
    <w:link w:val="HeaderChar"/>
    <w:uiPriority w:val="99"/>
    <w:unhideWhenUsed/>
    <w:rsid w:val="003E4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11"/>
  </w:style>
  <w:style w:type="paragraph" w:styleId="Footer">
    <w:name w:val="footer"/>
    <w:basedOn w:val="Normal"/>
    <w:link w:val="FooterChar"/>
    <w:uiPriority w:val="99"/>
    <w:unhideWhenUsed/>
    <w:rsid w:val="003E4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11"/>
  </w:style>
  <w:style w:type="character" w:styleId="FollowedHyperlink">
    <w:name w:val="FollowedHyperlink"/>
    <w:basedOn w:val="DefaultParagraphFont"/>
    <w:uiPriority w:val="99"/>
    <w:semiHidden/>
    <w:unhideWhenUsed/>
    <w:rsid w:val="00333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400406">
      <w:bodyDiv w:val="1"/>
      <w:marLeft w:val="0"/>
      <w:marRight w:val="0"/>
      <w:marTop w:val="0"/>
      <w:marBottom w:val="0"/>
      <w:divBdr>
        <w:top w:val="none" w:sz="0" w:space="0" w:color="auto"/>
        <w:left w:val="none" w:sz="0" w:space="0" w:color="auto"/>
        <w:bottom w:val="none" w:sz="0" w:space="0" w:color="auto"/>
        <w:right w:val="none" w:sz="0" w:space="0" w:color="auto"/>
      </w:divBdr>
    </w:div>
    <w:div w:id="1346247070">
      <w:bodyDiv w:val="1"/>
      <w:marLeft w:val="0"/>
      <w:marRight w:val="0"/>
      <w:marTop w:val="0"/>
      <w:marBottom w:val="0"/>
      <w:divBdr>
        <w:top w:val="none" w:sz="0" w:space="0" w:color="auto"/>
        <w:left w:val="none" w:sz="0" w:space="0" w:color="auto"/>
        <w:bottom w:val="none" w:sz="0" w:space="0" w:color="auto"/>
        <w:right w:val="none" w:sz="0" w:space="0" w:color="auto"/>
      </w:divBdr>
      <w:divsChild>
        <w:div w:id="482892777">
          <w:marLeft w:val="446"/>
          <w:marRight w:val="0"/>
          <w:marTop w:val="0"/>
          <w:marBottom w:val="0"/>
          <w:divBdr>
            <w:top w:val="none" w:sz="0" w:space="0" w:color="auto"/>
            <w:left w:val="none" w:sz="0" w:space="0" w:color="auto"/>
            <w:bottom w:val="none" w:sz="0" w:space="0" w:color="auto"/>
            <w:right w:val="none" w:sz="0" w:space="0" w:color="auto"/>
          </w:divBdr>
        </w:div>
        <w:div w:id="658386966">
          <w:marLeft w:val="1166"/>
          <w:marRight w:val="0"/>
          <w:marTop w:val="0"/>
          <w:marBottom w:val="0"/>
          <w:divBdr>
            <w:top w:val="none" w:sz="0" w:space="0" w:color="auto"/>
            <w:left w:val="none" w:sz="0" w:space="0" w:color="auto"/>
            <w:bottom w:val="none" w:sz="0" w:space="0" w:color="auto"/>
            <w:right w:val="none" w:sz="0" w:space="0" w:color="auto"/>
          </w:divBdr>
        </w:div>
      </w:divsChild>
    </w:div>
    <w:div w:id="17929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sportsingapore.gov.sg/Newsroom/Media-Releases" TargetMode="External"/><Relationship Id="rId18" Type="http://schemas.openxmlformats.org/officeDocument/2006/relationships/hyperlink" Target="mailto:CPE_Registration@ssg.gov.s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gov.sg/features/covid-19" TargetMode="External"/><Relationship Id="rId2" Type="http://schemas.openxmlformats.org/officeDocument/2006/relationships/numbering" Target="numbering.xml"/><Relationship Id="rId16" Type="http://schemas.openxmlformats.org/officeDocument/2006/relationships/hyperlink" Target="https://www.moh.gov.sg/licensing-and-regulation/regulations-guidelines-and-circulars/details/list-of-covid-19-swab-provid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s://www.mom.gov.sg/covid-19/requirements-for-safe-management-measures" TargetMode="External"/><Relationship Id="rId10" Type="http://schemas.openxmlformats.org/officeDocument/2006/relationships/hyperlink" Target="https://go.gov.sg/vdscoffeeshop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nac.gov.sg/whatwedo/support/sustaining-the-arts-during-covid-19/Safe-Management-Measures-for-the-Arts-and-Culture-Sector.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CBAF4-E27E-4B97-A8D4-25CC9136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Eugene CHER (SSG)</cp:lastModifiedBy>
  <cp:revision>3</cp:revision>
  <dcterms:created xsi:type="dcterms:W3CDTF">2021-11-22T00:33:00Z</dcterms:created>
  <dcterms:modified xsi:type="dcterms:W3CDTF">2021-11-22T00:50:00Z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2021-11-21T02:38:22Z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f2fcd448-8088-4db8-8545-4917cb247da7</vt:lpwstr>
  </property>
  <property fmtid="{D5CDD505-2E9C-101B-9397-08002B2CF9AE}" pid="8" name="MSIP_Label_4f288355-fb4c-44cd-b9ca-40cfc2aee5f8_ContentBits">
    <vt:lpwstr>0</vt:lpwstr>
  </property>
</Properties>
</file>