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🞂 Nombre del CU:  Registrar Pase por Telepeaje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🞂 Tipo de caso de uso: Base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🞂 Objetivo/Descripción del CU:  El cliente aproxima su vehículo a la vía de Telepeaje, donde el sistema verifica su TAG a través de un lector, le descuenta la tarifa correspondiente y levanta la barrera para concederle el paso. Una vez que el conductor atravesó el puesto, el sistema baja la barrera nuevamente.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🞂 Actor Principal: Cliente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🞂 Actor Secundario: 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🞂 Autor:  Leandro Gatti, Lautaro Barreto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🞂 Fecha creación:  20/06/2025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🞂 Precondiciones:  Registrar Alta del Sistema, Registrar Carga de Saldo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🞂 Punto de extensión:  No tiene.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🞂 Flujo Normal: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El cliente aproxima su vehículo al puesto de Telepeaje.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El sistema lee el TAG del vehículo, descuenta la tarifa correspondiente, registra el paso y levanta la barrera.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El cliente pasa por el puesto con su vehículo.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El sistema baja la barrera y finaliza el caso de uso.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🞂 Flujos Alternativos: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A0. El TAG  no pudo ser identificado correctamente: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2.1) El sistema no puede leer el TAG, por lo que continúa en el paso 1) del flujo normal.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A1. El TAG presenta saldo nulo o insuficiente: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2.1) El sistema detecta que el TAG del cliente no posee saldo o el mismo es insuficiente, activa una alarma sonora y finaliza el caso de uso.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🞂 Postcondiciones:  Saldo actualizado, Paso registrado.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🞂 Interfaz Tentativa del caso de uso (Graphic User Interface): Al ser un sistema automático, no posee interfaz de usuario.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