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🞂 Nombre del CU: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🞂 Tipo de caso de uso: Base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🞂 Objetivo/Descripción del CU: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🞂 Actor Principal: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🞂 Actor Secundario: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🞂 Autor: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🞂 Fecha creación: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🞂 Precondiciones: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🞂 Punto de extensión: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🞂 Flujo Normal: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🞂 Flujos Alternativos: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 Cualquier momento antes del paso X, el actor puede cancelar el caso de uso.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A0. Cancelar: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*).1. El cliente oprime “Cancelar”.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*).2. El sistema finaliza el caso de uso.</w:t>
        <w:tab/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🞂 Postcondiciones: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🞂 Interfaz Tentativa del caso de uso (</w:t>
      </w:r>
      <w:r w:rsidDel="00000000" w:rsidR="00000000" w:rsidRPr="00000000">
        <w:rPr>
          <w:rtl w:val="0"/>
        </w:rPr>
        <w:t xml:space="preserve">Graphic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User Interface)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