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3C6E"/>
          <w:sz w:val="56"/>
          <w:szCs w:val="56"/>
        </w:rPr>
        <w:t xml:space="preserve">Trabajo Final Integrador (TFI)</w:t>
      </w:r>
    </w:p>
    <w:p>
      <w:pPr>
        <w:spacing w:before="200"/>
        <w:jc w:val="center"/>
      </w:pPr>
      <w:r>
        <w:rPr>
          <w:sz w:val="32"/>
          <w:szCs w:val="32"/>
        </w:rPr>
        <w:t xml:space="preserve">Desarrollo de Aplicaciones Web</w:t>
      </w:r>
    </w:p>
    <w:p>
      <w:pPr>
        <w:spacing w:before="100"/>
        <w:jc w:val="center"/>
      </w:pPr>
      <w:r>
        <w:rPr>
          <w:i/>
          <w:iCs/>
          <w:color w:val="555555"/>
          <w:sz w:val="24"/>
          <w:szCs w:val="24"/>
        </w:rPr>
        <w:t xml:space="preserve">“Del Código a la Arquitectura: El Criterio del Desarrollador”</w:t>
      </w:r>
    </w:p>
    <w:p>
      <w:pPr>
        <w:spacing w:before="800"/>
        <w:jc w:val="center"/>
      </w:pPr>
      <w:r>
        <w:rPr>
          <w:b/>
          <w:bCs/>
          <w:color w:val="2B6CB0"/>
          <w:sz w:val="72"/>
          <w:szCs w:val="72"/>
        </w:rPr>
        <w:t xml:space="preserve">TrainerOS</w:t>
      </w:r>
    </w:p>
    <w:p>
      <w:pPr>
        <w:spacing w:before="100"/>
        <w:jc w:val="center"/>
      </w:pPr>
      <w:r>
        <w:rPr>
          <w:sz w:val="26"/>
          <w:szCs w:val="26"/>
        </w:rPr>
        <w:t xml:space="preserve">Plataforma SaaS de gestión para entrenadores personales</w:t>
      </w:r>
    </w:p>
    <w:p>
      <w:pPr>
        <w:spacing w:before="1200"/>
        <w:jc w:val="center"/>
      </w:pPr>
      <w:r>
        <w:rPr>
          <w:sz w:val="24"/>
          <w:szCs w:val="24"/>
        </w:rPr>
        <w:t>Autores — Grupo VOX: Conrado Gómez, Nicolás Zyngale, Matías Saravia, Lautaro Naglieri, Pablo Czurylo, Leandro Gramajo</w:t>
      </w:r>
    </w:p>
    <w:p>
      <w:pPr>
        <w:jc w:val="center"/>
      </w:pPr>
      <w:r>
        <w:rPr>
          <w:color w:val="555555"/>
          <w:sz w:val="24"/>
          <w:szCs w:val="24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ListParagraph"/>
      </w:pPr>
      <w:r>
        <w:t>Fase 1 — Arquitectura Base y Esqueleto (El MVP)</w:t>
      </w:r>
    </w:p>
    <w:p>
      <w:pPr>
        <w:pStyle w:val="ListParagraph"/>
      </w:pPr>
      <w:r>
        <w:t>Fase 2 — Evolución Forzada a Microservicios</w:t>
      </w:r>
    </w:p>
    <w:p>
      <w:pPr>
        <w:pStyle w:val="ListParagraph"/>
      </w:pPr>
      <w:r>
        <w:t>Fase 3 — Mejora Incremental (Robustez y Escalabilidad)</w:t>
      </w:r>
    </w:p>
    <w:p>
      <w:pPr>
        <w:pStyle w:val="ListParagraph"/>
      </w:pPr>
      <w:r>
        <w:t>Fase 4 — Infraestructura, DevOps y Ambientes</w:t>
      </w:r>
    </w:p>
    <w:p>
      <w:pPr>
        <w:pStyle w:val="ListParagraph"/>
      </w:pPr>
      <w:r>
        <w:t>Fase 5 — Extensión de Próxima Generación: Integración con IA</w:t>
      </w:r>
    </w:p>
    <w:p>
      <w:pPr>
        <w:pStyle w:val="ListParagraph"/>
      </w:pPr>
      <w:r>
        <w:t>Resumen de la Evolución y Entregables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Fase 1: Arquitectura Base y Esqueleto (El MVP)</w:t>
      </w:r>
    </w:p>
    <w:p>
      <w:pPr>
        <w:pStyle w:val="Heading2"/>
      </w:pPr>
      <w:r>
        <w:t xml:space="preserve">1.1. Definición de la Temática y Modelo de Negocio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TrainerOS</w:t>
      </w:r>
      <w:r>
        <w:rPr>
          <w:b w:val="false"/>
          <w:bCs w:val="false"/>
          <w:i w:val="false"/>
          <w:iCs w:val="false"/>
        </w:rPr>
        <w:t xml:space="preserve"> es una plataforma SaaS B2B2C orientada a entrenadores personales independientes. El problema que ataca es concreto: hoy los entrenadores gestionan decenas de alumnos con planillas de Excel y mensajes de WhatsApp, lo que genera caos logístico, rutinas desactualizadas y pérdida de control sobre los cobros de membresías.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Modelo de negocio: </w:t>
      </w:r>
      <w:r>
        <w:rPr>
          <w:b w:val="false"/>
          <w:bCs w:val="false"/>
          <w:i w:val="false"/>
          <w:iCs w:val="false"/>
        </w:rPr>
        <w:t xml:space="preserve">suscripción mensual por entrenador (modelo SaaS multitenant). El entrenador paga por la herramienta; sus alumnos acceden gratis a un panel móvil donde consumen la rutina del día y marcan su progreso. Las funcionalidades del MVP se limitan a: autenticación con Google, constructor de rutinas a partir de un catálogo de ejercicios, panel móvil del alumno y control de pagos de membresías con alertas de vencimiento.</w:t>
      </w:r>
    </w:p>
    <w:p>
      <w:pPr>
        <w:pStyle w:val="Heading2"/>
      </w:pPr>
      <w:r>
        <w:t xml:space="preserve">1.2. Planteo Arquitectónico Inicial: Monolito Modular en 3 Capas</w:t>
      </w:r>
    </w:p>
    <w:p>
      <w:pPr>
        <w:spacing w:after="120" w:line="300"/>
        <w:jc w:val="both"/>
      </w:pPr>
      <w:r>
        <w:t xml:space="preserve">Para el volumen inicial (primeros 50 a 100 entrenadores, menos de 5.000 alumnos) se propone un monolito modular con arquitectura en capas (3-tier):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Capa de Presentación: </w:t>
      </w:r>
      <w:r>
        <w:rPr>
          <w:b w:val="false"/>
          <w:bCs w:val="false"/>
          <w:i w:val="false"/>
          <w:iCs w:val="false"/>
        </w:rPr>
        <w:t xml:space="preserve">React.js para los paneles privados (entrenador y alumno) y Next.js con generación estática (SSG) para la landing pública, optimizando SEO para la adquisición orgánica. Desplegada en Vercel.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Capa de Aplicación: </w:t>
      </w:r>
      <w:r>
        <w:rPr>
          <w:b w:val="false"/>
          <w:bCs w:val="false"/>
          <w:i w:val="false"/>
          <w:iCs w:val="false"/>
        </w:rPr>
        <w:t xml:space="preserve">API REST en Node.js + Express, organizada internamente en módulos con límites claros (Auth, Rutinas, Catálogo, Pagos). Valida JWT y aplica las reglas de negocio. Prisma ORM como capa de abstracción de datos. Desplegada en Render/Railway.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Capa de Datos: </w:t>
      </w:r>
      <w:r>
        <w:rPr>
          <w:b w:val="false"/>
          <w:bCs w:val="false"/>
          <w:i w:val="false"/>
          <w:iCs w:val="false"/>
        </w:rPr>
        <w:t xml:space="preserve">PostgreSQL gestionado. El modelo relacional es mandatorio por la interconexión de entidades (Entrenador, Alumno, Rutina, RutinaEjercicio, Membresía) y el aislamiento multitenant: toda consulta inyecta el trainer_id validado desde el JWT.</w:t>
      </w:r>
    </w:p>
    <w:p>
      <w:pPr>
        <w:spacing w:after="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905500" cy="3963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1_monolito_3cap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63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– Arquitectura inicial: monolito modular en 3 capas</w:t>
      </w:r>
    </w:p>
    <w:p>
      <w:pPr>
        <w:pStyle w:val="Heading2"/>
      </w:pPr>
      <w:r>
        <w:t xml:space="preserve">1.3. Justificación Técnica y de Negocio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¿Por qué esta arquitectura es suficiente para arrancar? </w:t>
      </w:r>
      <w:r>
        <w:rPr>
          <w:b w:val="false"/>
          <w:bCs w:val="false"/>
          <w:i w:val="false"/>
          <w:iCs w:val="false"/>
        </w:rPr>
        <w:t xml:space="preserve">Porque minimiza las dos variables críticas de un MVP: costo y tiempo de salida al mercado. Un solo despliegue, una sola base de datos y un solo pipeline permiten iterar en sprints semanales con un costo fijo de USD 7–16/mes. Node.js se elige por el ecosistema compartido con el frontend (un solo lenguaje, TypeScript de punta a punta), su excelente rendimiento en cargas I/O-bound (este sistema es 95% lecturas/escrituras de datos, sin cómputo pesado) y la velocidad de desarrollo con Express + Prisma. La modularidad interna no es accidental: los módulos del monolito están diseñados como futuros candidatos a microservicios, lo que reduce el costo de la migración de la Fase 2.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¿Cuáles son sus límites? </w:t>
      </w:r>
      <w:r>
        <w:rPr>
          <w:b w:val="false"/>
          <w:bCs w:val="false"/>
          <w:i w:val="false"/>
          <w:iCs w:val="false"/>
        </w:rPr>
        <w:t xml:space="preserve">(a) Escalado solo vertical: si el módulo de Rutinas recibe picos, hay que escalar todo el monolito; (b) un deploy defectuoso de cualquier módulo tumba el sistema completo (acoplamiento de despliegue); (c) la base única concentra el riesgo: una query pesada de reportes degrada las operaciones transaccionales; (d) un solo equipo puede trabajar cómodo, pero con varios equipos los merge conflicts y la coordinación de releases se vuelven un cuello de botella; (e) Render/Railway no ofrecen autoscaling granular ni SLAs de alta disponibilidad.</w:t>
      </w:r>
    </w:p>
    <w:p>
      <w:pPr>
        <w:pStyle w:val="Heading2"/>
      </w:pPr>
      <w:r>
        <w:t xml:space="preserve">1.4. Artefactos Requeridos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Diagrama de arquitectura inicial: </w:t>
      </w:r>
      <w:r>
        <w:rPr>
          <w:b w:val="false"/>
          <w:bCs w:val="false"/>
          <w:i w:val="false"/>
          <w:iCs w:val="false"/>
        </w:rPr>
        <w:t xml:space="preserve">Figura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Repositorio Git: </w:t>
      </w:r>
      <w:r>
        <w:rPr>
          <w:b w:val="false"/>
          <w:bCs w:val="false"/>
          <w:i w:val="false"/>
          <w:iCs w:val="false"/>
        </w:rPr>
        <w:t xml:space="preserve">GitHub Flow extendido con dos ramas permanentes (main = producción, dev = integración) y ramas temporales feat/, fix/ y chore/. El esqueleto inicial incluye únicamente: configuración de Express + TypeScript, Prisma con el esquema base y migración inicial, middleware JWT vacío, ESLint/Prettier y healthcheck. Sin lógica de negocio.</w:t>
      </w:r>
    </w:p>
    <w:p>
      <w:pPr>
        <w:pBdr>
          <w:left w:val="single" w:color="F9AB00" w:sz="18" w:space="4"/>
        </w:pBdr>
        <w:shd w:fill="FEF7E0" w:val="clear"/>
        <w:spacing w:after="20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617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997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capas_fase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9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Commits del esqueleto del monolito en capas — Fase 1 (commit 2e1baa5) y estructura de las 3 capas. </w:t>
      </w:r>
      <w:r>
        <w:rPr>
          <w:sz w:val="18"/>
        </w:rPr>
        <w:t>Repositorio: https://github.com/LautaroNaglieri/traineros-api</w:t>
      </w:r>
    </w:p>
    <w:p>
      <w:pPr>
        <w:pStyle w:val="Heading1"/>
        <w:pageBreakBefore/>
      </w:pPr>
      <w:r>
        <w:t xml:space="preserve">Fase 2: Evolución Forzada a Microservicios</w:t>
      </w:r>
    </w:p>
    <w:p>
      <w:pPr>
        <w:pStyle w:val="Heading2"/>
      </w:pPr>
      <w:r>
        <w:t xml:space="preserve">2.1. El Cambio de Contexto (Escenario de Negocio)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Doce meses después del lanzamiento, TrainerOS firma convenios B2B con dos cadenas regionales de gimnasios que incorporan a sus entrenadores a la plataforma. El sistema pasa de 100 entrenadores a </w:t>
      </w:r>
      <w:r>
        <w:rPr>
          <w:b/>
          <w:bCs/>
          <w:i w:val="false"/>
          <w:iCs w:val="false"/>
        </w:rPr>
        <w:t xml:space="preserve">5.000 entrenadores y ~120.000 alumnos activos</w:t>
      </w:r>
      <w:r>
        <w:rPr>
          <w:b w:val="false"/>
          <w:bCs w:val="false"/>
          <w:i w:val="false"/>
          <w:iCs w:val="false"/>
        </w:rPr>
        <w:t xml:space="preserve">. Aparecen tres presiones que el monolito no resuelve: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Picos de tráfico predecibles y violentos: </w:t>
      </w:r>
      <w:r>
        <w:rPr>
          <w:b w:val="false"/>
          <w:bCs w:val="false"/>
          <w:i w:val="false"/>
          <w:iCs w:val="false"/>
        </w:rPr>
        <w:t xml:space="preserve">entre las 18 y las 21 h los alumnos consultan su rutina desde el gimnasio (lecturas masivas), mientras los entrenadores cargan planificaciones. Los lunes el pico se triplica.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Equipos independientes: </w:t>
      </w:r>
      <w:r>
        <w:rPr>
          <w:b w:val="false"/>
          <w:bCs w:val="false"/>
          <w:i w:val="false"/>
          <w:iCs w:val="false"/>
        </w:rPr>
        <w:t>La empresa crece a tres equipos de desarrollo (Core de rutinas, Pagos/B2B, Experiencia del alumno) que necesitan desplegar sin coordinarse entre sí.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Requisitos B2B: </w:t>
      </w:r>
      <w:r>
        <w:rPr>
          <w:b w:val="false"/>
          <w:bCs w:val="false"/>
          <w:i w:val="false"/>
          <w:iCs w:val="false"/>
        </w:rPr>
        <w:t xml:space="preserve">las cadenas exigen SLA de disponibilidad, facturación consolidada y notificaciones masivas (recordatorios de vencimiento a miles de alumnos), cargas que no pueden competir por recursos con el flujo crítico de consulta de rutinas.</w:t>
      </w:r>
    </w:p>
    <w:p>
      <w:pPr>
        <w:pStyle w:val="Heading2"/>
      </w:pPr>
      <w:r>
        <w:t xml:space="preserve">2.2. Paso A: Microservicios Tradicionales (REST síncrono)</w:t>
      </w:r>
    </w:p>
    <w:p>
      <w:pPr>
        <w:spacing w:after="120" w:line="300"/>
        <w:jc w:val="both"/>
      </w:pPr>
      <w:r>
        <w:t xml:space="preserve">La primera descomposición separa el monolito por capacidades de negocio, siguiendo los límites modulares ya definidos en la Fase 1: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MS Auth &amp; Tenants: </w:t>
      </w:r>
      <w:r>
        <w:rPr>
          <w:b w:val="false"/>
          <w:bCs w:val="false"/>
          <w:i w:val="false"/>
          <w:iCs w:val="false"/>
        </w:rPr>
        <w:t xml:space="preserve">identidad, JWT, aislamiento multitenant.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MS Rutinas: </w:t>
      </w:r>
      <w:r>
        <w:rPr>
          <w:b w:val="false"/>
          <w:bCs w:val="false"/>
          <w:i w:val="false"/>
          <w:iCs w:val="false"/>
        </w:rPr>
        <w:t xml:space="preserve">planificación y asignación (núcleo del negocio).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MS Catálogo: </w:t>
      </w:r>
      <w:r>
        <w:rPr>
          <w:b w:val="false"/>
          <w:bCs w:val="false"/>
          <w:i w:val="false"/>
          <w:iCs w:val="false"/>
        </w:rPr>
        <w:t xml:space="preserve">ejercicios globales, casi 100% lecturas.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MS Pagos/Membresías: </w:t>
      </w:r>
      <w:r>
        <w:rPr>
          <w:b w:val="false"/>
          <w:bCs w:val="false"/>
          <w:i w:val="false"/>
          <w:iCs w:val="false"/>
        </w:rPr>
        <w:t xml:space="preserve">cobros, vencimientos, facturación B2B.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MS Notificaciones: </w:t>
      </w:r>
      <w:r>
        <w:rPr>
          <w:b w:val="false"/>
          <w:bCs w:val="false"/>
          <w:i w:val="false"/>
          <w:iCs w:val="false"/>
        </w:rPr>
        <w:t xml:space="preserve">push, email y WhatsApp.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Cada servicio expone una API REST detrás de un </w:t>
      </w:r>
      <w:r>
        <w:rPr>
          <w:b/>
          <w:bCs/>
          <w:i w:val="false"/>
          <w:iCs w:val="false"/>
        </w:rPr>
        <w:t xml:space="preserve">API Gateway</w:t>
      </w:r>
      <w:r>
        <w:rPr>
          <w:b w:val="false"/>
          <w:bCs w:val="false"/>
          <w:i w:val="false"/>
          <w:iCs w:val="false"/>
        </w:rPr>
        <w:t xml:space="preserve"> (ruteo, rate limiting, validación JWT centralizada) y aplica el patrón </w:t>
      </w:r>
      <w:r>
        <w:rPr>
          <w:b/>
          <w:bCs/>
          <w:i w:val="false"/>
          <w:iCs w:val="false"/>
        </w:rPr>
        <w:t xml:space="preserve">Database per Service</w:t>
      </w:r>
      <w:r>
        <w:rPr>
          <w:b w:val="false"/>
          <w:bCs w:val="false"/>
          <w:i w:val="false"/>
          <w:iCs w:val="false"/>
        </w:rPr>
        <w:t xml:space="preserve"> para garantizar autonomía de despliegue y de esquema. La comunicación entre servicios es HTTP/REST síncrona.</w:t>
      </w:r>
    </w:p>
    <w:p>
      <w:pPr>
        <w:spacing w:after="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905500" cy="2806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2a_microservicios_tradiciona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0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2 – Paso A: microservicios tradicionales con comunicación REST síncrona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Límite de este diseño: </w:t>
      </w:r>
      <w:r>
        <w:rPr>
          <w:b w:val="false"/>
          <w:bCs w:val="false"/>
          <w:i w:val="false"/>
          <w:iCs w:val="false"/>
        </w:rPr>
        <w:t xml:space="preserve">el acoplamiento temporal. Si Notificaciones está caído, la asignación de una rutina falla o se demora aunque el alumno no necesite el push de inmediato. Las llamadas en cadena (Rutinas → Catálogo → Notificaciones) suman latencias y multiplican los puntos de fallo: la disponibilidad compuesta es el producto de las disponibilidades individuales.</w:t>
      </w:r>
    </w:p>
    <w:p>
      <w:pPr>
        <w:pStyle w:val="Heading2"/>
      </w:pPr>
      <w:r>
        <w:t xml:space="preserve">2.3. Paso B: Microservicios Modernos (Event-Driven)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evolución natural es invertir la dependencia: los servicios dejan de llamarse entre sí y pasan a publicar hechos de negocio en un </w:t>
      </w:r>
      <w:r>
        <w:rPr>
          <w:b/>
          <w:bCs/>
          <w:i w:val="false"/>
          <w:iCs w:val="false"/>
        </w:rPr>
        <w:t xml:space="preserve">Message Broker (Google Pub/Sub)</w:t>
      </w:r>
      <w:r>
        <w:rPr>
          <w:b w:val="false"/>
          <w:bCs w:val="false"/>
          <w:i w:val="false"/>
          <w:iCs w:val="false"/>
        </w:rPr>
        <w:t xml:space="preserve">. Eventos principales: rutina.asignada, entrenamiento.completado, pago.confirmado, membresia.por_vencer.</w:t>
      </w:r>
    </w:p>
    <w:p>
      <w:pPr>
        <w:spacing w:after="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905500" cy="27502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2b_microservicios_modern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5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– Paso B: arquitectura orientada a eventos con Pub/Sub</w:t>
      </w:r>
    </w:p>
    <w:p>
      <w:pPr>
        <w:pStyle w:val="Heading3"/>
      </w:pPr>
      <w:r>
        <w:t xml:space="preserve">Patrones aplicados y su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se aplica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 único de entrada (Kong / Cloud Endpoints)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Centraliza JWT, rate limiting y versionado; los clientes no conocen la topología interna.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per Service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microservicio con su propia base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Autonomía de esquema y despliegue; evita el acoplamiento por datos.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Pub/Sub (eventos)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Rutinas y Pagos publican; Notificaciones, Analytics y Query suscriben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Desacopla temporalmente: una caída de Notificaciones no afecta la asignación de rutinas; los eventos se reintentan.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CQRS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Rutinas (escritura) vs. MS Progreso/Query (lectura con vista materializada)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patrón de carga es asimétrico: miles de alumnos leen su rutina, pocos entrenadores escriben. Se optimiza cada lado por separado.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Saga (orquestada)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Flujo de cobro de membresía: intento de pago → confirmación → extensión de membresía → notificación; con compensaciones si un paso falla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hay transacciones distribuidas entre bases separadas; la saga garantiza consistencia eventual con rollback de negocio.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Llamadas síncronas residuales (ej. pasarela de pagos externa)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el efecto dominó: ante fallos repetidos abre el circuito y responde fallback en lugar de agotar recursos.</w:t>
            </w:r>
          </w:p>
        </w:tc>
      </w:tr>
    </w:tbl>
    <w:p>
      <w:pPr>
        <w:pStyle w:val="Heading2"/>
      </w:pPr>
      <w:r>
        <w:t xml:space="preserve">2.4. Artefactos Requeridos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Diagramas de ambas arquitecturas: Figuras 2 y 3.</w:t>
      </w:r>
    </w:p>
    <w:p>
      <w:pPr>
        <w:pBdr>
          <w:left w:val="single" w:color="F9AB00" w:sz="18" w:space="4"/>
        </w:pBdr>
        <w:shd w:fill="FEF7E0" w:val="clear"/>
        <w:spacing w:after="20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825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2194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monorepo_fas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21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Commits del esqueleto del monorepo de microservicios — Fase 2 (commit c743488): gateway + 5 servicios, shared-contracts y docker-compose con Pub/Sub. </w:t>
      </w:r>
      <w:r>
        <w:rPr>
          <w:sz w:val="18"/>
        </w:rPr>
        <w:t>Repositorio: https://github.com/LautaroNaglieri/traineros-api</w:t>
      </w:r>
    </w:p>
    <w:p>
      <w:pPr>
        <w:pStyle w:val="Heading1"/>
        <w:pageBreakBefore/>
      </w:pPr>
      <w:r>
        <w:t xml:space="preserve">Fase 3: Mejora Incremental (Robustez y Escalabilidad)</w:t>
      </w:r>
    </w:p>
    <w:p>
      <w:pPr>
        <w:spacing w:after="120" w:line="300"/>
        <w:jc w:val="both"/>
      </w:pPr>
      <w:r>
        <w:t xml:space="preserve">Con la base event-driven establecida, la Fase 3 prepara el sistema para alta disponibilidad y tolerancia a fallos a gran escala. Las decisiones se ordenan por capa:</w:t>
      </w:r>
    </w:p>
    <w:p>
      <w:pPr>
        <w:pStyle w:val="Heading2"/>
      </w:pPr>
      <w:r>
        <w:t xml:space="preserve">3.1. Capa de Caché (Redis)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Se incorpora </w:t>
      </w:r>
      <w:r>
        <w:rPr>
          <w:b/>
          <w:bCs/>
          <w:i w:val="false"/>
          <w:iCs w:val="false"/>
        </w:rPr>
        <w:t xml:space="preserve">Memorystore for Redis</w:t>
      </w:r>
      <w:r>
        <w:rPr>
          <w:b w:val="false"/>
          <w:bCs w:val="false"/>
          <w:i w:val="false"/>
          <w:iCs w:val="false"/>
        </w:rPr>
        <w:t xml:space="preserve"> con estrategia cache-aside. Qué se cachea y por qué: (a) el catálogo de ejercicios (global, casi inmutable, TTL 24 h) — elimina la carga de lectura más repetida del sistema; (b) la “rutina del día” por alumno (TTL 1 h, invalidación al recibir rutina.asignada) — absorbe el pico de las 18–21 h; (c) sesiones y contadores de rate limiting del Gateway. Con esto, la mayoría de las lecturas del pico nunca llegan a PostgreSQL.</w:t>
      </w:r>
    </w:p>
    <w:p>
      <w:pPr>
        <w:pStyle w:val="Heading2"/>
      </w:pPr>
      <w:r>
        <w:t xml:space="preserve">3.2. Replicación de Base de Datos (Read Replicas)</w:t>
      </w:r>
    </w:p>
    <w:p>
      <w:pPr>
        <w:spacing w:after="120" w:line="300"/>
        <w:jc w:val="both"/>
      </w:pPr>
      <w:r>
        <w:t xml:space="preserve">Cloud SQL para PostgreSQL en alta disponibilidad (primaria multi-zona con failover automático) más read replicas. Las escrituras van a la primaria; los dashboards, reportes y el servicio de Query (CQRS) leen de las réplicas. Se asume replicación asíncrona y consistencia eventual en lecturas analíticas, aceptable para el negocio (un dashboard con segundos de retraso no afecta el entrenamiento).</w:t>
      </w:r>
    </w:p>
    <w:p>
      <w:pPr>
        <w:pStyle w:val="Heading2"/>
      </w:pPr>
      <w:r>
        <w:t xml:space="preserve">3.3. Balanceo de Carga y Auto-scaling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Cloud Load Balancer (HTTPS, multi-zona): </w:t>
      </w:r>
      <w:r>
        <w:rPr>
          <w:b w:val="false"/>
          <w:bCs w:val="false"/>
          <w:i w:val="false"/>
          <w:iCs w:val="false"/>
        </w:rPr>
        <w:t xml:space="preserve">distribuye el tráfico entre las réplicas del Gateway y termina TLS.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HPA (Horizontal Pod Autoscaler): </w:t>
      </w:r>
      <w:r>
        <w:rPr>
          <w:b w:val="false"/>
          <w:bCs w:val="false"/>
          <w:i w:val="false"/>
          <w:iCs w:val="false"/>
        </w:rPr>
        <w:t xml:space="preserve">cada microservicio escala por CPU/RPS; Rutinas y Query escalan agresivamente en el pico de la tarde y se contraen de madrugada.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Cluster Autoscaler: </w:t>
      </w:r>
      <w:r>
        <w:rPr>
          <w:b w:val="false"/>
          <w:bCs w:val="false"/>
          <w:i w:val="false"/>
          <w:iCs w:val="false"/>
        </w:rPr>
        <w:t xml:space="preserve">agrega/quita nodos del cluster según demanda agregada, controlando el costo.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CDN: </w:t>
      </w:r>
      <w:r>
        <w:rPr>
          <w:b w:val="false"/>
          <w:bCs w:val="false"/>
          <w:i w:val="false"/>
          <w:iCs w:val="false"/>
        </w:rPr>
        <w:t xml:space="preserve">assets estáticos y videos de técnica del catálogo se sirven desde el edge, no desde los pods.</w:t>
      </w:r>
    </w:p>
    <w:p>
      <w:pPr>
        <w:pStyle w:val="Heading2"/>
      </w:pPr>
      <w:r>
        <w:t xml:space="preserve">3.4. Tolerancia a Fallos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 w:val="false"/>
          <w:bCs w:val="false"/>
          <w:i w:val="false"/>
          <w:iCs w:val="false"/>
        </w:rPr>
        <w:t xml:space="preserve">Mínimo 2 réplicas por servicio en zonas distintas; </w:t>
      </w:r>
      <w:r>
        <w:rPr>
          <w:b/>
          <w:bCs/>
          <w:i w:val="false"/>
          <w:iCs w:val="false"/>
        </w:rPr>
        <w:t xml:space="preserve">PodDisruptionBudgets</w:t>
      </w:r>
      <w:r>
        <w:rPr>
          <w:b w:val="false"/>
          <w:bCs w:val="false"/>
          <w:i w:val="false"/>
          <w:iCs w:val="false"/>
        </w:rPr>
        <w:t xml:space="preserve"> para sobrevivir mantenimientos.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Circuit breakers y reintentos con backoff exponencial </w:t>
      </w:r>
      <w:r>
        <w:rPr>
          <w:b w:val="false"/>
          <w:bCs w:val="false"/>
          <w:i w:val="false"/>
          <w:iCs w:val="false"/>
        </w:rPr>
        <w:t xml:space="preserve">en toda llamada síncrona; timeouts explícitos en cada salto.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Colas con dead-letter: </w:t>
      </w:r>
      <w:r>
        <w:rPr>
          <w:b w:val="false"/>
          <w:bCs w:val="false"/>
          <w:i w:val="false"/>
          <w:iCs w:val="false"/>
        </w:rPr>
        <w:t xml:space="preserve">los eventos que fallan repetidamente van a una dead-letter queue para reproceso manual, sin frenar el flujo.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Idempotencia: </w:t>
      </w:r>
      <w:r>
        <w:rPr>
          <w:b w:val="false"/>
          <w:bCs w:val="false"/>
          <w:i w:val="false"/>
          <w:iCs w:val="false"/>
        </w:rPr>
        <w:t xml:space="preserve">los consumidores procesan eventos duplicados sin efectos secundarios (Pub/Sub garantiza at-least-once).</w:t>
      </w:r>
    </w:p>
    <w:p>
      <w:pPr>
        <w:spacing w:after="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905500" cy="3397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3_arquitectura_escal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9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4 – Arquitectura escalada: LB, auto-scaling, caché y read replicas</w:t>
      </w:r>
    </w:p>
    <w:p>
      <w:pPr>
        <w:pStyle w:val="Heading1"/>
        <w:pageBreakBefore/>
      </w:pPr>
      <w:r>
        <w:t xml:space="preserve">Fase 4: Infraestructura, DevOps y Ambientes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Nube elegida: Google Cloud Platform (GCP). </w:t>
      </w:r>
      <w:r>
        <w:rPr>
          <w:b w:val="false"/>
          <w:bCs w:val="false"/>
          <w:i w:val="false"/>
          <w:iCs w:val="false"/>
        </w:rPr>
        <w:t xml:space="preserve">Justificación: GKE es el Kubernetes gestionado de referencia (Google es el creador de K8s), Pub/Sub ya es el broker de la arquitectura (servicio nativo, serverless y sin administración de cluster, a diferencia de operar Kafka), Cloud SQL cubre PostgreSQL con HA y replicas en un clic, y el modelo de proyectos de GCP simplifica el aislamiento entre ambientes.</w:t>
      </w:r>
    </w:p>
    <w:p>
      <w:pPr>
        <w:pStyle w:val="Heading2"/>
      </w:pPr>
      <w:r>
        <w:t xml:space="preserve">4.1. Estructura de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80"/>
        <w:gridCol w:w="258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Desarrollo local y sandbox de integración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 local (servicios + Postgres + emulador Pub/Sub); sandbox compartido en GKE (namespace desa) con recursos mínimos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sintéticos / seeds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Testing/QA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funcionales y de regresión automáticas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 GCP propio; GKE reducido (1 nodo spot); Cloud SQL mínima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controlado y reseteable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Smoke tests y validación pre-productiva con usuarios clave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 GCP propio; espejo de Prod a escala reducida (mismas versiones, menos réplicas)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Copia anonimizada de producción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Entorno vivo con entrenadores y alumnos reales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 GCP dedicado; GKE multi-zona, Cloud SQL HA + replica, Redis, monitoreo y alertas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reales, backups automáticos + PITR</w:t>
            </w:r>
          </w:p>
        </w:tc>
      </w:tr>
    </w:tbl>
    <w:p>
      <w:pPr>
        <w:spacing w:after="120" w:before="160"/>
        <w:jc w:val="both"/>
      </w:pPr>
      <w:r>
        <w:t xml:space="preserve">Cada ambiente vive en un proyecto GCP separado (aislamiento de permisos IAM, redes y facturación). La promoción entre ambientes es siempre del mismo artefacto: la imagen Docker inmutable etiquetada por commit SHA; lo único que cambia es la configuración inyectada.</w:t>
      </w:r>
    </w:p>
    <w:p>
      <w:pPr>
        <w:pStyle w:val="Heading2"/>
      </w:pPr>
      <w:r>
        <w:t xml:space="preserve">4.2. Estrategia de Branching y Mapeo con Ambientes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Se mantiene el </w:t>
      </w:r>
      <w:r>
        <w:rPr>
          <w:b/>
          <w:bCs/>
          <w:i w:val="false"/>
          <w:iCs w:val="false"/>
        </w:rPr>
        <w:t xml:space="preserve">GitHub Flow extendido</w:t>
      </w:r>
      <w:r>
        <w:rPr>
          <w:b w:val="false"/>
          <w:bCs w:val="false"/>
          <w:i w:val="false"/>
          <w:iCs w:val="false"/>
        </w:rPr>
        <w:t xml:space="preserve"> definido en el MVP (main + dev + ramas feat/fix/chore), formalizado con Pull Requests obligatorios y madurado para mapear los cuatro ambientes: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Rama / Evento Git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 y acción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feat/* · fix/* (PR abierto)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CI: lint + tests + build. Preview deploy efímero del frontend (Vercel).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 a dev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automático a Testing/QA + suite de regresión e2e.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 rc-* sobre dev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automático a UAT + smoke tests; validación de usuarios clave.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 dev → main (aprobado) + tag v*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a Producción con aprobación manual (environment protegido) y rollout progresivo.</w:t>
            </w:r>
          </w:p>
        </w:tc>
      </w:tr>
    </w:tbl>
    <w:p>
      <w:pPr>
        <w:spacing w:after="120" w:before="160"/>
        <w:jc w:val="both"/>
      </w:pPr>
      <w:r>
        <w:t xml:space="preserve">Se elige GitHub Flow extendido por sobre GitFlow completo: el equipo despliega varias veces por semana y no mantiene múltiples versiones en paralelo, por lo que las ramas release/ y hotfix/ permanentes de GitFlow agregarían burocracia sin beneficio. Trunk-Based puro se descarta porque el equipo aún necesita la rama dev como buffer de integración para QA.</w:t>
      </w:r>
    </w:p>
    <w:p>
      <w:pPr>
        <w:pStyle w:val="Heading2"/>
      </w:pPr>
      <w:r>
        <w:t xml:space="preserve">4.3. Pipelines CI/CD (GitHub Actions)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Herramienta: GitHub Actions</w:t>
      </w:r>
      <w:r>
        <w:rPr>
          <w:b w:val="false"/>
          <w:bCs w:val="false"/>
          <w:i w:val="false"/>
          <w:iCs w:val="false"/>
        </w:rPr>
        <w:t xml:space="preserve"> — integración nativa con el repositorio, runners gestionados, environments con aprobaciones manuales y secretos por ambiente, sin operar un Jenkins propio. Etapas del pipeline: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CI (en cada PR): </w:t>
      </w:r>
      <w:r>
        <w:rPr>
          <w:b w:val="false"/>
          <w:bCs w:val="false"/>
          <w:i w:val="false"/>
          <w:iCs w:val="false"/>
        </w:rPr>
        <w:t xml:space="preserve">lint → tests unitarios → tests de integración (Postgres + Pub/Sub emulator en contenedores de servicio) → build de imagen Docker → scan de vulnerabilidades (Trivy).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Publicación: </w:t>
      </w:r>
      <w:r>
        <w:rPr>
          <w:b w:val="false"/>
          <w:bCs w:val="false"/>
          <w:i w:val="false"/>
          <w:iCs w:val="false"/>
        </w:rPr>
        <w:t xml:space="preserve">push de la imagen a Artifact Registry etiquetada con el SHA del commit.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CD: </w:t>
      </w:r>
      <w:r>
        <w:rPr>
          <w:b w:val="false"/>
          <w:bCs w:val="false"/>
          <w:i w:val="false"/>
          <w:iCs w:val="false"/>
        </w:rPr>
        <w:t xml:space="preserve">deploy a QA (automático), UAT (tag rc-*) y Prod (aprobación manual) vía kubectl/Helm contra GKE. Rollout progresivo con rollback automático si fallan los healthchecks.</w:t>
      </w:r>
    </w:p>
    <w:p>
      <w:pPr>
        <w:pStyle w:val="Heading2"/>
      </w:pPr>
      <w:r>
        <w:t xml:space="preserve">4.4. Contenedores y Orquestación (Docker + Kubernetes)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Docker: </w:t>
      </w:r>
      <w:r>
        <w:rPr>
          <w:b w:val="false"/>
          <w:bCs w:val="false"/>
          <w:i w:val="false"/>
          <w:iCs w:val="false"/>
        </w:rPr>
        <w:t xml:space="preserve">una imagen por microservicio (build multi-stage de Node.js, imagen final distroless ~80 MB). La misma imagen corre en los cuatro ambientes.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Deployments: </w:t>
      </w:r>
      <w:r>
        <w:rPr>
          <w:b w:val="false"/>
          <w:bCs w:val="false"/>
          <w:i w:val="false"/>
          <w:iCs w:val="false"/>
        </w:rPr>
        <w:t xml:space="preserve">uno por servicio, con réplicas mínimas (2 en Prod), readiness/liveness probes y límites de CPU/memoria.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Services + Ingress: </w:t>
      </w:r>
      <w:r>
        <w:rPr>
          <w:b w:val="false"/>
          <w:bCs w:val="false"/>
          <w:i w:val="false"/>
          <w:iCs w:val="false"/>
        </w:rPr>
        <w:t xml:space="preserve">Services ClusterIP para tráfico interno; Ingress (GCE) expone el Gateway al Cloud Load Balancer.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HPA: </w:t>
      </w:r>
      <w:r>
        <w:rPr>
          <w:b w:val="false"/>
          <w:bCs w:val="false"/>
          <w:i w:val="false"/>
          <w:iCs w:val="false"/>
        </w:rPr>
        <w:t xml:space="preserve">escala los pods por CPU/RPS (Fase 3); ConfigMaps y Secrets inyectan la configuración por ambiente.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Namespaces: </w:t>
      </w:r>
      <w:r>
        <w:rPr>
          <w:b w:val="false"/>
          <w:bCs w:val="false"/>
          <w:i w:val="false"/>
          <w:iCs w:val="false"/>
        </w:rPr>
        <w:t xml:space="preserve">separación lógica por ambiente dentro de los clusters no productivos para optimizar costos.</w:t>
      </w:r>
    </w:p>
    <w:p>
      <w:pPr>
        <w:pStyle w:val="Heading2"/>
      </w:pPr>
      <w:r>
        <w:t xml:space="preserve">4.5. Infraestructura como Código (Terraform)</w:t>
      </w:r>
    </w:p>
    <w:p>
      <w:pPr>
        <w:spacing w:after="120" w:line="300"/>
        <w:jc w:val="both"/>
      </w:pPr>
      <w:r>
        <w:t xml:space="preserve">Toda la infraestructura se define en Terraform con módulos reutilizables y un directorio por ambiente. El estado remoto vive en un bucket de GCS con bloqueo. Estructura: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infra/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modules/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network/        (VPC, subredes, Cloud NAT, firewall)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gke/            (cluster, node pools, autoscaling)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cloudsql/       (instancia, HA, replicas, backups)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redis/          (Memorystore)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pubsub/         (tópicos, suscripciones, DLQs)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 iam/            (service accounts, roles mínimos)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environments/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qa/      main.tf + terraform.tfvars (tamaños mínimos)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uat/     main.tf + terraform.tfvars (espejo reducido)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 prod/    main.tf + terraform.tfvars (HA completa)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└─ backend.tf  (estado remoto en GCS)</w:t>
      </w:r>
    </w:p>
    <w:p>
      <w:pPr>
        <w:spacing w:after="120" w:line="300"/>
        <w:jc w:val="both"/>
      </w:pPr>
      <w:r>
        <w:t xml:space="preserve">Los mismos módulos se instancian con variables distintas por ambiente (cantidad de nodos, tiers de máquinas, flags de HA). Un cambio de infraestructura sigue el mismo flujo que el código: PR → terraform plan en CI → aprobación → terraform apply.</w:t>
      </w:r>
    </w:p>
    <w:p>
      <w:pPr>
        <w:pStyle w:val="Heading2"/>
      </w:pPr>
      <w:r>
        <w:t xml:space="preserve">4.6. Estimación de Costos y Servidores (Producción, GCP)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350"/>
        <w:gridCol w:w="1330"/>
        <w:gridCol w:w="2150"/>
        <w:gridCol w:w="1480"/>
      </w:tblGrid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 GCP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la Arquitectura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Mensual Aprox (USD)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Gestión del cluster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GKE (fee de administración)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cluster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(crédito free tier cubre 1 cluster)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Nodos de cómputo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GKE – e2-standard-2 (2 vCPU / 8 GB)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nodos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Pods de microservicios, gateway y workers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SQL PostgreSQL (2 vCPU / 8 GB, HA)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primaria + 1 read replica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Persistencia transaccional y lecturas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Caché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Memorystore for Redis (1 GB, Basic)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instancia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Caché de catálogo, rutinas y sesiones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Pub/Sub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6 tópicos (4 de negocio + 2 de IA) + DLQs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Backbone de eventos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Balanceador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Load Balancing (HTTPS)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 de tráfico multi-zona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imágenes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 Registry + Storage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repo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Imágenes Docker y backups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Monitoring + Logging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Métricas, logs, alertas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plan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React/Next.js + CDN edge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Producción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$520 / mes</w:t>
            </w:r>
          </w:p>
        </w:tc>
      </w:tr>
    </w:tbl>
    <w:p>
      <w:pPr>
        <w:spacing w:before="160"/>
        <w:jc w:val="both"/>
      </w:pPr>
      <w:r>
        <w:rPr>
          <w:b w:val="false"/>
          <w:bCs w:val="false"/>
          <w:i w:val="false"/>
          <w:iCs w:val="false"/>
        </w:rPr>
        <w:t xml:space="preserve">QA + UAT suman ≈ USD 150/mes adicionales </w:t>
      </w:r>
      <w:r>
        <w:rPr>
          <w:b w:val="false"/>
          <w:bCs w:val="false"/>
          <w:i w:val="false"/>
          <w:iCs w:val="false"/>
        </w:rPr>
        <w:t xml:space="preserve">usando nodos spot, instancias mínimas de Cloud SQL y apagado nocturno automático. </w:t>
      </w:r>
      <w:r>
        <w:rPr>
          <w:b/>
          <w:bCs/>
          <w:i w:val="false"/>
          <w:iCs w:val="false"/>
        </w:rPr>
        <w:t xml:space="preserve">Lectura de negocio: </w:t>
      </w:r>
      <w:r>
        <w:rPr>
          <w:b w:val="false"/>
          <w:bCs w:val="false"/>
          <w:i w:val="false"/>
          <w:iCs w:val="false"/>
        </w:rPr>
        <w:t xml:space="preserve">con 5.000 entrenadores pagando una suscripción promedio de USD 15, el costo total de infraestructura (~USD 670) representa menos del 1% del MRR, validando la sostenibilidad del diseño. Los valores son aproximados (región us-central1, precios de lista sin descuentos por uso comprometido).</w:t>
      </w:r>
    </w:p>
    <w:p>
      <w:pPr>
        <w:pStyle w:val="Heading1"/>
        <w:pageBreakBefore/>
      </w:pPr>
      <w:r>
        <w:t xml:space="preserve">Fase 5: Extensión de Próxima Generación – Integración con IA (Opción A: APIs de LLM)</w:t>
      </w:r>
    </w:p>
    <w:p>
      <w:pPr>
        <w:pStyle w:val="Heading2"/>
      </w:pPr>
      <w:r>
        <w:t xml:space="preserve">5.1. Casos de Uso de Negocio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Borrador de rutina asistido: </w:t>
      </w:r>
      <w:r>
        <w:rPr>
          <w:b w:val="false"/>
          <w:bCs w:val="false"/>
          <w:i w:val="false"/>
          <w:iCs w:val="false"/>
        </w:rPr>
        <w:t xml:space="preserve">el entrenador pide “rutina de hipertrofia 4 días para alumno intermedio con molestia en hombro”; el LLM genera un borrador usando el catálogo y el historial del alumno, que el entrenador edita y aprueba. La IA asiste, nunca publica sola.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Resumen de progreso: </w:t>
      </w:r>
      <w:r>
        <w:rPr>
          <w:b w:val="false"/>
          <w:bCs w:val="false"/>
          <w:i w:val="false"/>
          <w:iCs w:val="false"/>
        </w:rPr>
        <w:t xml:space="preserve">síntesis mensual automática del avance de cada alumno (adherencia, cargas, feedback) para que el entrenador prepare la renovación de membresía.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Clasificación de feedback: </w:t>
      </w:r>
      <w:r>
        <w:rPr>
          <w:b w:val="false"/>
          <w:bCs w:val="false"/>
          <w:i w:val="false"/>
          <w:iCs w:val="false"/>
        </w:rPr>
        <w:t xml:space="preserve">los comentarios de alumnos (texto libre) se clasifican automáticamente (dolor/lesión → alerta urgente al entrenador; motivación; logística) alimentando el tablero de gestión.</w:t>
      </w:r>
    </w:p>
    <w:p>
      <w:pPr>
        <w:pStyle w:val="Heading2"/>
      </w:pPr>
      <w:r>
        <w:t xml:space="preserve">5.2. Arquitectura de Integración: Asincronismo y Timeouts</w:t>
      </w:r>
    </w:p>
    <w:p>
      <w:pPr>
        <w:spacing w:after="120" w:line="300"/>
        <w:jc w:val="both"/>
      </w:pPr>
      <w:r>
        <w:rPr>
          <w:b/>
          <w:bCs/>
          <w:i w:val="false"/>
          <w:iCs w:val="false"/>
        </w:rPr>
        <w:t xml:space="preserve">Principio rector: </w:t>
      </w:r>
      <w:r>
        <w:rPr>
          <w:b w:val="false"/>
          <w:bCs w:val="false"/>
          <w:i w:val="false"/>
          <w:iCs w:val="false"/>
        </w:rPr>
        <w:t xml:space="preserve">una llamada a un LLM externo (Anthropic Claude / OpenAI) tarda entre 2 y 60 segundos y puede fallar; jamás debe bloquear un request HTTP del usuario ni acoplar la disponibilidad de TrainerOS a la del proveedor. Por eso la integración reutiliza el backbone event-driven: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Patrón de respuesta diferida: </w:t>
      </w:r>
      <w:r>
        <w:rPr>
          <w:b w:val="false"/>
          <w:bCs w:val="false"/>
          <w:i w:val="false"/>
          <w:iCs w:val="false"/>
        </w:rPr>
        <w:t xml:space="preserve">el cliente recibe 202 Accepted + job_id de inmediato; el MS Asistente IA encola el trabajo en el tópico ia.jobs de Pub/Sub.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Workers dedicados en GKE: </w:t>
      </w:r>
      <w:r>
        <w:rPr>
          <w:b w:val="false"/>
          <w:bCs w:val="false"/>
          <w:i w:val="false"/>
          <w:iCs w:val="false"/>
        </w:rPr>
        <w:t xml:space="preserve">consumen la cola, arman el prompt con el contexto del alumno (historial, catálogo permitido, restricciones) y llaman a la API del LLM. Escalan con HPA según la profundidad de la cola, sin competir con el tráfico transaccional.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Manejo de timeouts y fallos: </w:t>
      </w:r>
      <w:r>
        <w:rPr>
          <w:b w:val="false"/>
          <w:bCs w:val="false"/>
          <w:i w:val="false"/>
          <w:iCs w:val="false"/>
        </w:rPr>
        <w:t xml:space="preserve">timeout explícito de 60 s por llamada; reintentos con backoff exponencial y jitter (máx. 3); circuit breaker sobre el proveedor con fallback a un segundo proveedor o degradación elegante (“el asistente no está disponible, intentá más tarde”); idempotencia por job_id para evitar dobles cobros de tokens; dead-letter queue para jobs irrecuperables.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Entrega del resultado: </w:t>
      </w:r>
      <w:r>
        <w:rPr>
          <w:b w:val="false"/>
          <w:bCs w:val="false"/>
          <w:i w:val="false"/>
          <w:iCs w:val="false"/>
        </w:rPr>
        <w:t xml:space="preserve">el worker persiste la respuesta, publica ia.job.terminado y el MS Notificaciones avisa al cliente por websocket/push. El frontend también puede consultar GET /ai/jobs/{id} (polling de respaldo).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Control de costos y datos: </w:t>
      </w:r>
      <w:r>
        <w:rPr>
          <w:b w:val="false"/>
          <w:bCs w:val="false"/>
          <w:i w:val="false"/>
          <w:iCs w:val="false"/>
        </w:rPr>
        <w:t xml:space="preserve">presupuesto de tokens por tenant con límites mensuales, caché de respuestas para prompts repetidos (clasificación), y anonimización de datos personales del alumno antes de salir hacia la API externa.</w:t>
      </w:r>
    </w:p>
    <w:p>
      <w:pPr>
        <w:spacing w:after="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905500" cy="26005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5_integracion_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0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5 – Flujo asíncrono de integración con APIs de LLM</w:t>
      </w:r>
    </w:p>
    <w:p>
      <w:pPr>
        <w:pStyle w:val="Heading2"/>
      </w:pPr>
      <w:r>
        <w:t xml:space="preserve">5.3. Justificación Técnica y de Negocio</w:t>
      </w:r>
    </w:p>
    <w:p>
      <w:pPr>
        <w:spacing w:after="120" w:line="300"/>
        <w:jc w:val="both"/>
      </w:pPr>
      <w:r>
        <w:t xml:space="preserve">Se elige la Opción A (consumo directo de APIs de LLM) porque los tres casos de uso operan sobre datos estructurados que ya viven en PostgreSQL (historial, catálogo, membresías) y caben en el contexto del prompt; no se necesita todavía una base vectorial. Esta decisión minimiza piezas nuevas de infraestructura y reutiliza patrones existentes (colas, workers, circuit breakers). Si a futuro el catálogo crece a miles de ejercicios con fichas técnicas extensas y documentos de los entrenadores, la evolución natural es incorporar RAG con una base vectorial, sin cambiar el esqueleto asíncrono ya diseñado: solo se agrega una etapa de retrieval previa al armado del prompt.</w:t>
      </w:r>
    </w:p>
    <w:p>
      <w:pPr>
        <w:pStyle w:val="Heading1"/>
        <w:pageBreakBefore/>
      </w:pPr>
      <w:r>
        <w:t xml:space="preserve">Resumen de la Evolución y Entregables</w:t>
      </w:r>
    </w:p>
    <w:p>
      <w:pPr>
        <w:pStyle w:val="Heading2"/>
      </w:pPr>
      <w:r>
        <w:t xml:space="preserve">Evolución arquitectónica en una mirada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530"/>
        <w:gridCol w:w="253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Disparador de negocio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infra aprox.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Monolito modular 3 capas (Vercel + Render + Postgres)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el MVP con 50–100 entrenadores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$7–16 / mes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Microservicios REST → Event-Driven (Pub/Sub)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B2B: 5.000 entrenadores, 120.000 alumnos, equipos independientes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Redis, read replicas, LB, auto-scaling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Picos 18–21 h, SLA de disponibilidad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incluido en Fase 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GKE + Terraform + CI/CD, 4 ambientes en GCP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Operación profesional y reproducible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$520 prod + $150 no-prod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Workers de IA contra APIs de LLM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Diferenciación de producto: asistente del entrenador</w:t>
            </w:r>
          </w:p>
        </w:tc>
        <w:tc>
          <w:tcPr>
            <w:tcW w:type="dxa" w:w="2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por tokens</w:t>
            </w:r>
          </w:p>
        </w:tc>
      </w:tr>
    </w:tbl>
    <w:p>
      <w:pPr>
        <w:pStyle w:val="Heading2"/>
      </w:pPr>
      <w:r>
        <w:t xml:space="preserve">Checklist de entregables del TFI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Informe Final (este documento): </w:t>
      </w:r>
      <w:r>
        <w:rPr>
          <w:b w:val="false"/>
          <w:bCs w:val="false"/>
          <w:i w:val="false"/>
          <w:iCs w:val="false"/>
        </w:rPr>
        <w:t xml:space="preserve">completar las capturas de commits y los enlaces a los repositorios marcados en las notas amarillas.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Presentación Ejecutiva (10 min): </w:t>
      </w:r>
      <w:r>
        <w:rPr>
          <w:b w:val="false"/>
          <w:bCs w:val="false"/>
          <w:i w:val="false"/>
          <w:iCs w:val="false"/>
        </w:rPr>
        <w:t xml:space="preserve">construirla sobre las Figuras 1–5 y las dos tablas de costos; narrativa de venta al CTO: “empezamos por $16/mes, escalamos cuando el negocio lo pagó”. Sin código.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</w:rPr>
        <w:t xml:space="preserve">Artículo Técnico: </w:t>
      </w:r>
      <w:r>
        <w:rPr>
          <w:b w:val="false"/>
          <w:bCs w:val="false"/>
          <w:i w:val="false"/>
          <w:iCs w:val="false"/>
        </w:rPr>
        <w:t xml:space="preserve">relato en primera persona del paso de programar a diseñar: el monolito como decisión (no como pecado), el momento exacto en que los eventos vencieron al REST síncrono, y dónde aplicaría esta arquitectura en la industria (cualquier SaaS B2B2C con picos horarios: turnos, delivery, educación).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8"/>
        <w:szCs w:val="18"/>
      </w:rPr>
      <w:t xml:space="preserve">TFI – Desarrollo de Aplicaciones Web · TrainerOS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cffc60fd43ec930cd3da32c243b214f657bea2.png"/><Relationship Id="rId10" Type="http://schemas.openxmlformats.org/officeDocument/2006/relationships/image" Target="media/122bf69bb590fddf96799b7ce4b94a972811858c.png"/><Relationship Id="rId11" Type="http://schemas.openxmlformats.org/officeDocument/2006/relationships/image" Target="media/21a0e7431e14c67623f88eb22c689f17b46c518d.png"/><Relationship Id="rId12" Type="http://schemas.openxmlformats.org/officeDocument/2006/relationships/image" Target="media/03730a59bb8b5b61a9beba0a9369fe630856bce6.png"/><Relationship Id="rId13" Type="http://schemas.openxmlformats.org/officeDocument/2006/relationships/image" Target="media/f5fc24456e0856300ecb0c89eeb8d1420a29cfb2.png"/><Relationship Id="rId14" Type="http://schemas.openxmlformats.org/officeDocument/2006/relationships/fontTable" Target="fontTable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4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VOX</dc:creator>
  <cp:lastModifiedBy>Grupo VOX</cp:lastModifiedBy>
  <cp:revision>1</cp:revision>
  <dcterms:created xsi:type="dcterms:W3CDTF">2026-06-12T00:01:50.230Z</dcterms:created>
  <dcterms:modified xsi:type="dcterms:W3CDTF">2026-06-12T00:01:50.230Z</dcterms:modified>
  <dc:title>TFI TrainerOS - Grupo VOX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