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8206BD2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-1031291</wp:posOffset>
                </wp:positionH>
                <wp:positionV relativeFrom="paragraph">
                  <wp:posOffset>-659894</wp:posOffset>
                </wp:positionV>
                <wp:extent cx="7465218" cy="10567463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5112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7465218" cy="10567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5120;o:allowoverlap:true;o:allowincell:true;mso-position-horizontal-relative:text;margin-left:-81.20pt;mso-position-horizontal:absolute;mso-position-vertical-relative:text;margin-top:-51.96pt;mso-position-vertical:absolute;width:587.81pt;height:832.08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  <w:r/>
    </w:p>
    <w:p w14:paraId="17BF57C8">
      <w:pPr>
        <w:pBdr/>
        <w:spacing/>
        <w:ind/>
        <w:rPr/>
      </w:pPr>
      <w:r>
        <w:br w:type="page" w:clear="all"/>
      </w:r>
      <w:r/>
      <w:r/>
    </w:p>
    <w:p w14:paraId="5068D46E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PARTE 2 — Modelado NoSQL: Diseño y Justificación</w:t>
      </w:r>
      <w:r/>
    </w:p>
    <w:p w14:paraId="63D0A9EA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1. Criterio de diseño: primero las consultas, después el modelo</w:t>
      </w:r>
      <w:r/>
    </w:p>
    <w:p w14:paraId="5AE09A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Antes de definir cualquier colección, identificamos las operaciones más frecuentes del sistema. En MongoDB, el diseño no parte de la normalización sino de las consultas: se modela en función de cómo se va a leer y escribir la información. Este principio, 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onocido como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diseño impulsado por consultas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fue el marco que guió todas nuestras decisiones.</w:t>
      </w:r>
      <w:r/>
    </w:p>
    <w:p w14:paraId="491FB8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Las consultas principales que el sistema debe responder eficientemente son:</w:t>
      </w:r>
      <w:r/>
    </w:p>
    <w:p w14:paraId="73D9CAC0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Mostrar el catálogo con título, géneros, director y calificación de cada título.</w:t>
      </w:r>
      <w:r/>
    </w:p>
    <w:p w14:paraId="18FE1319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Reproducir contenido y registrar el progreso por perfil (retomar donde se dejó).</w:t>
      </w:r>
      <w:r/>
    </w:p>
    <w:p w14:paraId="10D92ADF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Consultar el historial de visualización de un perfil específico.</w:t>
      </w:r>
      <w:r/>
    </w:p>
    <w:p w14:paraId="35EF397B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Mostrar la lista de contenido guardado ("Mi Lista") de un perfil.</w:t>
      </w:r>
      <w:r/>
    </w:p>
    <w:p w14:paraId="58B917FB">
      <w:pPr>
        <w:pStyle w:val="66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Filtrar series por temporada y episodio para continuar la reproducción.</w:t>
      </w:r>
      <w:r/>
    </w:p>
    <w:p w14:paraId="1C216F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 este mapa de lecturas y escrituras definido, procedemos al diseño.</w:t>
      </w:r>
      <w:r/>
    </w:p>
    <w:p w14:paraId="564A8225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 Entidades del sistema y sus relaciones</w:t>
      </w:r>
      <w:r/>
    </w:p>
    <w:p w14:paraId="2C15C6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sistema de streaming cuenta con las siguientes entidades principales:</w:t>
      </w:r>
      <w:r/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</w:rPr>
      </w:r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4677"/>
        <w:gridCol w:w="4677"/>
      </w:tblGrid>
      <w:tr>
        <w:trPr/>
        <w:tc>
          <w:tcPr>
            <w:tcBorders/>
            <w:tcW w:w="4677" w:type="dxa"/>
          </w:tcPr>
          <w:p w14:paraId="7D1FA49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Entidad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4677" w:type="dxa"/>
          </w:tcPr>
          <w:p w14:paraId="192B8BE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Descripción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677" w:type="dxa"/>
          </w:tcPr>
          <w:p w14:paraId="21D0B18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cuentas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4677" w:type="dxa"/>
          </w:tcPr>
          <w:p w14:paraId="20D8CD3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Cuenta del suscriptor, con plan de suscripción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677" w:type="dxa"/>
          </w:tcPr>
          <w:p w14:paraId="49E9A79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perfiles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4677" w:type="dxa"/>
          </w:tcPr>
          <w:p w14:paraId="3A7D50A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Hasta 5 perfiles por cuenta (como en Netflix)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677" w:type="dxa"/>
          </w:tcPr>
          <w:p w14:paraId="6588052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contenido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4677" w:type="dxa"/>
          </w:tcPr>
          <w:p w14:paraId="2B67E5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Catálogo unificado de películas y series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677" w:type="dxa"/>
            <w:vMerge w:val="restart"/>
          </w:tcPr>
          <w:p w14:paraId="178EBFA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temporadas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4677" w:type="dxa"/>
            <w:vMerge w:val="restart"/>
          </w:tcPr>
          <w:p w14:paraId="512D8B2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Temporadas de una serie con sus episodios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677" w:type="dxa"/>
            <w:vMerge w:val="restart"/>
          </w:tcPr>
          <w:p w14:paraId="789A435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reproducciones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4677" w:type="dxa"/>
            <w:vMerge w:val="restart"/>
          </w:tcPr>
          <w:p w14:paraId="1AFD8F5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Historial de visualización por perfil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677" w:type="dxa"/>
            <w:vMerge w:val="restart"/>
          </w:tcPr>
          <w:p w14:paraId="1D41E3B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mi_lista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4677" w:type="dxa"/>
            <w:vMerge w:val="restart"/>
          </w:tcPr>
          <w:p w14:paraId="4807D80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Contenido guardado por cada perfil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 w14:paraId="6051C4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48344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Las relaciones entre entidades son:</w:t>
      </w:r>
      <w:r/>
    </w:p>
    <w:p w14:paraId="2A1C5C7C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cuentas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1 → N </w:t>
      </w:r>
      <w:r>
        <w:rPr>
          <w:rFonts w:ascii="Courier New" w:hAnsi="Courier New" w:eastAsia="Courier New" w:cs="Courier New"/>
          <w:color w:val="000000"/>
          <w:sz w:val="20"/>
        </w:rPr>
        <w:t xml:space="preserve">perfiles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una cuenta puede tener hasta 5 perfiles.</w:t>
      </w:r>
      <w:r/>
    </w:p>
    <w:p w14:paraId="069A29E0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contenido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1 → N </w:t>
      </w:r>
      <w:r>
        <w:rPr>
          <w:rFonts w:ascii="Courier New" w:hAnsi="Courier New" w:eastAsia="Courier New" w:cs="Courier New"/>
          <w:color w:val="000000"/>
          <w:sz w:val="20"/>
        </w:rPr>
        <w:t xml:space="preserve">temporadas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una serie puede tener muchas temporadas.</w:t>
      </w:r>
      <w:r/>
    </w:p>
    <w:p w14:paraId="1DEA958F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temporadas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1 → N </w:t>
      </w:r>
      <w:r>
        <w:rPr>
          <w:rFonts w:ascii="Courier New" w:hAnsi="Courier New" w:eastAsia="Courier New" w:cs="Courier New"/>
          <w:color w:val="000000"/>
          <w:sz w:val="20"/>
        </w:rPr>
        <w:t xml:space="preserve">episodios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cada temporada contiene sus episodios (embebidos).</w:t>
      </w:r>
      <w:r/>
    </w:p>
    <w:p w14:paraId="751708DC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perfiles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N ↔ M </w:t>
      </w:r>
      <w:r>
        <w:rPr>
          <w:rFonts w:ascii="Courier New" w:hAnsi="Courier New" w:eastAsia="Courier New" w:cs="Courier New"/>
          <w:color w:val="000000"/>
          <w:sz w:val="20"/>
        </w:rPr>
        <w:t xml:space="preserve">contenido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vía </w:t>
      </w:r>
      <w:r>
        <w:rPr>
          <w:rFonts w:ascii="Courier New" w:hAnsi="Courier New" w:eastAsia="Courier New" w:cs="Courier New"/>
          <w:color w:val="000000"/>
          <w:sz w:val="20"/>
        </w:rPr>
        <w:t xml:space="preserve">reproducciones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un perfil puede ver muchos títulos, un título puede ser visto por muchos perfiles. Relación sin límites.</w:t>
      </w:r>
      <w:r/>
    </w:p>
    <w:p w14:paraId="67917C1E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perfiles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N ↔ M </w:t>
      </w:r>
      <w:r>
        <w:rPr>
          <w:rFonts w:ascii="Courier New" w:hAnsi="Courier New" w:eastAsia="Courier New" w:cs="Courier New"/>
          <w:color w:val="000000"/>
          <w:sz w:val="20"/>
        </w:rPr>
        <w:t xml:space="preserve">contenido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vía </w:t>
      </w:r>
      <w:r>
        <w:rPr>
          <w:rFonts w:ascii="Courier New" w:hAnsi="Courier New" w:eastAsia="Courier New" w:cs="Courier New"/>
          <w:color w:val="000000"/>
          <w:sz w:val="20"/>
        </w:rPr>
        <w:t xml:space="preserve">mi_lista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un perfil guarda muchos títulos en su lista.</w:t>
      </w:r>
      <w:r/>
    </w:p>
    <w:p w14:paraId="17E7D00A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 Colecciones, documentos de ejemplo y decisiones de diseño</w:t>
      </w:r>
      <w:r/>
    </w:p>
    <w:p w14:paraId="6ADA9C35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3.1 Colección </w:t>
      </w:r>
      <w:r>
        <w:rPr>
          <w:rFonts w:ascii="Courier New" w:hAnsi="Courier New" w:eastAsia="Courier New" w:cs="Courier New"/>
          <w:b/>
          <w:color w:val="000000"/>
          <w:sz w:val="23"/>
        </w:rPr>
        <w:t xml:space="preserve">contenido</w:t>
      </w:r>
      <w:r/>
    </w:p>
    <w:p w14:paraId="53D9A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 la colección central del catálogo. Unifica películas y series en un único tipo de documento usando el campo discriminador </w:t>
      </w:r>
      <w:r>
        <w:rPr>
          <w:rFonts w:ascii="Courier New" w:hAnsi="Courier New" w:eastAsia="Courier New" w:cs="Courier New"/>
          <w:color w:val="000000"/>
          <w:sz w:val="20"/>
        </w:rPr>
        <w:t xml:space="preserve">tipo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Esta decisión de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polimorfismo documental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es una ventaja directa del modelo NoSQL: en un esquema relacional hubiéramos necesitado dos tablas separadas o una tabla con muchas columnas nulas.</w:t>
      </w:r>
      <w:r/>
    </w:p>
    <w:p w14:paraId="3E3B31A4"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E7B5E2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5F5ED52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67CC7FB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">
    <w:nsid w:val="5CD2187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2026-06-30T20:12:39Z</dcterms:modified>
</cp:coreProperties>
</file>