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A14" w:rsidRDefault="00360A14" w:rsidP="004D4F6F">
      <w:pPr>
        <w:jc w:val="center"/>
        <w:rPr>
          <w:rFonts w:ascii="Times New Roman" w:hAnsi="Times New Roman" w:cs="Times New Roman"/>
          <w:sz w:val="36"/>
          <w:u w:val="single"/>
        </w:rPr>
      </w:pPr>
    </w:p>
    <w:p w:rsidR="00360A14" w:rsidRDefault="00360A14" w:rsidP="004D4F6F">
      <w:pPr>
        <w:jc w:val="center"/>
        <w:rPr>
          <w:rFonts w:ascii="Times New Roman" w:hAnsi="Times New Roman" w:cs="Times New Roman"/>
          <w:sz w:val="36"/>
          <w:u w:val="single"/>
        </w:rPr>
      </w:pPr>
    </w:p>
    <w:p w:rsidR="00045927" w:rsidRPr="00360A14" w:rsidRDefault="004D4F6F" w:rsidP="004D4F6F">
      <w:pPr>
        <w:jc w:val="center"/>
        <w:rPr>
          <w:rFonts w:ascii="Times New Roman" w:hAnsi="Times New Roman" w:cs="Times New Roman"/>
          <w:sz w:val="40"/>
          <w:u w:val="single"/>
        </w:rPr>
      </w:pPr>
      <w:r w:rsidRPr="00360A14">
        <w:rPr>
          <w:rFonts w:ascii="Times New Roman" w:hAnsi="Times New Roman" w:cs="Times New Roman"/>
          <w:sz w:val="40"/>
          <w:u w:val="single"/>
        </w:rPr>
        <w:t>TRABAJO PRACTICO Nro. 1</w:t>
      </w:r>
    </w:p>
    <w:p w:rsidR="004D4F6F" w:rsidRPr="00360A14" w:rsidRDefault="004D4F6F" w:rsidP="00287C6E">
      <w:pPr>
        <w:jc w:val="center"/>
        <w:rPr>
          <w:rFonts w:ascii="Times New Roman" w:hAnsi="Times New Roman" w:cs="Times New Roman"/>
          <w:i/>
          <w:sz w:val="36"/>
        </w:rPr>
      </w:pPr>
      <w:r w:rsidRPr="00360A14">
        <w:rPr>
          <w:rFonts w:ascii="Times New Roman" w:hAnsi="Times New Roman" w:cs="Times New Roman"/>
          <w:i/>
          <w:sz w:val="36"/>
        </w:rPr>
        <w:t>Metodologías y técnicas de estadística para gestión de datos</w:t>
      </w:r>
    </w:p>
    <w:p w:rsidR="004D4F6F" w:rsidRPr="00360A14" w:rsidRDefault="004D4F6F" w:rsidP="004D4F6F">
      <w:pPr>
        <w:rPr>
          <w:rFonts w:ascii="Times New Roman" w:hAnsi="Times New Roman" w:cs="Times New Roman"/>
          <w:i/>
          <w:sz w:val="28"/>
        </w:rPr>
      </w:pPr>
    </w:p>
    <w:p w:rsidR="00360A14" w:rsidRPr="00360A14" w:rsidRDefault="00360A14" w:rsidP="004D4F6F">
      <w:pPr>
        <w:rPr>
          <w:rFonts w:ascii="Times New Roman" w:hAnsi="Times New Roman" w:cs="Times New Roman"/>
          <w:i/>
          <w:sz w:val="28"/>
        </w:rPr>
      </w:pPr>
    </w:p>
    <w:p w:rsidR="00360A14" w:rsidRPr="00360A14" w:rsidRDefault="00360A14" w:rsidP="004D4F6F">
      <w:pPr>
        <w:rPr>
          <w:rFonts w:ascii="Times New Roman" w:hAnsi="Times New Roman" w:cs="Times New Roman"/>
          <w:i/>
          <w:sz w:val="28"/>
        </w:rPr>
      </w:pPr>
    </w:p>
    <w:p w:rsidR="004D4F6F" w:rsidRPr="00360A14" w:rsidRDefault="004D4F6F" w:rsidP="004D4F6F">
      <w:pPr>
        <w:rPr>
          <w:rFonts w:ascii="Times New Roman" w:hAnsi="Times New Roman" w:cs="Times New Roman"/>
          <w:sz w:val="24"/>
        </w:rPr>
      </w:pPr>
    </w:p>
    <w:p w:rsidR="00287C6E" w:rsidRPr="00360A14" w:rsidRDefault="00287C6E" w:rsidP="004D4F6F">
      <w:pPr>
        <w:rPr>
          <w:rFonts w:ascii="Times New Roman" w:hAnsi="Times New Roman" w:cs="Times New Roman"/>
          <w:color w:val="222222"/>
          <w:sz w:val="24"/>
          <w:shd w:val="clear" w:color="auto" w:fill="FFFFFF"/>
        </w:rPr>
      </w:pPr>
    </w:p>
    <w:p w:rsidR="00287C6E" w:rsidRPr="00360A14" w:rsidRDefault="00287C6E" w:rsidP="004D4F6F">
      <w:pPr>
        <w:rPr>
          <w:rFonts w:ascii="Times New Roman" w:hAnsi="Times New Roman" w:cs="Times New Roman"/>
          <w:color w:val="222222"/>
          <w:sz w:val="32"/>
          <w:u w:val="single"/>
          <w:shd w:val="clear" w:color="auto" w:fill="FFFFFF"/>
        </w:rPr>
      </w:pPr>
      <w:r w:rsidRPr="00360A14">
        <w:rPr>
          <w:rFonts w:ascii="Times New Roman" w:hAnsi="Times New Roman" w:cs="Times New Roman"/>
          <w:color w:val="222222"/>
          <w:sz w:val="32"/>
          <w:u w:val="single"/>
          <w:shd w:val="clear" w:color="auto" w:fill="FFFFFF"/>
        </w:rPr>
        <w:t>Trayecto “Operador en Análisis de Datos”</w:t>
      </w:r>
    </w:p>
    <w:p w:rsidR="00287C6E" w:rsidRPr="00360A14" w:rsidRDefault="00287C6E" w:rsidP="004D4F6F">
      <w:pPr>
        <w:rPr>
          <w:rFonts w:ascii="Times New Roman" w:hAnsi="Times New Roman" w:cs="Times New Roman"/>
          <w:color w:val="222222"/>
          <w:sz w:val="24"/>
          <w:shd w:val="clear" w:color="auto" w:fill="FFFFFF"/>
        </w:rPr>
      </w:pPr>
    </w:p>
    <w:p w:rsidR="00287C6E" w:rsidRPr="00360A14" w:rsidRDefault="00287C6E" w:rsidP="004D4F6F">
      <w:pPr>
        <w:rPr>
          <w:rFonts w:ascii="Times New Roman" w:hAnsi="Times New Roman" w:cs="Times New Roman"/>
          <w:sz w:val="24"/>
        </w:rPr>
      </w:pPr>
      <w:r w:rsidRPr="00360A14">
        <w:rPr>
          <w:rFonts w:ascii="Times New Roman" w:hAnsi="Times New Roman" w:cs="Times New Roman"/>
          <w:b/>
          <w:sz w:val="24"/>
        </w:rPr>
        <w:t>Comisión:</w:t>
      </w:r>
      <w:r w:rsidRPr="00360A14">
        <w:rPr>
          <w:rFonts w:ascii="Times New Roman" w:hAnsi="Times New Roman" w:cs="Times New Roman"/>
          <w:sz w:val="24"/>
        </w:rPr>
        <w:t xml:space="preserve"> lunes 19:30 - jueves 16:30</w:t>
      </w:r>
    </w:p>
    <w:p w:rsidR="004D4F6F" w:rsidRPr="00360A14" w:rsidRDefault="004D4F6F" w:rsidP="004D4F6F">
      <w:pPr>
        <w:rPr>
          <w:rFonts w:ascii="Times New Roman" w:hAnsi="Times New Roman" w:cs="Times New Roman"/>
          <w:sz w:val="24"/>
        </w:rPr>
      </w:pPr>
      <w:r w:rsidRPr="00360A14">
        <w:rPr>
          <w:rFonts w:ascii="Times New Roman" w:hAnsi="Times New Roman" w:cs="Times New Roman"/>
          <w:b/>
          <w:sz w:val="24"/>
        </w:rPr>
        <w:t>Autor:</w:t>
      </w:r>
      <w:r w:rsidRPr="00360A14">
        <w:rPr>
          <w:rFonts w:ascii="Times New Roman" w:hAnsi="Times New Roman" w:cs="Times New Roman"/>
          <w:sz w:val="24"/>
        </w:rPr>
        <w:t xml:space="preserve"> Lautaro Hernán de la Fuente</w:t>
      </w:r>
    </w:p>
    <w:p w:rsidR="004D4F6F" w:rsidRPr="00360A14" w:rsidRDefault="004D4F6F" w:rsidP="004D4F6F">
      <w:pPr>
        <w:rPr>
          <w:rFonts w:ascii="Times New Roman" w:hAnsi="Times New Roman" w:cs="Times New Roman"/>
          <w:sz w:val="24"/>
        </w:rPr>
      </w:pPr>
      <w:r w:rsidRPr="00360A14">
        <w:rPr>
          <w:rFonts w:ascii="Times New Roman" w:hAnsi="Times New Roman" w:cs="Times New Roman"/>
          <w:b/>
          <w:sz w:val="24"/>
        </w:rPr>
        <w:t>Email:</w:t>
      </w:r>
      <w:r w:rsidRPr="00360A14">
        <w:rPr>
          <w:rFonts w:ascii="Times New Roman" w:hAnsi="Times New Roman" w:cs="Times New Roman"/>
          <w:sz w:val="24"/>
        </w:rPr>
        <w:t xml:space="preserve"> </w:t>
      </w:r>
      <w:hyperlink r:id="rId7" w:history="1">
        <w:r w:rsidR="00287C6E" w:rsidRPr="00360A14">
          <w:rPr>
            <w:rStyle w:val="Hipervnculo"/>
            <w:rFonts w:ascii="Times New Roman" w:hAnsi="Times New Roman" w:cs="Times New Roman"/>
            <w:sz w:val="24"/>
          </w:rPr>
          <w:t>Lautaro.delafuente@bue.edu.ar</w:t>
        </w:r>
      </w:hyperlink>
    </w:p>
    <w:p w:rsidR="00287C6E" w:rsidRPr="00360A14" w:rsidRDefault="00287C6E">
      <w:pPr>
        <w:rPr>
          <w:rFonts w:ascii="Times New Roman" w:hAnsi="Times New Roman" w:cs="Times New Roman"/>
          <w:sz w:val="24"/>
        </w:rPr>
      </w:pPr>
      <w:r w:rsidRPr="00360A14">
        <w:rPr>
          <w:rFonts w:ascii="Times New Roman" w:hAnsi="Times New Roman" w:cs="Times New Roman"/>
          <w:sz w:val="24"/>
        </w:rPr>
        <w:br w:type="page"/>
      </w:r>
    </w:p>
    <w:p w:rsidR="00287C6E" w:rsidRPr="00360A14" w:rsidRDefault="00287C6E" w:rsidP="00360A14">
      <w:pPr>
        <w:ind w:firstLine="284"/>
        <w:jc w:val="center"/>
        <w:rPr>
          <w:rFonts w:ascii="Times New Roman" w:hAnsi="Times New Roman" w:cs="Times New Roman"/>
          <w:b/>
          <w:sz w:val="28"/>
          <w:u w:val="single"/>
        </w:rPr>
      </w:pPr>
      <w:r w:rsidRPr="00360A14">
        <w:rPr>
          <w:rFonts w:ascii="Times New Roman" w:hAnsi="Times New Roman" w:cs="Times New Roman"/>
          <w:b/>
          <w:sz w:val="28"/>
          <w:u w:val="single"/>
        </w:rPr>
        <w:lastRenderedPageBreak/>
        <w:t>Análisis de la industria del anime del año 1905 al 2021</w:t>
      </w:r>
    </w:p>
    <w:p w:rsidR="005C4434" w:rsidRPr="004A0616" w:rsidRDefault="005C4434" w:rsidP="004A0616">
      <w:pPr>
        <w:ind w:firstLine="284"/>
        <w:jc w:val="both"/>
        <w:rPr>
          <w:rFonts w:ascii="Times New Roman" w:hAnsi="Times New Roman" w:cs="Times New Roman"/>
        </w:rPr>
      </w:pPr>
    </w:p>
    <w:p w:rsidR="005C4434" w:rsidRPr="004A0616" w:rsidRDefault="005C4434" w:rsidP="004A0616">
      <w:pPr>
        <w:ind w:firstLine="284"/>
        <w:jc w:val="both"/>
        <w:rPr>
          <w:rFonts w:ascii="Times New Roman" w:hAnsi="Times New Roman" w:cs="Times New Roman"/>
        </w:rPr>
      </w:pPr>
      <w:r w:rsidRPr="004A0616">
        <w:rPr>
          <w:rFonts w:ascii="Times New Roman" w:hAnsi="Times New Roman" w:cs="Times New Roman"/>
        </w:rPr>
        <w:t xml:space="preserve">El género de animación japonés, es uno de los recursos culturales más representativos del país oriental en la actualidad. En especial, en los últimos 20 años, el género no ha hecho más que crecer, tanto en ventas como en </w:t>
      </w:r>
      <w:r w:rsidR="0003207B" w:rsidRPr="004A0616">
        <w:rPr>
          <w:rFonts w:ascii="Times New Roman" w:hAnsi="Times New Roman" w:cs="Times New Roman"/>
        </w:rPr>
        <w:t>nuevos espectadores</w:t>
      </w:r>
      <w:r w:rsidR="00EE7927" w:rsidRPr="004A0616">
        <w:rPr>
          <w:rFonts w:ascii="Times New Roman" w:hAnsi="Times New Roman" w:cs="Times New Roman"/>
        </w:rPr>
        <w:t xml:space="preserve"> dentro y fuera de Japón.</w:t>
      </w:r>
    </w:p>
    <w:p w:rsidR="00D40CB2" w:rsidRPr="004A0616" w:rsidRDefault="00175C61" w:rsidP="004A0616">
      <w:pPr>
        <w:ind w:firstLine="284"/>
        <w:jc w:val="both"/>
        <w:rPr>
          <w:rFonts w:ascii="Times New Roman" w:hAnsi="Times New Roman" w:cs="Times New Roman"/>
        </w:rPr>
      </w:pPr>
      <w:r w:rsidRPr="004A0616">
        <w:rPr>
          <w:rFonts w:ascii="Times New Roman" w:hAnsi="Times New Roman" w:cs="Times New Roman"/>
        </w:rPr>
        <w:t xml:space="preserve">Hoy en día, podemos encontrar este tipo de contenido en casi todas las plataformas digitales conocidas mundialmente como </w:t>
      </w:r>
      <w:proofErr w:type="spellStart"/>
      <w:r w:rsidRPr="004A0616">
        <w:rPr>
          <w:rFonts w:ascii="Times New Roman" w:hAnsi="Times New Roman" w:cs="Times New Roman"/>
        </w:rPr>
        <w:t>netflix</w:t>
      </w:r>
      <w:proofErr w:type="spellEnd"/>
      <w:r w:rsidRPr="004A0616">
        <w:rPr>
          <w:rFonts w:ascii="Times New Roman" w:hAnsi="Times New Roman" w:cs="Times New Roman"/>
        </w:rPr>
        <w:t xml:space="preserve">, HBO, </w:t>
      </w:r>
      <w:proofErr w:type="spellStart"/>
      <w:r w:rsidRPr="004A0616">
        <w:rPr>
          <w:rFonts w:ascii="Times New Roman" w:hAnsi="Times New Roman" w:cs="Times New Roman"/>
        </w:rPr>
        <w:t>amazon</w:t>
      </w:r>
      <w:proofErr w:type="spellEnd"/>
      <w:r w:rsidRPr="004A0616">
        <w:rPr>
          <w:rFonts w:ascii="Times New Roman" w:hAnsi="Times New Roman" w:cs="Times New Roman"/>
        </w:rPr>
        <w:t xml:space="preserve">, </w:t>
      </w:r>
      <w:proofErr w:type="spellStart"/>
      <w:r w:rsidRPr="004A0616">
        <w:rPr>
          <w:rFonts w:ascii="Times New Roman" w:hAnsi="Times New Roman" w:cs="Times New Roman"/>
        </w:rPr>
        <w:t>spotify</w:t>
      </w:r>
      <w:proofErr w:type="spellEnd"/>
      <w:r w:rsidRPr="004A0616">
        <w:rPr>
          <w:rFonts w:ascii="Times New Roman" w:hAnsi="Times New Roman" w:cs="Times New Roman"/>
        </w:rPr>
        <w:t xml:space="preserve"> o </w:t>
      </w:r>
      <w:proofErr w:type="spellStart"/>
      <w:r w:rsidRPr="004A0616">
        <w:rPr>
          <w:rFonts w:ascii="Times New Roman" w:hAnsi="Times New Roman" w:cs="Times New Roman"/>
        </w:rPr>
        <w:t>crunchyroll</w:t>
      </w:r>
      <w:proofErr w:type="spellEnd"/>
      <w:r w:rsidRPr="004A0616">
        <w:rPr>
          <w:rFonts w:ascii="Times New Roman" w:hAnsi="Times New Roman" w:cs="Times New Roman"/>
        </w:rPr>
        <w:t xml:space="preserve"> (plataforma de </w:t>
      </w:r>
      <w:proofErr w:type="spellStart"/>
      <w:r w:rsidRPr="004A0616">
        <w:rPr>
          <w:rFonts w:ascii="Times New Roman" w:hAnsi="Times New Roman" w:cs="Times New Roman"/>
        </w:rPr>
        <w:t>stre</w:t>
      </w:r>
      <w:r w:rsidR="00646C12" w:rsidRPr="004A0616">
        <w:rPr>
          <w:rFonts w:ascii="Times New Roman" w:hAnsi="Times New Roman" w:cs="Times New Roman"/>
        </w:rPr>
        <w:t>a</w:t>
      </w:r>
      <w:r w:rsidRPr="004A0616">
        <w:rPr>
          <w:rFonts w:ascii="Times New Roman" w:hAnsi="Times New Roman" w:cs="Times New Roman"/>
        </w:rPr>
        <w:t>ming</w:t>
      </w:r>
      <w:proofErr w:type="spellEnd"/>
      <w:r w:rsidRPr="004A0616">
        <w:rPr>
          <w:rFonts w:ascii="Times New Roman" w:hAnsi="Times New Roman" w:cs="Times New Roman"/>
        </w:rPr>
        <w:t xml:space="preserve"> especialista en la comercialización, distribución y concesión de distribución de licencias del anime)</w:t>
      </w:r>
      <w:r w:rsidR="00646C12" w:rsidRPr="004A0616">
        <w:rPr>
          <w:rFonts w:ascii="Times New Roman" w:hAnsi="Times New Roman" w:cs="Times New Roman"/>
        </w:rPr>
        <w:t xml:space="preserve">. </w:t>
      </w:r>
    </w:p>
    <w:p w:rsidR="00EF04CB" w:rsidRPr="004A0616" w:rsidRDefault="00646C12" w:rsidP="004A0616">
      <w:pPr>
        <w:ind w:firstLine="284"/>
        <w:jc w:val="both"/>
        <w:rPr>
          <w:rFonts w:ascii="Times New Roman" w:hAnsi="Times New Roman" w:cs="Times New Roman"/>
        </w:rPr>
      </w:pPr>
      <w:r w:rsidRPr="004A0616">
        <w:rPr>
          <w:rFonts w:ascii="Times New Roman" w:hAnsi="Times New Roman" w:cs="Times New Roman"/>
        </w:rPr>
        <w:t xml:space="preserve">En este contexto, es que nos planteamos el análisis de esta industria basándonos en la información recopilada por la plataforma myanimelist.net, acerca de los productos creados entre el año 1905 y 2021. </w:t>
      </w:r>
      <w:r w:rsidR="000D4356" w:rsidRPr="004A0616">
        <w:rPr>
          <w:rFonts w:ascii="Times New Roman" w:hAnsi="Times New Roman" w:cs="Times New Roman"/>
        </w:rPr>
        <w:t>Allí</w:t>
      </w:r>
      <w:r w:rsidRPr="004A0616">
        <w:rPr>
          <w:rFonts w:ascii="Times New Roman" w:hAnsi="Times New Roman" w:cs="Times New Roman"/>
        </w:rPr>
        <w:t xml:space="preserve"> encontramos </w:t>
      </w:r>
      <w:r w:rsidR="001541FE" w:rsidRPr="004A0616">
        <w:rPr>
          <w:rFonts w:ascii="Times New Roman" w:hAnsi="Times New Roman" w:cs="Times New Roman"/>
        </w:rPr>
        <w:t xml:space="preserve">un listado de aproximadamente </w:t>
      </w:r>
      <w:r w:rsidR="00EF04CB" w:rsidRPr="004A0616">
        <w:rPr>
          <w:rFonts w:ascii="Times New Roman" w:hAnsi="Times New Roman" w:cs="Times New Roman"/>
        </w:rPr>
        <w:t>12.388 animes</w:t>
      </w:r>
      <w:r w:rsidR="001541FE" w:rsidRPr="004A0616">
        <w:rPr>
          <w:rFonts w:ascii="Times New Roman" w:hAnsi="Times New Roman" w:cs="Times New Roman"/>
        </w:rPr>
        <w:t xml:space="preserve"> junto con información referente al tipo de contenido (TV, película, libro, manga, música, </w:t>
      </w:r>
      <w:r w:rsidR="003119E7" w:rsidRPr="004A0616">
        <w:rPr>
          <w:rFonts w:ascii="Times New Roman" w:hAnsi="Times New Roman" w:cs="Times New Roman"/>
        </w:rPr>
        <w:t>etc.</w:t>
      </w:r>
      <w:r w:rsidR="001541FE" w:rsidRPr="004A0616">
        <w:rPr>
          <w:rFonts w:ascii="Times New Roman" w:hAnsi="Times New Roman" w:cs="Times New Roman"/>
        </w:rPr>
        <w:t>), la o las productoras de ese contenido, la fecha en la que comenzaron a emitirse, la fecha en la que finalizaron</w:t>
      </w:r>
      <w:r w:rsidR="00EF04CB" w:rsidRPr="004A0616">
        <w:rPr>
          <w:rFonts w:ascii="Times New Roman" w:hAnsi="Times New Roman" w:cs="Times New Roman"/>
        </w:rPr>
        <w:t xml:space="preserve">, </w:t>
      </w:r>
      <w:r w:rsidR="001541FE" w:rsidRPr="004A0616">
        <w:rPr>
          <w:rFonts w:ascii="Times New Roman" w:hAnsi="Times New Roman" w:cs="Times New Roman"/>
        </w:rPr>
        <w:t xml:space="preserve">datos propios de la </w:t>
      </w:r>
      <w:r w:rsidR="000D4356" w:rsidRPr="004A0616">
        <w:rPr>
          <w:rFonts w:ascii="Times New Roman" w:hAnsi="Times New Roman" w:cs="Times New Roman"/>
        </w:rPr>
        <w:t>página</w:t>
      </w:r>
      <w:r w:rsidR="00EF04CB" w:rsidRPr="004A0616">
        <w:rPr>
          <w:rFonts w:ascii="Times New Roman" w:hAnsi="Times New Roman" w:cs="Times New Roman"/>
        </w:rPr>
        <w:t xml:space="preserve"> antes mencionada,</w:t>
      </w:r>
      <w:r w:rsidR="001541FE" w:rsidRPr="004A0616">
        <w:rPr>
          <w:rFonts w:ascii="Times New Roman" w:hAnsi="Times New Roman" w:cs="Times New Roman"/>
        </w:rPr>
        <w:t xml:space="preserve"> referente a la cantidad de gente que </w:t>
      </w:r>
      <w:r w:rsidR="000D4356" w:rsidRPr="004A0616">
        <w:rPr>
          <w:rFonts w:ascii="Times New Roman" w:hAnsi="Times New Roman" w:cs="Times New Roman"/>
        </w:rPr>
        <w:t>consumió</w:t>
      </w:r>
      <w:r w:rsidR="001541FE" w:rsidRPr="004A0616">
        <w:rPr>
          <w:rFonts w:ascii="Times New Roman" w:hAnsi="Times New Roman" w:cs="Times New Roman"/>
        </w:rPr>
        <w:t xml:space="preserve"> por completo ese contenido, </w:t>
      </w:r>
      <w:r w:rsidR="00517CAE" w:rsidRPr="004A0616">
        <w:rPr>
          <w:rFonts w:ascii="Times New Roman" w:hAnsi="Times New Roman" w:cs="Times New Roman"/>
        </w:rPr>
        <w:t xml:space="preserve">quienes </w:t>
      </w:r>
      <w:r w:rsidR="003119E7" w:rsidRPr="004A0616">
        <w:rPr>
          <w:rFonts w:ascii="Times New Roman" w:hAnsi="Times New Roman" w:cs="Times New Roman"/>
        </w:rPr>
        <w:t>aún</w:t>
      </w:r>
      <w:r w:rsidR="00517CAE" w:rsidRPr="004A0616">
        <w:rPr>
          <w:rFonts w:ascii="Times New Roman" w:hAnsi="Times New Roman" w:cs="Times New Roman"/>
        </w:rPr>
        <w:t xml:space="preserve"> no lo compl</w:t>
      </w:r>
      <w:r w:rsidR="003119E7" w:rsidRPr="004A0616">
        <w:rPr>
          <w:rFonts w:ascii="Times New Roman" w:hAnsi="Times New Roman" w:cs="Times New Roman"/>
        </w:rPr>
        <w:t>etaron y aquellos que tienen contenid</w:t>
      </w:r>
      <w:r w:rsidR="00EF04CB" w:rsidRPr="004A0616">
        <w:rPr>
          <w:rFonts w:ascii="Times New Roman" w:hAnsi="Times New Roman" w:cs="Times New Roman"/>
        </w:rPr>
        <w:t>o listado para ver en un futuro, entre otros datos interesantes.</w:t>
      </w:r>
    </w:p>
    <w:p w:rsidR="002437A9" w:rsidRPr="004A0616" w:rsidRDefault="002437A9" w:rsidP="004A0616">
      <w:pPr>
        <w:ind w:firstLine="284"/>
        <w:jc w:val="both"/>
        <w:rPr>
          <w:rFonts w:ascii="Times New Roman" w:hAnsi="Times New Roman" w:cs="Times New Roman"/>
        </w:rPr>
      </w:pPr>
      <w:r w:rsidRPr="004A0616">
        <w:rPr>
          <w:rFonts w:ascii="Times New Roman" w:hAnsi="Times New Roman" w:cs="Times New Roman"/>
        </w:rPr>
        <w:t>Para comenzar con nuestro análisis, les mostraremos el siguiente gráfico:</w:t>
      </w:r>
    </w:p>
    <w:p w:rsidR="004F3C66" w:rsidRPr="004A0616" w:rsidRDefault="004F3C66" w:rsidP="00360A14">
      <w:pPr>
        <w:ind w:firstLine="284"/>
        <w:jc w:val="center"/>
        <w:rPr>
          <w:rFonts w:ascii="Times New Roman" w:hAnsi="Times New Roman" w:cs="Times New Roman"/>
        </w:rPr>
      </w:pPr>
      <w:r w:rsidRPr="004A0616">
        <w:rPr>
          <w:rFonts w:ascii="Times New Roman" w:hAnsi="Times New Roman" w:cs="Times New Roman"/>
          <w:noProof/>
          <w:lang w:eastAsia="es-AR"/>
        </w:rPr>
        <w:drawing>
          <wp:inline distT="0" distB="0" distL="0" distR="0" wp14:anchorId="6186FD29" wp14:editId="5904C58C">
            <wp:extent cx="5228590" cy="2951842"/>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1299" cy="2959017"/>
                    </a:xfrm>
                    <a:prstGeom prst="rect">
                      <a:avLst/>
                    </a:prstGeom>
                  </pic:spPr>
                </pic:pic>
              </a:graphicData>
            </a:graphic>
          </wp:inline>
        </w:drawing>
      </w:r>
    </w:p>
    <w:p w:rsidR="001B6306" w:rsidRPr="004A0616" w:rsidRDefault="004F3C66" w:rsidP="004A0616">
      <w:pPr>
        <w:ind w:firstLine="284"/>
        <w:jc w:val="both"/>
        <w:rPr>
          <w:rFonts w:ascii="Times New Roman" w:hAnsi="Times New Roman" w:cs="Times New Roman"/>
        </w:rPr>
      </w:pPr>
      <w:r w:rsidRPr="004A0616">
        <w:rPr>
          <w:rFonts w:ascii="Times New Roman" w:hAnsi="Times New Roman" w:cs="Times New Roman"/>
        </w:rPr>
        <w:t xml:space="preserve">En él, podemos observar el incremento de la cantidad de productos anime, emitidos desde 1970 hasta el 2020. </w:t>
      </w:r>
      <w:r w:rsidR="001B6306" w:rsidRPr="004A0616">
        <w:rPr>
          <w:rFonts w:ascii="Times New Roman" w:hAnsi="Times New Roman" w:cs="Times New Roman"/>
        </w:rPr>
        <w:t xml:space="preserve">Pasaron de emitirse unos 17 animes al año en 1970 a un pico de 680 animes totales emitidos en el año 2016. </w:t>
      </w:r>
    </w:p>
    <w:p w:rsidR="004F3C66" w:rsidRPr="004A0616" w:rsidRDefault="001B6306" w:rsidP="004A0616">
      <w:pPr>
        <w:ind w:firstLine="284"/>
        <w:jc w:val="both"/>
        <w:rPr>
          <w:rFonts w:ascii="Times New Roman" w:hAnsi="Times New Roman" w:cs="Times New Roman"/>
        </w:rPr>
      </w:pPr>
      <w:r w:rsidRPr="004A0616">
        <w:rPr>
          <w:rFonts w:ascii="Times New Roman" w:hAnsi="Times New Roman" w:cs="Times New Roman"/>
        </w:rPr>
        <w:t>Si vamos al caso del grafico anterior, podemos ver esto mismo, pero segmentando por los 10 géneros más frecuentes, donde encontraremos que el pico máximo de este periodo se dio en 2014, siendo el género de comedia el predominante por amplia mayoría con un total anual de 255 animes, seguido por el género acción con 142 y fantasía con 117</w:t>
      </w:r>
      <w:r w:rsidR="00486EF8" w:rsidRPr="004A0616">
        <w:rPr>
          <w:rFonts w:ascii="Times New Roman" w:hAnsi="Times New Roman" w:cs="Times New Roman"/>
        </w:rPr>
        <w:t>.</w:t>
      </w:r>
    </w:p>
    <w:p w:rsidR="00486EF8" w:rsidRPr="004A0616" w:rsidRDefault="00DC6455" w:rsidP="004A0616">
      <w:pPr>
        <w:ind w:firstLine="284"/>
        <w:jc w:val="both"/>
        <w:rPr>
          <w:rFonts w:ascii="Times New Roman" w:hAnsi="Times New Roman" w:cs="Times New Roman"/>
        </w:rPr>
      </w:pPr>
      <w:r w:rsidRPr="004A0616">
        <w:rPr>
          <w:rFonts w:ascii="Times New Roman" w:hAnsi="Times New Roman" w:cs="Times New Roman"/>
        </w:rPr>
        <w:t xml:space="preserve">Cuando chequeamos </w:t>
      </w:r>
      <w:r w:rsidR="00CB0E1F" w:rsidRPr="004A0616">
        <w:rPr>
          <w:rFonts w:ascii="Times New Roman" w:hAnsi="Times New Roman" w:cs="Times New Roman"/>
        </w:rPr>
        <w:t xml:space="preserve">estos datos a nivel general, vemos que esta es una tendencia que se repite. Como podemos notar en el siguiente gráfico de torta, los 5 géneros que más se repiten entre el anime son: comedia en primer lugar con el 17,5% del anime, seguido por el género de acción </w:t>
      </w:r>
      <w:r w:rsidR="00CB0E1F" w:rsidRPr="004A0616">
        <w:rPr>
          <w:rFonts w:ascii="Times New Roman" w:hAnsi="Times New Roman" w:cs="Times New Roman"/>
        </w:rPr>
        <w:lastRenderedPageBreak/>
        <w:t>(12,89%), fantasía (9,37%), aventura (8,76%), ciencia ficción (8,56%), mientras que el resto acumulan el 42,91% de los productos de este tipo.</w:t>
      </w:r>
    </w:p>
    <w:p w:rsidR="00486EF8" w:rsidRPr="004A0616" w:rsidRDefault="00DC6455" w:rsidP="00360A14">
      <w:pPr>
        <w:ind w:firstLine="284"/>
        <w:jc w:val="center"/>
        <w:rPr>
          <w:rFonts w:ascii="Times New Roman" w:hAnsi="Times New Roman" w:cs="Times New Roman"/>
        </w:rPr>
      </w:pPr>
      <w:r w:rsidRPr="004A0616">
        <w:rPr>
          <w:rFonts w:ascii="Times New Roman" w:hAnsi="Times New Roman" w:cs="Times New Roman"/>
          <w:noProof/>
          <w:lang w:eastAsia="es-AR"/>
        </w:rPr>
        <w:drawing>
          <wp:inline distT="0" distB="0" distL="0" distR="0" wp14:anchorId="4B1E42E2" wp14:editId="7AD303E0">
            <wp:extent cx="4252595" cy="2530025"/>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9452" cy="2551953"/>
                    </a:xfrm>
                    <a:prstGeom prst="rect">
                      <a:avLst/>
                    </a:prstGeom>
                  </pic:spPr>
                </pic:pic>
              </a:graphicData>
            </a:graphic>
          </wp:inline>
        </w:drawing>
      </w:r>
    </w:p>
    <w:p w:rsidR="00646C12" w:rsidRPr="004A0616" w:rsidRDefault="00646C12" w:rsidP="004A0616">
      <w:pPr>
        <w:ind w:firstLine="284"/>
        <w:jc w:val="both"/>
        <w:rPr>
          <w:rFonts w:ascii="Times New Roman" w:hAnsi="Times New Roman" w:cs="Times New Roman"/>
        </w:rPr>
      </w:pPr>
    </w:p>
    <w:p w:rsidR="00CC1BF3" w:rsidRPr="004A0616" w:rsidRDefault="0080082F" w:rsidP="004A0616">
      <w:pPr>
        <w:ind w:firstLine="284"/>
        <w:jc w:val="both"/>
        <w:rPr>
          <w:rFonts w:ascii="Times New Roman" w:hAnsi="Times New Roman" w:cs="Times New Roman"/>
        </w:rPr>
      </w:pPr>
      <w:r w:rsidRPr="004A0616">
        <w:rPr>
          <w:rFonts w:ascii="Times New Roman" w:hAnsi="Times New Roman" w:cs="Times New Roman"/>
        </w:rPr>
        <w:t xml:space="preserve">Ahora bien, con la información con la que disponemos, podemos </w:t>
      </w:r>
      <w:r w:rsidR="003B5FC8" w:rsidRPr="004A0616">
        <w:rPr>
          <w:rFonts w:ascii="Times New Roman" w:hAnsi="Times New Roman" w:cs="Times New Roman"/>
        </w:rPr>
        <w:t>también</w:t>
      </w:r>
      <w:r w:rsidRPr="004A0616">
        <w:rPr>
          <w:rFonts w:ascii="Times New Roman" w:hAnsi="Times New Roman" w:cs="Times New Roman"/>
        </w:rPr>
        <w:t xml:space="preserve"> determinar tendencias en torno a las tipologías de productos japoneses que se ven envueltos en este género de animación oriental. Como veremos en la gráfica a continuación, los tipos de anime</w:t>
      </w:r>
      <w:r w:rsidR="003B5FC8" w:rsidRPr="004A0616">
        <w:rPr>
          <w:rFonts w:ascii="Times New Roman" w:hAnsi="Times New Roman" w:cs="Times New Roman"/>
        </w:rPr>
        <w:t xml:space="preserve"> más generados por la industria </w:t>
      </w:r>
      <w:r w:rsidR="00CC1BF3" w:rsidRPr="004A0616">
        <w:rPr>
          <w:rFonts w:ascii="Times New Roman" w:hAnsi="Times New Roman" w:cs="Times New Roman"/>
        </w:rPr>
        <w:t xml:space="preserve">son los programas de televisión con un 30,89% de la oferta, seguido por los OVAs (original video animation) con un 24,18% y las películas con un 16,22% de la oferta. </w:t>
      </w:r>
    </w:p>
    <w:p w:rsidR="00CC1BF3" w:rsidRPr="004A0616" w:rsidRDefault="00CC1BF3" w:rsidP="004A0616">
      <w:pPr>
        <w:ind w:firstLine="284"/>
        <w:jc w:val="both"/>
        <w:rPr>
          <w:rFonts w:ascii="Times New Roman" w:hAnsi="Times New Roman" w:cs="Times New Roman"/>
        </w:rPr>
      </w:pPr>
    </w:p>
    <w:p w:rsidR="00CC1BF3" w:rsidRPr="004A0616" w:rsidRDefault="00CC1BF3" w:rsidP="00360A14">
      <w:pPr>
        <w:ind w:firstLine="284"/>
        <w:jc w:val="center"/>
        <w:rPr>
          <w:rFonts w:ascii="Times New Roman" w:hAnsi="Times New Roman" w:cs="Times New Roman"/>
        </w:rPr>
      </w:pPr>
      <w:r w:rsidRPr="004A0616">
        <w:rPr>
          <w:rFonts w:ascii="Times New Roman" w:hAnsi="Times New Roman" w:cs="Times New Roman"/>
          <w:noProof/>
          <w:lang w:eastAsia="es-AR"/>
        </w:rPr>
        <w:drawing>
          <wp:inline distT="0" distB="0" distL="0" distR="0" wp14:anchorId="4A53F722" wp14:editId="5AA706C2">
            <wp:extent cx="3901734" cy="2877209"/>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8703" cy="2919219"/>
                    </a:xfrm>
                    <a:prstGeom prst="rect">
                      <a:avLst/>
                    </a:prstGeom>
                  </pic:spPr>
                </pic:pic>
              </a:graphicData>
            </a:graphic>
          </wp:inline>
        </w:drawing>
      </w:r>
    </w:p>
    <w:p w:rsidR="008471A0" w:rsidRPr="004A0616" w:rsidRDefault="008E33EF" w:rsidP="004A0616">
      <w:pPr>
        <w:ind w:firstLine="284"/>
        <w:jc w:val="both"/>
        <w:rPr>
          <w:rFonts w:ascii="Times New Roman" w:hAnsi="Times New Roman" w:cs="Times New Roman"/>
        </w:rPr>
      </w:pPr>
      <w:r w:rsidRPr="004A0616">
        <w:rPr>
          <w:rFonts w:ascii="Times New Roman" w:hAnsi="Times New Roman" w:cs="Times New Roman"/>
        </w:rPr>
        <w:t xml:space="preserve">A partir de este dato, dividimos los casos en </w:t>
      </w:r>
      <w:r w:rsidR="008471A0" w:rsidRPr="004A0616">
        <w:rPr>
          <w:rFonts w:ascii="Times New Roman" w:hAnsi="Times New Roman" w:cs="Times New Roman"/>
        </w:rPr>
        <w:t>cuartiles</w:t>
      </w:r>
      <w:r w:rsidRPr="004A0616">
        <w:rPr>
          <w:rFonts w:ascii="Times New Roman" w:hAnsi="Times New Roman" w:cs="Times New Roman"/>
        </w:rPr>
        <w:t xml:space="preserve"> según el puntaje que le dieron los usuarios de la plataforma, siendo el Q1 aquel con el rango más alto de puntajes</w:t>
      </w:r>
      <w:r w:rsidR="00143E98" w:rsidRPr="004A0616">
        <w:rPr>
          <w:rFonts w:ascii="Times New Roman" w:hAnsi="Times New Roman" w:cs="Times New Roman"/>
        </w:rPr>
        <w:t xml:space="preserve">, y el Q4 aquel con menor puntuación. Al realizar esta segmentación, nos dimos cuenta, basados en el siguiente cuadro comparativo, que solo el 48,41% de la oferta animada del país asiático, alcanza una puntuación inferior </w:t>
      </w:r>
      <w:r w:rsidR="008471A0" w:rsidRPr="004A0616">
        <w:rPr>
          <w:rFonts w:ascii="Times New Roman" w:hAnsi="Times New Roman" w:cs="Times New Roman"/>
        </w:rPr>
        <w:t xml:space="preserve">a los 6,48 puntos (Correspondiente al Q4), mientras que el otro 51,59% (sumatoria entre las 3 categorías restantes) supera esta puntuación hasta llegar a los animes mejor </w:t>
      </w:r>
      <w:r w:rsidR="008471A0" w:rsidRPr="004A0616">
        <w:rPr>
          <w:rFonts w:ascii="Times New Roman" w:hAnsi="Times New Roman" w:cs="Times New Roman"/>
        </w:rPr>
        <w:lastRenderedPageBreak/>
        <w:t>valorados con unos 9,19 puntos, como son “</w:t>
      </w:r>
      <w:proofErr w:type="spellStart"/>
      <w:r w:rsidR="008471A0" w:rsidRPr="004A0616">
        <w:rPr>
          <w:rFonts w:ascii="Times New Roman" w:hAnsi="Times New Roman" w:cs="Times New Roman"/>
        </w:rPr>
        <w:t>FullMetal</w:t>
      </w:r>
      <w:proofErr w:type="spellEnd"/>
      <w:r w:rsidR="008471A0" w:rsidRPr="004A0616">
        <w:rPr>
          <w:rFonts w:ascii="Times New Roman" w:hAnsi="Times New Roman" w:cs="Times New Roman"/>
        </w:rPr>
        <w:t xml:space="preserve"> </w:t>
      </w:r>
      <w:proofErr w:type="spellStart"/>
      <w:r w:rsidR="008471A0" w:rsidRPr="004A0616">
        <w:rPr>
          <w:rFonts w:ascii="Times New Roman" w:hAnsi="Times New Roman" w:cs="Times New Roman"/>
        </w:rPr>
        <w:t>Alquemist</w:t>
      </w:r>
      <w:proofErr w:type="spellEnd"/>
      <w:r w:rsidR="008471A0" w:rsidRPr="004A0616">
        <w:rPr>
          <w:rFonts w:ascii="Times New Roman" w:hAnsi="Times New Roman" w:cs="Times New Roman"/>
        </w:rPr>
        <w:t xml:space="preserve">: </w:t>
      </w:r>
      <w:proofErr w:type="spellStart"/>
      <w:r w:rsidR="008471A0" w:rsidRPr="004A0616">
        <w:rPr>
          <w:rFonts w:ascii="Times New Roman" w:hAnsi="Times New Roman" w:cs="Times New Roman"/>
        </w:rPr>
        <w:t>Brotherhood</w:t>
      </w:r>
      <w:proofErr w:type="spellEnd"/>
      <w:r w:rsidR="008471A0" w:rsidRPr="004A0616">
        <w:rPr>
          <w:rFonts w:ascii="Times New Roman" w:hAnsi="Times New Roman" w:cs="Times New Roman"/>
        </w:rPr>
        <w:t>”, seguido por “</w:t>
      </w:r>
      <w:proofErr w:type="spellStart"/>
      <w:r w:rsidR="008471A0" w:rsidRPr="004A0616">
        <w:rPr>
          <w:rFonts w:ascii="Times New Roman" w:hAnsi="Times New Roman" w:cs="Times New Roman"/>
        </w:rPr>
        <w:t>Shingeki</w:t>
      </w:r>
      <w:proofErr w:type="spellEnd"/>
      <w:r w:rsidR="008471A0" w:rsidRPr="004A0616">
        <w:rPr>
          <w:rFonts w:ascii="Times New Roman" w:hAnsi="Times New Roman" w:cs="Times New Roman"/>
        </w:rPr>
        <w:t xml:space="preserve"> no </w:t>
      </w:r>
      <w:proofErr w:type="spellStart"/>
      <w:r w:rsidR="008471A0" w:rsidRPr="004A0616">
        <w:rPr>
          <w:rFonts w:ascii="Times New Roman" w:hAnsi="Times New Roman" w:cs="Times New Roman"/>
        </w:rPr>
        <w:t>kiojin</w:t>
      </w:r>
      <w:proofErr w:type="spellEnd"/>
      <w:r w:rsidR="008471A0" w:rsidRPr="004A0616">
        <w:rPr>
          <w:rFonts w:ascii="Times New Roman" w:hAnsi="Times New Roman" w:cs="Times New Roman"/>
        </w:rPr>
        <w:t xml:space="preserve">” con 9,17 puntos. </w:t>
      </w:r>
    </w:p>
    <w:p w:rsidR="00CC1BF3" w:rsidRPr="004A0616" w:rsidRDefault="008471A0" w:rsidP="004A0616">
      <w:pPr>
        <w:ind w:firstLine="284"/>
        <w:jc w:val="both"/>
        <w:rPr>
          <w:rFonts w:ascii="Times New Roman" w:hAnsi="Times New Roman" w:cs="Times New Roman"/>
        </w:rPr>
      </w:pPr>
      <w:r w:rsidRPr="004A0616">
        <w:rPr>
          <w:rFonts w:ascii="Times New Roman" w:hAnsi="Times New Roman" w:cs="Times New Roman"/>
        </w:rPr>
        <w:t>Esto nos lleva a pensar que un poco más de la mitad de los productos salidos al mercado, fueron aceptados más que satisfactoriamente por el mercado.</w:t>
      </w:r>
    </w:p>
    <w:p w:rsidR="008E33EF" w:rsidRPr="004A0616" w:rsidRDefault="00143E98" w:rsidP="00360A14">
      <w:pPr>
        <w:ind w:firstLine="284"/>
        <w:jc w:val="center"/>
        <w:rPr>
          <w:rFonts w:ascii="Times New Roman" w:hAnsi="Times New Roman" w:cs="Times New Roman"/>
        </w:rPr>
      </w:pPr>
      <w:r w:rsidRPr="004A0616">
        <w:rPr>
          <w:rFonts w:ascii="Times New Roman" w:hAnsi="Times New Roman" w:cs="Times New Roman"/>
          <w:noProof/>
          <w:lang w:eastAsia="es-AR"/>
        </w:rPr>
        <w:drawing>
          <wp:inline distT="0" distB="0" distL="0" distR="0" wp14:anchorId="582B30DB" wp14:editId="06D207DE">
            <wp:extent cx="3619500" cy="1152707"/>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5530" cy="1170551"/>
                    </a:xfrm>
                    <a:prstGeom prst="rect">
                      <a:avLst/>
                    </a:prstGeom>
                  </pic:spPr>
                </pic:pic>
              </a:graphicData>
            </a:graphic>
          </wp:inline>
        </w:drawing>
      </w:r>
    </w:p>
    <w:p w:rsidR="000B5104" w:rsidRPr="004A0616" w:rsidRDefault="000B5104" w:rsidP="004A0616">
      <w:pPr>
        <w:ind w:firstLine="284"/>
        <w:jc w:val="both"/>
        <w:rPr>
          <w:rFonts w:ascii="Times New Roman" w:hAnsi="Times New Roman" w:cs="Times New Roman"/>
        </w:rPr>
      </w:pPr>
      <w:r w:rsidRPr="004A0616">
        <w:rPr>
          <w:rFonts w:ascii="Times New Roman" w:hAnsi="Times New Roman" w:cs="Times New Roman"/>
        </w:rPr>
        <w:t xml:space="preserve">A continuación, y ya para ir cerrando esta serie de análisis, </w:t>
      </w:r>
      <w:r w:rsidR="008A4EB8">
        <w:rPr>
          <w:rFonts w:ascii="Times New Roman" w:hAnsi="Times New Roman" w:cs="Times New Roman"/>
        </w:rPr>
        <w:t xml:space="preserve">tenemos un gráfico box and </w:t>
      </w:r>
      <w:proofErr w:type="spellStart"/>
      <w:r w:rsidR="008A4EB8">
        <w:rPr>
          <w:rFonts w:ascii="Times New Roman" w:hAnsi="Times New Roman" w:cs="Times New Roman"/>
        </w:rPr>
        <w:t>whisk</w:t>
      </w:r>
      <w:bookmarkStart w:id="0" w:name="_GoBack"/>
      <w:bookmarkEnd w:id="0"/>
      <w:r w:rsidRPr="004A0616">
        <w:rPr>
          <w:rFonts w:ascii="Times New Roman" w:hAnsi="Times New Roman" w:cs="Times New Roman"/>
        </w:rPr>
        <w:t>er</w:t>
      </w:r>
      <w:proofErr w:type="spellEnd"/>
      <w:r w:rsidRPr="004A0616">
        <w:rPr>
          <w:rFonts w:ascii="Times New Roman" w:hAnsi="Times New Roman" w:cs="Times New Roman"/>
        </w:rPr>
        <w:t xml:space="preserve">, que nos muestra como es la desviación típica de cada uno de los tipos de anime (tv, </w:t>
      </w:r>
      <w:proofErr w:type="spellStart"/>
      <w:r w:rsidR="00105734" w:rsidRPr="004A0616">
        <w:rPr>
          <w:rFonts w:ascii="Times New Roman" w:hAnsi="Times New Roman" w:cs="Times New Roman"/>
        </w:rPr>
        <w:t>special</w:t>
      </w:r>
      <w:proofErr w:type="spellEnd"/>
      <w:r w:rsidRPr="004A0616">
        <w:rPr>
          <w:rFonts w:ascii="Times New Roman" w:hAnsi="Times New Roman" w:cs="Times New Roman"/>
        </w:rPr>
        <w:t xml:space="preserve">, ova, </w:t>
      </w:r>
      <w:proofErr w:type="spellStart"/>
      <w:r w:rsidRPr="004A0616">
        <w:rPr>
          <w:rFonts w:ascii="Times New Roman" w:hAnsi="Times New Roman" w:cs="Times New Roman"/>
        </w:rPr>
        <w:t>etc</w:t>
      </w:r>
      <w:proofErr w:type="spellEnd"/>
      <w:r w:rsidRPr="004A0616">
        <w:rPr>
          <w:rFonts w:ascii="Times New Roman" w:hAnsi="Times New Roman" w:cs="Times New Roman"/>
        </w:rPr>
        <w:t xml:space="preserve">), segmentados a su vez por los cuartiles propios de cada uno de ellos. </w:t>
      </w:r>
    </w:p>
    <w:p w:rsidR="000B5104" w:rsidRPr="004A0616" w:rsidRDefault="000B5104" w:rsidP="004A0616">
      <w:pPr>
        <w:ind w:firstLine="284"/>
        <w:jc w:val="both"/>
        <w:rPr>
          <w:rFonts w:ascii="Times New Roman" w:hAnsi="Times New Roman" w:cs="Times New Roman"/>
        </w:rPr>
      </w:pPr>
      <w:r w:rsidRPr="004A0616">
        <w:rPr>
          <w:rFonts w:ascii="Times New Roman" w:hAnsi="Times New Roman" w:cs="Times New Roman"/>
        </w:rPr>
        <w:t>Del mismo podemos rescatar una serie de características:</w:t>
      </w:r>
    </w:p>
    <w:p w:rsidR="0009563A" w:rsidRPr="004A0616" w:rsidRDefault="000B5104" w:rsidP="004A0616">
      <w:pPr>
        <w:pStyle w:val="Prrafodelista"/>
        <w:numPr>
          <w:ilvl w:val="0"/>
          <w:numId w:val="1"/>
        </w:numPr>
        <w:ind w:left="426" w:firstLine="425"/>
        <w:contextualSpacing w:val="0"/>
        <w:jc w:val="both"/>
        <w:rPr>
          <w:rFonts w:ascii="Times New Roman" w:hAnsi="Times New Roman" w:cs="Times New Roman"/>
        </w:rPr>
      </w:pPr>
      <w:r w:rsidRPr="004A0616">
        <w:rPr>
          <w:rFonts w:ascii="Times New Roman" w:hAnsi="Times New Roman" w:cs="Times New Roman"/>
        </w:rPr>
        <w:t>Aquel que acumula una mayor cantidad de animes en un mismo cuartil son los tipos OVA</w:t>
      </w:r>
      <w:r w:rsidR="0009563A" w:rsidRPr="004A0616">
        <w:rPr>
          <w:rFonts w:ascii="Times New Roman" w:hAnsi="Times New Roman" w:cs="Times New Roman"/>
        </w:rPr>
        <w:t xml:space="preserve">. Con una desviación típica de 0,53 en el cuartil número 4, lidera el podio de aquellos con el tipo de oferta con mayor puntuación negativa. A su vez, la totalidad de animes que posee esta categoría con buena valoración, no lo acompaña. Al </w:t>
      </w:r>
      <w:r w:rsidR="007A78D3" w:rsidRPr="004A0616">
        <w:rPr>
          <w:rFonts w:ascii="Times New Roman" w:hAnsi="Times New Roman" w:cs="Times New Roman"/>
        </w:rPr>
        <w:t>tener</w:t>
      </w:r>
      <w:r w:rsidR="0009563A" w:rsidRPr="004A0616">
        <w:rPr>
          <w:rFonts w:ascii="Times New Roman" w:hAnsi="Times New Roman" w:cs="Times New Roman"/>
        </w:rPr>
        <w:t xml:space="preserve"> una desviación tan elevada de la media, la cantidad de oferta valorada satisfactoriamente </w:t>
      </w:r>
      <w:r w:rsidR="007A78D3" w:rsidRPr="004A0616">
        <w:rPr>
          <w:rFonts w:ascii="Times New Roman" w:hAnsi="Times New Roman" w:cs="Times New Roman"/>
        </w:rPr>
        <w:t xml:space="preserve">es inferior al 42%, lo que nos lleva a pensar </w:t>
      </w:r>
      <w:r w:rsidR="00105734" w:rsidRPr="004A0616">
        <w:rPr>
          <w:rFonts w:ascii="Times New Roman" w:hAnsi="Times New Roman" w:cs="Times New Roman"/>
        </w:rPr>
        <w:t>que,</w:t>
      </w:r>
      <w:r w:rsidR="007A78D3" w:rsidRPr="004A0616">
        <w:rPr>
          <w:rFonts w:ascii="Times New Roman" w:hAnsi="Times New Roman" w:cs="Times New Roman"/>
        </w:rPr>
        <w:t xml:space="preserve"> por norma general, los OVAs no son bien recibidos por el </w:t>
      </w:r>
      <w:r w:rsidR="00105734" w:rsidRPr="004A0616">
        <w:rPr>
          <w:rFonts w:ascii="Times New Roman" w:hAnsi="Times New Roman" w:cs="Times New Roman"/>
        </w:rPr>
        <w:t>público</w:t>
      </w:r>
      <w:r w:rsidR="007A78D3" w:rsidRPr="004A0616">
        <w:rPr>
          <w:rFonts w:ascii="Times New Roman" w:hAnsi="Times New Roman" w:cs="Times New Roman"/>
        </w:rPr>
        <w:t>.</w:t>
      </w:r>
    </w:p>
    <w:p w:rsidR="00105734" w:rsidRPr="004A0616" w:rsidRDefault="007A78D3" w:rsidP="004A0616">
      <w:pPr>
        <w:pStyle w:val="Prrafodelista"/>
        <w:numPr>
          <w:ilvl w:val="0"/>
          <w:numId w:val="1"/>
        </w:numPr>
        <w:ind w:left="426" w:firstLine="567"/>
        <w:contextualSpacing w:val="0"/>
        <w:jc w:val="both"/>
        <w:rPr>
          <w:rFonts w:ascii="Times New Roman" w:hAnsi="Times New Roman" w:cs="Times New Roman"/>
        </w:rPr>
      </w:pPr>
      <w:r w:rsidRPr="004A0616">
        <w:rPr>
          <w:rFonts w:ascii="Times New Roman" w:hAnsi="Times New Roman" w:cs="Times New Roman"/>
        </w:rPr>
        <w:t xml:space="preserve">La categoría mejor parada estadísticamente hablando son los programas de televisión, debido a que posee </w:t>
      </w:r>
      <w:r w:rsidR="00105734" w:rsidRPr="004A0616">
        <w:rPr>
          <w:rFonts w:ascii="Times New Roman" w:hAnsi="Times New Roman" w:cs="Times New Roman"/>
        </w:rPr>
        <w:t>más</w:t>
      </w:r>
      <w:r w:rsidRPr="004A0616">
        <w:rPr>
          <w:rFonts w:ascii="Times New Roman" w:hAnsi="Times New Roman" w:cs="Times New Roman"/>
        </w:rPr>
        <w:t xml:space="preserve"> oferta que cualquiera, y su distribución es un poco </w:t>
      </w:r>
      <w:r w:rsidR="00105734" w:rsidRPr="004A0616">
        <w:rPr>
          <w:rFonts w:ascii="Times New Roman" w:hAnsi="Times New Roman" w:cs="Times New Roman"/>
        </w:rPr>
        <w:t>más</w:t>
      </w:r>
      <w:r w:rsidRPr="004A0616">
        <w:rPr>
          <w:rFonts w:ascii="Times New Roman" w:hAnsi="Times New Roman" w:cs="Times New Roman"/>
        </w:rPr>
        <w:t xml:space="preserve"> equitativa. La desviación de cada uno de sus cuartiles no es tan ele</w:t>
      </w:r>
      <w:r w:rsidR="00105734" w:rsidRPr="004A0616">
        <w:rPr>
          <w:rFonts w:ascii="Times New Roman" w:hAnsi="Times New Roman" w:cs="Times New Roman"/>
        </w:rPr>
        <w:t>vada como en el caso anterior, y el porcentaje de animes valorados satisfactoriamente es mayor que en otros casos.</w:t>
      </w:r>
    </w:p>
    <w:p w:rsidR="00360A14" w:rsidRDefault="00105734" w:rsidP="00360A14">
      <w:pPr>
        <w:pStyle w:val="Prrafodelista"/>
        <w:numPr>
          <w:ilvl w:val="0"/>
          <w:numId w:val="1"/>
        </w:numPr>
        <w:ind w:left="426" w:firstLine="567"/>
        <w:contextualSpacing w:val="0"/>
        <w:jc w:val="both"/>
        <w:rPr>
          <w:rFonts w:ascii="Times New Roman" w:hAnsi="Times New Roman" w:cs="Times New Roman"/>
        </w:rPr>
      </w:pPr>
      <w:r w:rsidRPr="004A0616">
        <w:rPr>
          <w:rFonts w:ascii="Times New Roman" w:hAnsi="Times New Roman" w:cs="Times New Roman"/>
        </w:rPr>
        <w:t xml:space="preserve">Si hablamos del peor tipo de categoría anime, esa sería la de música, debido a que posee una menor cantidad de productos emitidos, y en su gran mayoría (78,6% perteneciente al cuartil 4), los mismos no fueron bien valorados por los usuarios de la plataforma. </w:t>
      </w:r>
    </w:p>
    <w:p w:rsidR="00360A14" w:rsidRPr="00360A14" w:rsidRDefault="00360A14" w:rsidP="00360A14">
      <w:pPr>
        <w:jc w:val="both"/>
        <w:rPr>
          <w:rFonts w:ascii="Times New Roman" w:hAnsi="Times New Roman" w:cs="Times New Roman"/>
        </w:rPr>
      </w:pPr>
    </w:p>
    <w:p w:rsidR="003B5FC8" w:rsidRPr="004A0616" w:rsidRDefault="00CC1BF3" w:rsidP="00360A14">
      <w:pPr>
        <w:ind w:firstLine="284"/>
        <w:jc w:val="center"/>
        <w:rPr>
          <w:rFonts w:ascii="Times New Roman" w:hAnsi="Times New Roman" w:cs="Times New Roman"/>
        </w:rPr>
      </w:pPr>
      <w:r w:rsidRPr="004A0616">
        <w:rPr>
          <w:rFonts w:ascii="Times New Roman" w:hAnsi="Times New Roman" w:cs="Times New Roman"/>
          <w:noProof/>
          <w:lang w:eastAsia="es-AR"/>
        </w:rPr>
        <w:drawing>
          <wp:inline distT="0" distB="0" distL="0" distR="0" wp14:anchorId="02B45C4B" wp14:editId="2B64DD6D">
            <wp:extent cx="4779645" cy="2683210"/>
            <wp:effectExtent l="0" t="0" r="1905"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9563" cy="2728075"/>
                    </a:xfrm>
                    <a:prstGeom prst="rect">
                      <a:avLst/>
                    </a:prstGeom>
                  </pic:spPr>
                </pic:pic>
              </a:graphicData>
            </a:graphic>
          </wp:inline>
        </w:drawing>
      </w:r>
    </w:p>
    <w:p w:rsidR="00105734" w:rsidRPr="004A0616" w:rsidRDefault="00105734" w:rsidP="004A0616">
      <w:pPr>
        <w:ind w:firstLine="284"/>
        <w:jc w:val="both"/>
        <w:rPr>
          <w:rFonts w:ascii="Times New Roman" w:hAnsi="Times New Roman" w:cs="Times New Roman"/>
        </w:rPr>
      </w:pPr>
      <w:r w:rsidRPr="004A0616">
        <w:rPr>
          <w:rFonts w:ascii="Times New Roman" w:hAnsi="Times New Roman" w:cs="Times New Roman"/>
        </w:rPr>
        <w:lastRenderedPageBreak/>
        <w:t xml:space="preserve">A modo de conclusión, podemos decir que la industria del anime japonés </w:t>
      </w:r>
      <w:r w:rsidR="004A0616" w:rsidRPr="004A0616">
        <w:rPr>
          <w:rFonts w:ascii="Times New Roman" w:hAnsi="Times New Roman" w:cs="Times New Roman"/>
        </w:rPr>
        <w:t>está</w:t>
      </w:r>
      <w:r w:rsidRPr="004A0616">
        <w:rPr>
          <w:rFonts w:ascii="Times New Roman" w:hAnsi="Times New Roman" w:cs="Times New Roman"/>
        </w:rPr>
        <w:t xml:space="preserve"> en su auge. Cada vez </w:t>
      </w:r>
      <w:r w:rsidR="004A0616" w:rsidRPr="004A0616">
        <w:rPr>
          <w:rFonts w:ascii="Times New Roman" w:hAnsi="Times New Roman" w:cs="Times New Roman"/>
        </w:rPr>
        <w:t>más</w:t>
      </w:r>
      <w:r w:rsidRPr="004A0616">
        <w:rPr>
          <w:rFonts w:ascii="Times New Roman" w:hAnsi="Times New Roman" w:cs="Times New Roman"/>
        </w:rPr>
        <w:t xml:space="preserve"> personas de todo el mundo se ven atraídas por este </w:t>
      </w:r>
      <w:r w:rsidR="004A0616" w:rsidRPr="004A0616">
        <w:rPr>
          <w:rFonts w:ascii="Times New Roman" w:hAnsi="Times New Roman" w:cs="Times New Roman"/>
        </w:rPr>
        <w:t>género</w:t>
      </w:r>
      <w:r w:rsidRPr="004A0616">
        <w:rPr>
          <w:rFonts w:ascii="Times New Roman" w:hAnsi="Times New Roman" w:cs="Times New Roman"/>
        </w:rPr>
        <w:t>, generando fanáticos a nivel mundial</w:t>
      </w:r>
      <w:r w:rsidR="004A0616" w:rsidRPr="004A0616">
        <w:rPr>
          <w:rFonts w:ascii="Times New Roman" w:hAnsi="Times New Roman" w:cs="Times New Roman"/>
        </w:rPr>
        <w:t xml:space="preserve"> y una nueva cultura o tendencia popular.</w:t>
      </w:r>
    </w:p>
    <w:p w:rsidR="004A0616" w:rsidRPr="004A0616" w:rsidRDefault="004A0616" w:rsidP="004A0616">
      <w:pPr>
        <w:ind w:firstLine="284"/>
        <w:jc w:val="both"/>
        <w:rPr>
          <w:rFonts w:ascii="Times New Roman" w:hAnsi="Times New Roman" w:cs="Times New Roman"/>
        </w:rPr>
      </w:pPr>
      <w:r w:rsidRPr="004A0616">
        <w:rPr>
          <w:rFonts w:ascii="Times New Roman" w:hAnsi="Times New Roman" w:cs="Times New Roman"/>
        </w:rPr>
        <w:t>Cada vez más, las plataformas de streaming, se ven atraídas a mostrar este tipo de contenido y la industria se ve forzada a tratar de cumplir con la demanda y las expectativas que muchas veces se espera de este tipo de productos. Solo para demostrar la importancia que genera el anime a nivel económico, en el año 2021 este mercado estuvo valorado en 24.8 miles de millones de dólares y se espera que en el futuro siga en aumento.</w:t>
      </w:r>
    </w:p>
    <w:sectPr w:rsidR="004A0616" w:rsidRPr="004A0616" w:rsidSect="00360A14">
      <w:footerReference w:type="default" r:id="rId13"/>
      <w:pgSz w:w="11906" w:h="16838"/>
      <w:pgMar w:top="1417" w:right="1701" w:bottom="1417" w:left="1701" w:header="708" w:footer="11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6E80" w:rsidRDefault="009C6E80" w:rsidP="00360A14">
      <w:pPr>
        <w:spacing w:after="0" w:line="240" w:lineRule="auto"/>
      </w:pPr>
      <w:r>
        <w:separator/>
      </w:r>
    </w:p>
  </w:endnote>
  <w:endnote w:type="continuationSeparator" w:id="0">
    <w:p w:rsidR="009C6E80" w:rsidRDefault="009C6E80" w:rsidP="0036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012" w:type="pct"/>
      <w:jc w:val="center"/>
      <w:tblCellMar>
        <w:top w:w="144" w:type="dxa"/>
        <w:left w:w="115" w:type="dxa"/>
        <w:bottom w:w="144" w:type="dxa"/>
        <w:right w:w="115" w:type="dxa"/>
      </w:tblCellMar>
      <w:tblLook w:val="04A0" w:firstRow="1" w:lastRow="0" w:firstColumn="1" w:lastColumn="0" w:noHBand="0" w:noVBand="1"/>
    </w:tblPr>
    <w:tblGrid>
      <w:gridCol w:w="5159"/>
      <w:gridCol w:w="5066"/>
    </w:tblGrid>
    <w:tr w:rsidR="00360A14" w:rsidTr="00360A14">
      <w:trPr>
        <w:trHeight w:hRule="exact" w:val="100"/>
        <w:jc w:val="center"/>
      </w:trPr>
      <w:tc>
        <w:tcPr>
          <w:tcW w:w="5159" w:type="dxa"/>
          <w:shd w:val="clear" w:color="auto" w:fill="5B9BD5" w:themeFill="accent1"/>
          <w:tcMar>
            <w:top w:w="0" w:type="dxa"/>
            <w:bottom w:w="0" w:type="dxa"/>
          </w:tcMar>
        </w:tcPr>
        <w:p w:rsidR="00360A14" w:rsidRDefault="00360A14">
          <w:pPr>
            <w:pStyle w:val="Encabezado"/>
            <w:rPr>
              <w:caps/>
              <w:sz w:val="18"/>
            </w:rPr>
          </w:pPr>
        </w:p>
      </w:tc>
      <w:tc>
        <w:tcPr>
          <w:tcW w:w="5067" w:type="dxa"/>
          <w:shd w:val="clear" w:color="auto" w:fill="5B9BD5" w:themeFill="accent1"/>
          <w:tcMar>
            <w:top w:w="0" w:type="dxa"/>
            <w:bottom w:w="0" w:type="dxa"/>
          </w:tcMar>
        </w:tcPr>
        <w:p w:rsidR="00360A14" w:rsidRDefault="00360A14">
          <w:pPr>
            <w:pStyle w:val="Encabezado"/>
            <w:jc w:val="right"/>
            <w:rPr>
              <w:caps/>
              <w:sz w:val="18"/>
            </w:rPr>
          </w:pPr>
        </w:p>
      </w:tc>
    </w:tr>
    <w:tr w:rsidR="00360A14" w:rsidTr="00360A14">
      <w:trPr>
        <w:trHeight w:val="184"/>
        <w:jc w:val="center"/>
      </w:trPr>
      <w:sdt>
        <w:sdtPr>
          <w:rPr>
            <w:caps/>
            <w:color w:val="808080" w:themeColor="background1" w:themeShade="80"/>
            <w:sz w:val="18"/>
            <w:szCs w:val="18"/>
          </w:rPr>
          <w:alias w:val="Autor"/>
          <w:tag w:val=""/>
          <w:id w:val="1534151868"/>
          <w:placeholder>
            <w:docPart w:val="73ADFFD0A0514CCAB2E78A4FCD79D286"/>
          </w:placeholder>
          <w:dataBinding w:prefixMappings="xmlns:ns0='http://purl.org/dc/elements/1.1/' xmlns:ns1='http://schemas.openxmlformats.org/package/2006/metadata/core-properties' " w:xpath="/ns1:coreProperties[1]/ns0:creator[1]" w:storeItemID="{6C3C8BC8-F283-45AE-878A-BAB7291924A1}"/>
          <w:text/>
        </w:sdtPr>
        <w:sdtEndPr/>
        <w:sdtContent>
          <w:tc>
            <w:tcPr>
              <w:tcW w:w="5159" w:type="dxa"/>
              <w:shd w:val="clear" w:color="auto" w:fill="auto"/>
              <w:vAlign w:val="center"/>
            </w:tcPr>
            <w:p w:rsidR="00360A14" w:rsidRDefault="00360A14">
              <w:pPr>
                <w:pStyle w:val="Piedepgina"/>
                <w:rPr>
                  <w:caps/>
                  <w:color w:val="808080" w:themeColor="background1" w:themeShade="80"/>
                  <w:sz w:val="18"/>
                  <w:szCs w:val="18"/>
                </w:rPr>
              </w:pPr>
              <w:r>
                <w:rPr>
                  <w:caps/>
                  <w:color w:val="808080" w:themeColor="background1" w:themeShade="80"/>
                  <w:sz w:val="18"/>
                  <w:szCs w:val="18"/>
                </w:rPr>
                <w:t>Lautaro De la Fuente</w:t>
              </w:r>
            </w:p>
          </w:tc>
        </w:sdtContent>
      </w:sdt>
      <w:tc>
        <w:tcPr>
          <w:tcW w:w="5067" w:type="dxa"/>
          <w:shd w:val="clear" w:color="auto" w:fill="auto"/>
          <w:vAlign w:val="center"/>
        </w:tcPr>
        <w:p w:rsidR="00360A14" w:rsidRDefault="00360A14">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8A4EB8" w:rsidRPr="008A4EB8">
            <w:rPr>
              <w:caps/>
              <w:noProof/>
              <w:color w:val="808080" w:themeColor="background1" w:themeShade="80"/>
              <w:sz w:val="18"/>
              <w:szCs w:val="18"/>
              <w:lang w:val="es-ES"/>
            </w:rPr>
            <w:t>4</w:t>
          </w:r>
          <w:r>
            <w:rPr>
              <w:caps/>
              <w:color w:val="808080" w:themeColor="background1" w:themeShade="80"/>
              <w:sz w:val="18"/>
              <w:szCs w:val="18"/>
            </w:rPr>
            <w:fldChar w:fldCharType="end"/>
          </w:r>
        </w:p>
      </w:tc>
    </w:tr>
  </w:tbl>
  <w:p w:rsidR="00360A14" w:rsidRDefault="00360A1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6E80" w:rsidRDefault="009C6E80" w:rsidP="00360A14">
      <w:pPr>
        <w:spacing w:after="0" w:line="240" w:lineRule="auto"/>
      </w:pPr>
      <w:r>
        <w:separator/>
      </w:r>
    </w:p>
  </w:footnote>
  <w:footnote w:type="continuationSeparator" w:id="0">
    <w:p w:rsidR="009C6E80" w:rsidRDefault="009C6E80" w:rsidP="00360A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DE6F53"/>
    <w:multiLevelType w:val="hybridMultilevel"/>
    <w:tmpl w:val="FFD642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F6F"/>
    <w:rsid w:val="0003207B"/>
    <w:rsid w:val="0009563A"/>
    <w:rsid w:val="000B5104"/>
    <w:rsid w:val="000D4356"/>
    <w:rsid w:val="00105734"/>
    <w:rsid w:val="00125802"/>
    <w:rsid w:val="00143E98"/>
    <w:rsid w:val="001541FE"/>
    <w:rsid w:val="00175C61"/>
    <w:rsid w:val="001B6306"/>
    <w:rsid w:val="002437A9"/>
    <w:rsid w:val="00287C6E"/>
    <w:rsid w:val="003119E7"/>
    <w:rsid w:val="0031294A"/>
    <w:rsid w:val="00360A14"/>
    <w:rsid w:val="003B5FC8"/>
    <w:rsid w:val="00486EF8"/>
    <w:rsid w:val="004A0616"/>
    <w:rsid w:val="004D4F6F"/>
    <w:rsid w:val="004F3C66"/>
    <w:rsid w:val="00517CAE"/>
    <w:rsid w:val="005C4434"/>
    <w:rsid w:val="00646C12"/>
    <w:rsid w:val="007A78D3"/>
    <w:rsid w:val="0080082F"/>
    <w:rsid w:val="008471A0"/>
    <w:rsid w:val="008A4EB8"/>
    <w:rsid w:val="008E33EF"/>
    <w:rsid w:val="009C6E80"/>
    <w:rsid w:val="00A2669A"/>
    <w:rsid w:val="00CA27F3"/>
    <w:rsid w:val="00CB0E1F"/>
    <w:rsid w:val="00CC1BF3"/>
    <w:rsid w:val="00D40CB2"/>
    <w:rsid w:val="00DC6455"/>
    <w:rsid w:val="00EE7927"/>
    <w:rsid w:val="00EF04C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6F8061"/>
  <w15:chartTrackingRefBased/>
  <w15:docId w15:val="{FE1BBC51-6DBC-4032-AC80-9289983DC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87C6E"/>
    <w:rPr>
      <w:color w:val="0563C1" w:themeColor="hyperlink"/>
      <w:u w:val="single"/>
    </w:rPr>
  </w:style>
  <w:style w:type="paragraph" w:styleId="Prrafodelista">
    <w:name w:val="List Paragraph"/>
    <w:basedOn w:val="Normal"/>
    <w:uiPriority w:val="34"/>
    <w:qFormat/>
    <w:rsid w:val="00105734"/>
    <w:pPr>
      <w:ind w:left="720"/>
      <w:contextualSpacing/>
    </w:pPr>
  </w:style>
  <w:style w:type="paragraph" w:styleId="Encabezado">
    <w:name w:val="header"/>
    <w:basedOn w:val="Normal"/>
    <w:link w:val="EncabezadoCar"/>
    <w:uiPriority w:val="99"/>
    <w:unhideWhenUsed/>
    <w:rsid w:val="00360A1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60A14"/>
  </w:style>
  <w:style w:type="paragraph" w:styleId="Piedepgina">
    <w:name w:val="footer"/>
    <w:basedOn w:val="Normal"/>
    <w:link w:val="PiedepginaCar"/>
    <w:uiPriority w:val="99"/>
    <w:unhideWhenUsed/>
    <w:rsid w:val="00360A1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60A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Lautaro.delafuente@bue.edu.ar"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3ADFFD0A0514CCAB2E78A4FCD79D286"/>
        <w:category>
          <w:name w:val="General"/>
          <w:gallery w:val="placeholder"/>
        </w:category>
        <w:types>
          <w:type w:val="bbPlcHdr"/>
        </w:types>
        <w:behaviors>
          <w:behavior w:val="content"/>
        </w:behaviors>
        <w:guid w:val="{8528BD65-3418-4189-90E7-895DE3DF6C7B}"/>
      </w:docPartPr>
      <w:docPartBody>
        <w:p w:rsidR="00C85BA9" w:rsidRDefault="00EA0606" w:rsidP="00EA0606">
          <w:pPr>
            <w:pStyle w:val="73ADFFD0A0514CCAB2E78A4FCD79D286"/>
          </w:pPr>
          <w:r>
            <w:rPr>
              <w:rStyle w:val="Textodemarcadordeposicin"/>
              <w:lang w:val="es-ES"/>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606"/>
    <w:rsid w:val="00865491"/>
    <w:rsid w:val="00882CF2"/>
    <w:rsid w:val="00C85BA9"/>
    <w:rsid w:val="00EA06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EA0606"/>
    <w:rPr>
      <w:color w:val="808080"/>
    </w:rPr>
  </w:style>
  <w:style w:type="paragraph" w:customStyle="1" w:styleId="73ADFFD0A0514CCAB2E78A4FCD79D286">
    <w:name w:val="73ADFFD0A0514CCAB2E78A4FCD79D286"/>
    <w:rsid w:val="00EA06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TotalTime>
  <Pages>1</Pages>
  <Words>944</Words>
  <Characters>5196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Lautaro De la Fuente</dc:creator>
  <cp:keywords/>
  <dc:description/>
  <cp:lastModifiedBy>Lautaro De la Fuente</cp:lastModifiedBy>
  <cp:revision>4</cp:revision>
  <dcterms:created xsi:type="dcterms:W3CDTF">2022-08-27T01:12:00Z</dcterms:created>
  <dcterms:modified xsi:type="dcterms:W3CDTF">2022-08-27T23:22:00Z</dcterms:modified>
</cp:coreProperties>
</file>