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AB18E" w14:textId="4BE87C91" w:rsidR="00EC3940" w:rsidRPr="00A11E71" w:rsidRDefault="00EC3940" w:rsidP="00EC3940">
      <w:pPr>
        <w:jc w:val="center"/>
        <w:rPr>
          <w:rFonts w:ascii="Cambria" w:hAnsi="Cambria"/>
          <w:b/>
          <w:bCs/>
          <w:sz w:val="28"/>
          <w:szCs w:val="28"/>
          <w:u w:val="single"/>
        </w:rPr>
      </w:pPr>
      <w:r w:rsidRPr="00EC3940">
        <w:rPr>
          <w:rFonts w:ascii="Cambria" w:hAnsi="Cambria"/>
          <w:b/>
          <w:bCs/>
          <w:sz w:val="28"/>
          <w:szCs w:val="28"/>
          <w:u w:val="single"/>
        </w:rPr>
        <w:t>Financial Health Assessment</w:t>
      </w:r>
      <w:r w:rsidRPr="00A11E71">
        <w:rPr>
          <w:rFonts w:ascii="Cambria" w:hAnsi="Cambria"/>
          <w:b/>
          <w:bCs/>
          <w:sz w:val="28"/>
          <w:szCs w:val="28"/>
          <w:u w:val="single"/>
        </w:rPr>
        <w:t xml:space="preserve"> of NVIDIA</w:t>
      </w:r>
    </w:p>
    <w:p w14:paraId="5976274E" w14:textId="46D6866A" w:rsidR="00EC3940" w:rsidRPr="00EC3940" w:rsidRDefault="00EC3940" w:rsidP="00EC3940">
      <w:pPr>
        <w:jc w:val="center"/>
        <w:rPr>
          <w:rFonts w:ascii="Cambria" w:hAnsi="Cambria"/>
          <w:b/>
          <w:bCs/>
          <w:sz w:val="28"/>
          <w:szCs w:val="28"/>
          <w:u w:val="single"/>
        </w:rPr>
      </w:pPr>
      <w:r w:rsidRPr="00EC3940">
        <w:rPr>
          <w:rFonts w:ascii="Cambria" w:hAnsi="Cambria"/>
          <w:b/>
          <w:bCs/>
          <w:sz w:val="28"/>
          <w:szCs w:val="28"/>
          <w:u w:val="single"/>
        </w:rPr>
        <w:t>A Comprehensive Ratio Analysis for Investment Decision Making, Jan</w:t>
      </w:r>
      <w:r w:rsidR="00FA345D">
        <w:rPr>
          <w:rFonts w:ascii="Cambria" w:hAnsi="Cambria"/>
          <w:b/>
          <w:bCs/>
          <w:sz w:val="28"/>
          <w:szCs w:val="28"/>
          <w:u w:val="single"/>
        </w:rPr>
        <w:t xml:space="preserve"> </w:t>
      </w:r>
      <w:r w:rsidRPr="00EC3940">
        <w:rPr>
          <w:rFonts w:ascii="Cambria" w:hAnsi="Cambria"/>
          <w:b/>
          <w:bCs/>
          <w:sz w:val="28"/>
          <w:szCs w:val="28"/>
          <w:u w:val="single"/>
        </w:rPr>
        <w:t>23</w:t>
      </w:r>
    </w:p>
    <w:p w14:paraId="4F9FE9DF" w14:textId="56A3FE49" w:rsidR="001B1BBB" w:rsidRDefault="001B1BBB" w:rsidP="00EC3940">
      <w:pPr>
        <w:rPr>
          <w:rFonts w:ascii="Cambria" w:hAnsi="Cambria"/>
          <w:sz w:val="28"/>
          <w:szCs w:val="28"/>
        </w:rPr>
      </w:pPr>
    </w:p>
    <w:p w14:paraId="30629A6E" w14:textId="5AA23535" w:rsidR="00FA345D" w:rsidRDefault="00307B8C" w:rsidP="00307B8C">
      <w:pPr>
        <w:rPr>
          <w:rFonts w:ascii="Cambria" w:hAnsi="Cambria"/>
          <w:sz w:val="28"/>
          <w:szCs w:val="28"/>
        </w:rPr>
      </w:pPr>
      <w:r>
        <w:rPr>
          <w:rFonts w:ascii="Cambria" w:hAnsi="Cambria"/>
          <w:sz w:val="28"/>
          <w:szCs w:val="28"/>
        </w:rPr>
        <w:tab/>
      </w:r>
      <w:r w:rsidR="00943160" w:rsidRPr="00943160">
        <w:rPr>
          <w:rFonts w:ascii="Cambria" w:hAnsi="Cambria"/>
          <w:sz w:val="28"/>
          <w:szCs w:val="28"/>
        </w:rPr>
        <w:t xml:space="preserve">This report contains a comprehensive ratio analysis of NVIDIA, a leading player in the global technology sector, as of January 2023. The objective of the analysis is to examine the company's financial health and operational efficiency </w:t>
      </w:r>
      <w:r w:rsidR="008B68F9" w:rsidRPr="00943160">
        <w:rPr>
          <w:rFonts w:ascii="Cambria" w:hAnsi="Cambria"/>
          <w:sz w:val="28"/>
          <w:szCs w:val="28"/>
        </w:rPr>
        <w:t>to</w:t>
      </w:r>
      <w:r w:rsidR="00943160" w:rsidRPr="00943160">
        <w:rPr>
          <w:rFonts w:ascii="Cambria" w:hAnsi="Cambria"/>
          <w:sz w:val="28"/>
          <w:szCs w:val="28"/>
        </w:rPr>
        <w:t xml:space="preserve"> facilitate an informed investment decision. The analysis has been organized into five key areas: liquidity ratios, asset management ratios, debt management ratios, profitability ratios, and market value ratios. Each area provides specific insights into different aspects of NVIDIA's operations and financial performance. These insights span the company's ability to meet short-term obligations, its efficiency in utilizing assets, levels of indebtedness, profitability, and how the company is valued in the market. Based on these data points, an investment decision regarding a potential $5,000 investment in NVIDIA's stocks can be made.</w:t>
      </w:r>
    </w:p>
    <w:p w14:paraId="198C995A" w14:textId="77777777" w:rsidR="00307B8C" w:rsidRDefault="00307B8C" w:rsidP="00307B8C">
      <w:pPr>
        <w:rPr>
          <w:rFonts w:ascii="Cambria" w:hAnsi="Cambria"/>
          <w:sz w:val="28"/>
          <w:szCs w:val="28"/>
        </w:rPr>
      </w:pPr>
    </w:p>
    <w:p w14:paraId="5B1534F6" w14:textId="77777777" w:rsidR="00307B8C" w:rsidRPr="00307B8C" w:rsidRDefault="00307B8C" w:rsidP="00307B8C">
      <w:pPr>
        <w:rPr>
          <w:rFonts w:ascii="Cambria" w:hAnsi="Cambria"/>
          <w:sz w:val="28"/>
          <w:szCs w:val="28"/>
        </w:rPr>
      </w:pPr>
      <w:r w:rsidRPr="00307B8C">
        <w:rPr>
          <w:rFonts w:ascii="Cambria" w:hAnsi="Cambria"/>
          <w:b/>
          <w:bCs/>
          <w:sz w:val="28"/>
          <w:szCs w:val="28"/>
        </w:rPr>
        <w:t>1. Strong Liquidity:</w:t>
      </w:r>
    </w:p>
    <w:p w14:paraId="579D9DD4" w14:textId="4B8BEB53" w:rsidR="00307B8C" w:rsidRPr="00307B8C" w:rsidRDefault="00307B8C" w:rsidP="00307B8C">
      <w:pPr>
        <w:rPr>
          <w:rFonts w:ascii="Cambria" w:hAnsi="Cambria"/>
          <w:sz w:val="28"/>
          <w:szCs w:val="28"/>
        </w:rPr>
      </w:pPr>
      <w:r>
        <w:rPr>
          <w:rFonts w:ascii="Cambria" w:hAnsi="Cambria"/>
          <w:sz w:val="28"/>
          <w:szCs w:val="28"/>
        </w:rPr>
        <w:tab/>
      </w:r>
      <w:r w:rsidRPr="00307B8C">
        <w:rPr>
          <w:rFonts w:ascii="Cambria" w:hAnsi="Cambria"/>
          <w:sz w:val="28"/>
          <w:szCs w:val="28"/>
        </w:rPr>
        <w:t>NVIDIA exhibits excellent liquidity position. The Current Ratio and Quick Ratio stand at 3.52 and 2.73 respectively, suggesting that NVIDIA is more than capable of covering its short-term liabilities. The higher Cash Ratio (2.03) is particularly promising as it means that even if the company had to liquidate immediately, it could cover over double its short-term liabilities with cash and cash equivalents alone.</w:t>
      </w:r>
    </w:p>
    <w:p w14:paraId="5B718ABF" w14:textId="77777777" w:rsidR="00307B8C" w:rsidRDefault="00307B8C" w:rsidP="00307B8C">
      <w:pPr>
        <w:rPr>
          <w:rFonts w:ascii="Cambria" w:hAnsi="Cambria"/>
          <w:sz w:val="28"/>
          <w:szCs w:val="28"/>
        </w:rPr>
      </w:pPr>
    </w:p>
    <w:p w14:paraId="53C6E0D0" w14:textId="77777777" w:rsidR="00307B8C" w:rsidRPr="00307B8C" w:rsidRDefault="00307B8C" w:rsidP="00307B8C">
      <w:pPr>
        <w:rPr>
          <w:rFonts w:ascii="Cambria" w:hAnsi="Cambria"/>
          <w:sz w:val="28"/>
          <w:szCs w:val="28"/>
        </w:rPr>
      </w:pPr>
      <w:r w:rsidRPr="00307B8C">
        <w:rPr>
          <w:rFonts w:ascii="Cambria" w:hAnsi="Cambria"/>
          <w:b/>
          <w:bCs/>
          <w:sz w:val="28"/>
          <w:szCs w:val="28"/>
        </w:rPr>
        <w:t>2. Solid Profitability:</w:t>
      </w:r>
    </w:p>
    <w:p w14:paraId="0FAB5C57" w14:textId="51CFB1FB" w:rsidR="00307B8C" w:rsidRPr="00307B8C" w:rsidRDefault="00307B8C" w:rsidP="00307B8C">
      <w:pPr>
        <w:rPr>
          <w:rFonts w:ascii="Cambria" w:hAnsi="Cambria"/>
          <w:sz w:val="28"/>
          <w:szCs w:val="28"/>
        </w:rPr>
      </w:pPr>
      <w:r>
        <w:rPr>
          <w:rFonts w:ascii="Cambria" w:hAnsi="Cambria"/>
          <w:sz w:val="28"/>
          <w:szCs w:val="28"/>
        </w:rPr>
        <w:tab/>
      </w:r>
      <w:r w:rsidRPr="00307B8C">
        <w:rPr>
          <w:rFonts w:ascii="Cambria" w:hAnsi="Cambria"/>
          <w:sz w:val="28"/>
          <w:szCs w:val="28"/>
        </w:rPr>
        <w:t>The profitability ratios suggest that NVIDIA is operating efficiently and effectively. The Gross Profit Margin is quite high at 56.93%, indicating that NVIDIA can convert a significant portion of its revenue into gross profit. The Operating Profit Margin and Profit Margin are also respectable, indicating good cost control and suggesting that a substantial portion of revenues makes it down to the net income.</w:t>
      </w:r>
    </w:p>
    <w:p w14:paraId="3C0221BD" w14:textId="27EBDA6E" w:rsidR="00307B8C" w:rsidRPr="00307B8C" w:rsidRDefault="00307B8C" w:rsidP="00307B8C">
      <w:pPr>
        <w:rPr>
          <w:rFonts w:ascii="Cambria" w:hAnsi="Cambria"/>
          <w:sz w:val="28"/>
          <w:szCs w:val="28"/>
        </w:rPr>
      </w:pPr>
      <w:r>
        <w:rPr>
          <w:rFonts w:ascii="Cambria" w:hAnsi="Cambria"/>
          <w:sz w:val="28"/>
          <w:szCs w:val="28"/>
        </w:rPr>
        <w:tab/>
      </w:r>
      <w:r w:rsidRPr="00307B8C">
        <w:rPr>
          <w:rFonts w:ascii="Cambria" w:hAnsi="Cambria"/>
          <w:sz w:val="28"/>
          <w:szCs w:val="28"/>
        </w:rPr>
        <w:t>The Return on Assets (ROA) of 10.61% shows that NVIDIA is effective in using its assets to generate profits. More impressively, the Return on Equity (ROE) of 19.76% demonstrates that the company is providing a significant return to its shareholders for their investment.</w:t>
      </w:r>
    </w:p>
    <w:p w14:paraId="38D528FA" w14:textId="1E27652F" w:rsidR="00307B8C" w:rsidRPr="00307B8C" w:rsidRDefault="00307B8C" w:rsidP="00307B8C">
      <w:pPr>
        <w:rPr>
          <w:rFonts w:ascii="Cambria" w:hAnsi="Cambria"/>
          <w:sz w:val="28"/>
          <w:szCs w:val="28"/>
        </w:rPr>
      </w:pPr>
      <w:r>
        <w:rPr>
          <w:rFonts w:ascii="Cambria" w:hAnsi="Cambria"/>
          <w:sz w:val="28"/>
          <w:szCs w:val="28"/>
        </w:rPr>
        <w:tab/>
      </w:r>
      <w:r w:rsidRPr="00307B8C">
        <w:rPr>
          <w:rFonts w:ascii="Cambria" w:hAnsi="Cambria"/>
          <w:sz w:val="28"/>
          <w:szCs w:val="28"/>
        </w:rPr>
        <w:t>The Dividend Payout ratio stands at 9.03%. While this is not excessively high, it indicates that NVIDIA is returning a portion of its profits back to its shareholders while still retaining a substantial portion for reinvestment or to cover future expenses.</w:t>
      </w:r>
    </w:p>
    <w:p w14:paraId="401D68A3" w14:textId="77777777" w:rsidR="00307B8C" w:rsidRDefault="00307B8C" w:rsidP="00307B8C">
      <w:pPr>
        <w:rPr>
          <w:rFonts w:ascii="Cambria" w:hAnsi="Cambria"/>
          <w:sz w:val="28"/>
          <w:szCs w:val="28"/>
        </w:rPr>
      </w:pPr>
    </w:p>
    <w:p w14:paraId="68684782" w14:textId="77777777" w:rsidR="00484818" w:rsidRPr="00484818" w:rsidRDefault="00484818" w:rsidP="00484818">
      <w:pPr>
        <w:rPr>
          <w:rFonts w:ascii="Cambria" w:hAnsi="Cambria"/>
          <w:sz w:val="28"/>
          <w:szCs w:val="28"/>
        </w:rPr>
      </w:pPr>
      <w:r w:rsidRPr="00484818">
        <w:rPr>
          <w:rFonts w:ascii="Cambria" w:hAnsi="Cambria"/>
          <w:b/>
          <w:bCs/>
          <w:sz w:val="28"/>
          <w:szCs w:val="28"/>
        </w:rPr>
        <w:t>3. Positive Market Perception:</w:t>
      </w:r>
    </w:p>
    <w:p w14:paraId="038C3520" w14:textId="6DEFA5C3" w:rsidR="00484818" w:rsidRPr="00484818" w:rsidRDefault="00484818" w:rsidP="00484818">
      <w:pPr>
        <w:rPr>
          <w:rFonts w:ascii="Cambria" w:hAnsi="Cambria"/>
          <w:sz w:val="28"/>
          <w:szCs w:val="28"/>
        </w:rPr>
      </w:pPr>
      <w:r>
        <w:rPr>
          <w:rFonts w:ascii="Cambria" w:hAnsi="Cambria"/>
          <w:sz w:val="28"/>
          <w:szCs w:val="28"/>
        </w:rPr>
        <w:tab/>
      </w:r>
      <w:r w:rsidRPr="00484818">
        <w:rPr>
          <w:rFonts w:ascii="Cambria" w:hAnsi="Cambria"/>
          <w:sz w:val="28"/>
          <w:szCs w:val="28"/>
        </w:rPr>
        <w:t>The market-to-book ratio of 21.79 suggests that the market has a positive perception of NVIDIA and expects substantial future earnings, as it is willing to pay much more for the company's shares than the book value of its equity. However, it also indicates a significantly higher valuation which might hint towards overpricing.</w:t>
      </w:r>
    </w:p>
    <w:p w14:paraId="34DEB982" w14:textId="4F6CB2FB" w:rsidR="00484818" w:rsidRDefault="00484818" w:rsidP="00484818">
      <w:pPr>
        <w:rPr>
          <w:rFonts w:ascii="Cambria" w:hAnsi="Cambria"/>
          <w:sz w:val="28"/>
          <w:szCs w:val="28"/>
        </w:rPr>
      </w:pPr>
      <w:r>
        <w:rPr>
          <w:rFonts w:ascii="Cambria" w:hAnsi="Cambria"/>
          <w:sz w:val="28"/>
          <w:szCs w:val="28"/>
        </w:rPr>
        <w:tab/>
      </w:r>
      <w:r w:rsidRPr="00484818">
        <w:rPr>
          <w:rFonts w:ascii="Cambria" w:hAnsi="Cambria"/>
          <w:sz w:val="28"/>
          <w:szCs w:val="28"/>
        </w:rPr>
        <w:t>The P/E Ratio is considerably high at 112.25, showing that investors are willing to pay a premium for the company's earnings, likely because they expect future growth</w:t>
      </w:r>
      <w:r w:rsidR="00AB0729">
        <w:rPr>
          <w:rFonts w:ascii="Cambria" w:hAnsi="Cambria"/>
          <w:sz w:val="28"/>
          <w:szCs w:val="28"/>
        </w:rPr>
        <w:t>.</w:t>
      </w:r>
    </w:p>
    <w:p w14:paraId="6CBC9ADD" w14:textId="77777777" w:rsidR="005D1CB6" w:rsidRDefault="005D1CB6" w:rsidP="00484818">
      <w:pPr>
        <w:rPr>
          <w:rFonts w:ascii="Cambria" w:hAnsi="Cambria"/>
          <w:sz w:val="28"/>
          <w:szCs w:val="28"/>
        </w:rPr>
      </w:pPr>
    </w:p>
    <w:p w14:paraId="737D26C4" w14:textId="3221883E" w:rsidR="00943160" w:rsidRPr="00484818" w:rsidRDefault="00943160" w:rsidP="00943160">
      <w:pPr>
        <w:rPr>
          <w:rFonts w:ascii="Cambria" w:hAnsi="Cambria"/>
          <w:sz w:val="28"/>
          <w:szCs w:val="28"/>
        </w:rPr>
      </w:pPr>
      <w:r>
        <w:rPr>
          <w:rFonts w:ascii="Cambria" w:hAnsi="Cambria"/>
          <w:b/>
          <w:bCs/>
          <w:sz w:val="28"/>
          <w:szCs w:val="28"/>
        </w:rPr>
        <w:t>4</w:t>
      </w:r>
      <w:r w:rsidRPr="00484818">
        <w:rPr>
          <w:rFonts w:ascii="Cambria" w:hAnsi="Cambria"/>
          <w:b/>
          <w:bCs/>
          <w:sz w:val="28"/>
          <w:szCs w:val="28"/>
        </w:rPr>
        <w:t xml:space="preserve">. </w:t>
      </w:r>
      <w:r>
        <w:rPr>
          <w:rFonts w:ascii="Cambria" w:hAnsi="Cambria"/>
          <w:b/>
          <w:bCs/>
          <w:sz w:val="28"/>
          <w:szCs w:val="28"/>
        </w:rPr>
        <w:t>Balanced</w:t>
      </w:r>
      <w:r w:rsidRPr="00484818">
        <w:rPr>
          <w:rFonts w:ascii="Cambria" w:hAnsi="Cambria"/>
          <w:b/>
          <w:bCs/>
          <w:sz w:val="28"/>
          <w:szCs w:val="28"/>
        </w:rPr>
        <w:t xml:space="preserve"> </w:t>
      </w:r>
      <w:r>
        <w:rPr>
          <w:rFonts w:ascii="Cambria" w:hAnsi="Cambria"/>
          <w:b/>
          <w:bCs/>
          <w:sz w:val="28"/>
          <w:szCs w:val="28"/>
        </w:rPr>
        <w:t>Debt Management</w:t>
      </w:r>
      <w:r w:rsidRPr="00484818">
        <w:rPr>
          <w:rFonts w:ascii="Cambria" w:hAnsi="Cambria"/>
          <w:b/>
          <w:bCs/>
          <w:sz w:val="28"/>
          <w:szCs w:val="28"/>
        </w:rPr>
        <w:t>:</w:t>
      </w:r>
    </w:p>
    <w:p w14:paraId="395D4E29" w14:textId="35A900A5" w:rsidR="00943160" w:rsidRDefault="00943160" w:rsidP="00484818">
      <w:pPr>
        <w:rPr>
          <w:rFonts w:ascii="Cambria" w:hAnsi="Cambria"/>
          <w:sz w:val="28"/>
          <w:szCs w:val="28"/>
        </w:rPr>
      </w:pPr>
    </w:p>
    <w:p w14:paraId="3662B00B" w14:textId="16BA5301" w:rsidR="00D70B7D" w:rsidRPr="00484818" w:rsidRDefault="00D70B7D" w:rsidP="00D70B7D">
      <w:pPr>
        <w:rPr>
          <w:rFonts w:ascii="Cambria" w:hAnsi="Cambria"/>
          <w:sz w:val="28"/>
          <w:szCs w:val="28"/>
        </w:rPr>
      </w:pPr>
      <w:r>
        <w:rPr>
          <w:rFonts w:ascii="Cambria" w:hAnsi="Cambria"/>
          <w:sz w:val="28"/>
          <w:szCs w:val="28"/>
        </w:rPr>
        <w:tab/>
        <w:t xml:space="preserve">In addition, </w:t>
      </w:r>
      <w:r w:rsidRPr="00D70B7D">
        <w:rPr>
          <w:rFonts w:ascii="Cambria" w:hAnsi="Cambria"/>
          <w:sz w:val="28"/>
          <w:szCs w:val="28"/>
        </w:rPr>
        <w:t xml:space="preserve">NVIDIA's debt ratio of 46.33% </w:t>
      </w:r>
      <w:r>
        <w:rPr>
          <w:rFonts w:ascii="Cambria" w:hAnsi="Cambria"/>
          <w:sz w:val="28"/>
          <w:szCs w:val="28"/>
        </w:rPr>
        <w:t xml:space="preserve">and a </w:t>
      </w:r>
      <w:r w:rsidRPr="005D1CB6">
        <w:rPr>
          <w:rFonts w:ascii="Cambria" w:hAnsi="Cambria"/>
          <w:sz w:val="28"/>
          <w:szCs w:val="28"/>
        </w:rPr>
        <w:t>Debt-to-Equity ratio of 0.86</w:t>
      </w:r>
      <w:r>
        <w:rPr>
          <w:rFonts w:ascii="Cambria" w:hAnsi="Cambria"/>
          <w:sz w:val="28"/>
          <w:szCs w:val="28"/>
        </w:rPr>
        <w:t xml:space="preserve"> </w:t>
      </w:r>
      <w:r w:rsidRPr="00D70B7D">
        <w:rPr>
          <w:rFonts w:ascii="Cambria" w:hAnsi="Cambria"/>
          <w:sz w:val="28"/>
          <w:szCs w:val="28"/>
        </w:rPr>
        <w:t>signals a moderate level of financial risk and shows that the company has a good balance between debt and equity in its capital structure.</w:t>
      </w:r>
      <w:r>
        <w:rPr>
          <w:rFonts w:ascii="Cambria" w:hAnsi="Cambria"/>
          <w:sz w:val="28"/>
          <w:szCs w:val="28"/>
        </w:rPr>
        <w:t xml:space="preserve"> </w:t>
      </w:r>
      <w:r w:rsidRPr="005D1CB6">
        <w:rPr>
          <w:rFonts w:ascii="Cambria" w:hAnsi="Cambria"/>
          <w:sz w:val="28"/>
          <w:szCs w:val="28"/>
        </w:rPr>
        <w:t>While the firm has moderate leverage, it seems capable of managing its debts efficiently, as evidenced by the Times Interest Earned ratio of 16.12.</w:t>
      </w:r>
    </w:p>
    <w:p w14:paraId="0346F06C" w14:textId="0308576A" w:rsidR="00D70B7D" w:rsidRDefault="00D70B7D" w:rsidP="00484818">
      <w:pPr>
        <w:rPr>
          <w:rFonts w:ascii="Cambria" w:hAnsi="Cambria"/>
          <w:sz w:val="28"/>
          <w:szCs w:val="28"/>
        </w:rPr>
      </w:pPr>
    </w:p>
    <w:p w14:paraId="5829D72E" w14:textId="517C5303" w:rsidR="00943160" w:rsidRDefault="00943160" w:rsidP="00484818">
      <w:pPr>
        <w:rPr>
          <w:rFonts w:ascii="Cambria" w:hAnsi="Cambria"/>
          <w:sz w:val="28"/>
          <w:szCs w:val="28"/>
        </w:rPr>
      </w:pPr>
      <w:r>
        <w:rPr>
          <w:rFonts w:ascii="Cambria" w:hAnsi="Cambria"/>
          <w:b/>
          <w:bCs/>
          <w:sz w:val="28"/>
          <w:szCs w:val="28"/>
        </w:rPr>
        <w:t>5</w:t>
      </w:r>
      <w:r w:rsidRPr="00484818">
        <w:rPr>
          <w:rFonts w:ascii="Cambria" w:hAnsi="Cambria"/>
          <w:b/>
          <w:bCs/>
          <w:sz w:val="28"/>
          <w:szCs w:val="28"/>
        </w:rPr>
        <w:t xml:space="preserve">. </w:t>
      </w:r>
      <w:r>
        <w:rPr>
          <w:rFonts w:ascii="Cambria" w:hAnsi="Cambria"/>
          <w:b/>
          <w:bCs/>
          <w:sz w:val="28"/>
          <w:szCs w:val="28"/>
        </w:rPr>
        <w:t>Not-so-good</w:t>
      </w:r>
      <w:r w:rsidRPr="00484818">
        <w:rPr>
          <w:rFonts w:ascii="Cambria" w:hAnsi="Cambria"/>
          <w:b/>
          <w:bCs/>
          <w:sz w:val="28"/>
          <w:szCs w:val="28"/>
        </w:rPr>
        <w:t xml:space="preserve"> </w:t>
      </w:r>
      <w:r>
        <w:rPr>
          <w:rFonts w:ascii="Cambria" w:hAnsi="Cambria"/>
          <w:b/>
          <w:bCs/>
          <w:sz w:val="28"/>
          <w:szCs w:val="28"/>
        </w:rPr>
        <w:t>Asset Management</w:t>
      </w:r>
      <w:r w:rsidRPr="00484818">
        <w:rPr>
          <w:rFonts w:ascii="Cambria" w:hAnsi="Cambria"/>
          <w:b/>
          <w:bCs/>
          <w:sz w:val="28"/>
          <w:szCs w:val="28"/>
        </w:rPr>
        <w:t>:</w:t>
      </w:r>
    </w:p>
    <w:p w14:paraId="0C3E05D1" w14:textId="77777777" w:rsidR="007A02D6" w:rsidRDefault="00C1645C" w:rsidP="007A02D6">
      <w:pPr>
        <w:rPr>
          <w:rFonts w:ascii="Cambria" w:hAnsi="Cambria"/>
          <w:sz w:val="28"/>
          <w:szCs w:val="28"/>
        </w:rPr>
      </w:pPr>
      <w:r>
        <w:rPr>
          <w:rFonts w:ascii="Cambria" w:hAnsi="Cambria"/>
          <w:sz w:val="28"/>
          <w:szCs w:val="28"/>
        </w:rPr>
        <w:tab/>
        <w:t xml:space="preserve">However, </w:t>
      </w:r>
      <w:r w:rsidRPr="00C1645C">
        <w:rPr>
          <w:rFonts w:ascii="Cambria" w:hAnsi="Cambria"/>
          <w:sz w:val="28"/>
          <w:szCs w:val="28"/>
        </w:rPr>
        <w:t>NVIDIA's asset management ratios present a mixed picture of the company's operational efficiency. While NVIDIA's Accounts Receivable Turnover ratio of 7.05 and an Average Collection Period (ACP) of 51.79 days indicate an effective credit and collections policy, concerns arise from its inventory management. The Inventory Turnover ratio of 2.25 and a high Day's Sales in Inventory (DSI) of 162.08 days suggest potential inefficiencies in turning inventory into sales or potential issues with product demand. NVIDIA also demonstrates a robust Accounts Payable turnover (9.74) and an Average Payment Period (APP) of 37.48 days, which could signal a potentially aggressive payment strategy to suppliers. Overall, while NVIDIA's credit management appears efficient, it might need to review its inventory and payable strategies to optimize asset utilization.</w:t>
      </w:r>
    </w:p>
    <w:p w14:paraId="373B7485" w14:textId="77777777" w:rsidR="007A02D6" w:rsidRDefault="007A02D6" w:rsidP="007A02D6">
      <w:pPr>
        <w:rPr>
          <w:rFonts w:ascii="Cambria" w:hAnsi="Cambria"/>
          <w:sz w:val="28"/>
          <w:szCs w:val="28"/>
        </w:rPr>
      </w:pPr>
      <w:r>
        <w:rPr>
          <w:rFonts w:ascii="Cambria" w:hAnsi="Cambria"/>
          <w:sz w:val="28"/>
          <w:szCs w:val="28"/>
        </w:rPr>
        <w:tab/>
      </w:r>
    </w:p>
    <w:p w14:paraId="2CCCA078" w14:textId="6E809A85" w:rsidR="00F12B15" w:rsidRDefault="007A02D6" w:rsidP="007A02D6">
      <w:pPr>
        <w:rPr>
          <w:rFonts w:ascii="Cambria" w:hAnsi="Cambria"/>
          <w:sz w:val="28"/>
          <w:szCs w:val="28"/>
        </w:rPr>
      </w:pPr>
      <w:r>
        <w:rPr>
          <w:rFonts w:ascii="Cambria" w:hAnsi="Cambria"/>
          <w:sz w:val="28"/>
          <w:szCs w:val="28"/>
        </w:rPr>
        <w:tab/>
        <w:t>In conclusion</w:t>
      </w:r>
      <w:r w:rsidRPr="007A02D6">
        <w:rPr>
          <w:rFonts w:ascii="Cambria" w:hAnsi="Cambria"/>
          <w:sz w:val="28"/>
          <w:szCs w:val="28"/>
        </w:rPr>
        <w:t xml:space="preserve">, I believe that NVIDIA's </w:t>
      </w:r>
      <w:r w:rsidR="008B68F9">
        <w:rPr>
          <w:rFonts w:ascii="Cambria" w:hAnsi="Cambria"/>
          <w:sz w:val="28"/>
          <w:szCs w:val="28"/>
        </w:rPr>
        <w:t>Strong Liquidity, profitability ratios</w:t>
      </w:r>
      <w:r w:rsidRPr="007A02D6">
        <w:rPr>
          <w:rFonts w:ascii="Cambria" w:hAnsi="Cambria"/>
          <w:sz w:val="28"/>
          <w:szCs w:val="28"/>
        </w:rPr>
        <w:t xml:space="preserve"> and positive market sentiment make it a compelling choice for potential investors seeking growth opportunities in the technology sector.</w:t>
      </w:r>
      <w:r w:rsidR="00A65F43">
        <w:rPr>
          <w:rFonts w:ascii="Cambria" w:hAnsi="Cambria"/>
          <w:sz w:val="28"/>
          <w:szCs w:val="28"/>
        </w:rPr>
        <w:t xml:space="preserve"> </w:t>
      </w:r>
      <w:r w:rsidR="00F12B15" w:rsidRPr="00F12B15">
        <w:rPr>
          <w:rFonts w:ascii="Cambria" w:hAnsi="Cambria"/>
          <w:sz w:val="28"/>
          <w:szCs w:val="28"/>
        </w:rPr>
        <w:t xml:space="preserve">However, given the inherent uncertainties and volatilities in the market, as well as potential operational inefficiencies indicated by NVIDIA's asset management </w:t>
      </w:r>
      <w:r w:rsidR="00F12B15" w:rsidRPr="00F12B15">
        <w:rPr>
          <w:rFonts w:ascii="Cambria" w:hAnsi="Cambria"/>
          <w:sz w:val="28"/>
          <w:szCs w:val="28"/>
        </w:rPr>
        <w:lastRenderedPageBreak/>
        <w:t>ratios, it appears wise to me to allocate only a fraction of my $5,000 investment to NVIDIA's stock.</w:t>
      </w:r>
    </w:p>
    <w:p w14:paraId="0C41C449" w14:textId="77777777" w:rsidR="00636A24" w:rsidRDefault="00636A24" w:rsidP="007A02D6">
      <w:pPr>
        <w:rPr>
          <w:rFonts w:ascii="Cambria" w:hAnsi="Cambria"/>
          <w:sz w:val="28"/>
          <w:szCs w:val="28"/>
        </w:rPr>
      </w:pPr>
    </w:p>
    <w:p w14:paraId="281190FD" w14:textId="6ED9B9DF" w:rsidR="00F12B15" w:rsidRPr="007A02D6" w:rsidRDefault="00F12B15" w:rsidP="007A02D6">
      <w:pPr>
        <w:rPr>
          <w:rFonts w:ascii="Cambria" w:hAnsi="Cambria"/>
          <w:sz w:val="28"/>
          <w:szCs w:val="28"/>
        </w:rPr>
      </w:pPr>
      <w:r>
        <w:rPr>
          <w:rFonts w:ascii="Cambria" w:hAnsi="Cambria"/>
          <w:sz w:val="28"/>
          <w:szCs w:val="28"/>
        </w:rPr>
        <w:tab/>
      </w:r>
      <w:r w:rsidRPr="00F12B15">
        <w:rPr>
          <w:rFonts w:ascii="Cambria" w:hAnsi="Cambria"/>
          <w:sz w:val="28"/>
          <w:szCs w:val="28"/>
        </w:rPr>
        <w:t>This approach allows me to reap the benefits of NVIDIA's potential growth while mitigating risk through diversification. By spreading my investment across a variety of assets or sectors, I can offset potential losses in one area with gains in another, thereby achieving a balanced and resilient portfolio. After all, my belief is that the key to successful investing isn't about chasing returns from a single stock, but rather in constructing a well-diversified portfolio that can withstand market fluctuations over the long term.</w:t>
      </w:r>
    </w:p>
    <w:sectPr w:rsidR="00F12B15" w:rsidRPr="007A02D6" w:rsidSect="00040CED">
      <w:footerReference w:type="even" r:id="rId7"/>
      <w:footerReference w:type="default" r:id="rId8"/>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5018" w14:textId="77777777" w:rsidR="008C19C6" w:rsidRDefault="008C19C6" w:rsidP="000B68E0">
      <w:r>
        <w:separator/>
      </w:r>
    </w:p>
  </w:endnote>
  <w:endnote w:type="continuationSeparator" w:id="0">
    <w:p w14:paraId="549AD6E7" w14:textId="77777777" w:rsidR="008C19C6" w:rsidRDefault="008C19C6" w:rsidP="000B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2573047"/>
      <w:docPartObj>
        <w:docPartGallery w:val="Page Numbers (Bottom of Page)"/>
        <w:docPartUnique/>
      </w:docPartObj>
    </w:sdtPr>
    <w:sdtContent>
      <w:p w14:paraId="4267FEC4" w14:textId="299A5F96" w:rsidR="000B68E0" w:rsidRDefault="000B68E0" w:rsidP="000868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09C218" w14:textId="77777777" w:rsidR="000B68E0" w:rsidRDefault="000B68E0" w:rsidP="000B68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2D1A9" w14:textId="4EDD446D" w:rsidR="008B2FB7" w:rsidRDefault="008B2FB7">
    <w:pPr>
      <w:pStyle w:val="Footer"/>
    </w:pPr>
    <w:r>
      <w:t>Lavanya Govindarajan</w:t>
    </w:r>
  </w:p>
  <w:p w14:paraId="2FDC93EF" w14:textId="77777777" w:rsidR="000B68E0" w:rsidRDefault="000B68E0" w:rsidP="000B68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29E10" w14:textId="77777777" w:rsidR="008C19C6" w:rsidRDefault="008C19C6" w:rsidP="000B68E0">
      <w:r>
        <w:separator/>
      </w:r>
    </w:p>
  </w:footnote>
  <w:footnote w:type="continuationSeparator" w:id="0">
    <w:p w14:paraId="785026C1" w14:textId="77777777" w:rsidR="008C19C6" w:rsidRDefault="008C19C6" w:rsidP="000B6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BB"/>
    <w:rsid w:val="00040CED"/>
    <w:rsid w:val="000B68E0"/>
    <w:rsid w:val="001B1BBB"/>
    <w:rsid w:val="001C5C4C"/>
    <w:rsid w:val="001F2508"/>
    <w:rsid w:val="002D0676"/>
    <w:rsid w:val="00307B8C"/>
    <w:rsid w:val="00484818"/>
    <w:rsid w:val="00507635"/>
    <w:rsid w:val="005D1CB6"/>
    <w:rsid w:val="00636A24"/>
    <w:rsid w:val="007A02D6"/>
    <w:rsid w:val="008B2FB7"/>
    <w:rsid w:val="008B68F9"/>
    <w:rsid w:val="008C19C6"/>
    <w:rsid w:val="00943160"/>
    <w:rsid w:val="00A11E71"/>
    <w:rsid w:val="00A65F43"/>
    <w:rsid w:val="00AA0ED4"/>
    <w:rsid w:val="00AB0729"/>
    <w:rsid w:val="00AC290F"/>
    <w:rsid w:val="00B23026"/>
    <w:rsid w:val="00B330C3"/>
    <w:rsid w:val="00C1645C"/>
    <w:rsid w:val="00CA4701"/>
    <w:rsid w:val="00D70B7D"/>
    <w:rsid w:val="00EC3940"/>
    <w:rsid w:val="00F12B15"/>
    <w:rsid w:val="00F85F08"/>
    <w:rsid w:val="00FA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A483"/>
  <w15:chartTrackingRefBased/>
  <w15:docId w15:val="{5D5F8DC4-FEEE-A042-A614-778A813B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B68E0"/>
    <w:pPr>
      <w:tabs>
        <w:tab w:val="center" w:pos="4680"/>
        <w:tab w:val="right" w:pos="9360"/>
      </w:tabs>
    </w:pPr>
  </w:style>
  <w:style w:type="character" w:customStyle="1" w:styleId="FooterChar">
    <w:name w:val="Footer Char"/>
    <w:basedOn w:val="DefaultParagraphFont"/>
    <w:link w:val="Footer"/>
    <w:uiPriority w:val="99"/>
    <w:rsid w:val="000B68E0"/>
  </w:style>
  <w:style w:type="character" w:styleId="PageNumber">
    <w:name w:val="page number"/>
    <w:basedOn w:val="DefaultParagraphFont"/>
    <w:uiPriority w:val="99"/>
    <w:semiHidden/>
    <w:unhideWhenUsed/>
    <w:rsid w:val="000B68E0"/>
  </w:style>
  <w:style w:type="paragraph" w:styleId="Header">
    <w:name w:val="header"/>
    <w:basedOn w:val="Normal"/>
    <w:link w:val="HeaderChar"/>
    <w:uiPriority w:val="99"/>
    <w:unhideWhenUsed/>
    <w:rsid w:val="008B2FB7"/>
    <w:pPr>
      <w:tabs>
        <w:tab w:val="center" w:pos="4680"/>
        <w:tab w:val="right" w:pos="9360"/>
      </w:tabs>
    </w:pPr>
  </w:style>
  <w:style w:type="character" w:customStyle="1" w:styleId="HeaderChar">
    <w:name w:val="Header Char"/>
    <w:basedOn w:val="DefaultParagraphFont"/>
    <w:link w:val="Header"/>
    <w:uiPriority w:val="99"/>
    <w:rsid w:val="008B2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68144">
      <w:bodyDiv w:val="1"/>
      <w:marLeft w:val="0"/>
      <w:marRight w:val="0"/>
      <w:marTop w:val="0"/>
      <w:marBottom w:val="0"/>
      <w:divBdr>
        <w:top w:val="none" w:sz="0" w:space="0" w:color="auto"/>
        <w:left w:val="none" w:sz="0" w:space="0" w:color="auto"/>
        <w:bottom w:val="none" w:sz="0" w:space="0" w:color="auto"/>
        <w:right w:val="none" w:sz="0" w:space="0" w:color="auto"/>
      </w:divBdr>
    </w:div>
    <w:div w:id="659507542">
      <w:bodyDiv w:val="1"/>
      <w:marLeft w:val="0"/>
      <w:marRight w:val="0"/>
      <w:marTop w:val="0"/>
      <w:marBottom w:val="0"/>
      <w:divBdr>
        <w:top w:val="none" w:sz="0" w:space="0" w:color="auto"/>
        <w:left w:val="none" w:sz="0" w:space="0" w:color="auto"/>
        <w:bottom w:val="none" w:sz="0" w:space="0" w:color="auto"/>
        <w:right w:val="none" w:sz="0" w:space="0" w:color="auto"/>
      </w:divBdr>
    </w:div>
    <w:div w:id="974018649">
      <w:bodyDiv w:val="1"/>
      <w:marLeft w:val="0"/>
      <w:marRight w:val="0"/>
      <w:marTop w:val="0"/>
      <w:marBottom w:val="0"/>
      <w:divBdr>
        <w:top w:val="none" w:sz="0" w:space="0" w:color="auto"/>
        <w:left w:val="none" w:sz="0" w:space="0" w:color="auto"/>
        <w:bottom w:val="none" w:sz="0" w:space="0" w:color="auto"/>
        <w:right w:val="none" w:sz="0" w:space="0" w:color="auto"/>
      </w:divBdr>
      <w:divsChild>
        <w:div w:id="1828012811">
          <w:marLeft w:val="0"/>
          <w:marRight w:val="0"/>
          <w:marTop w:val="0"/>
          <w:marBottom w:val="0"/>
          <w:divBdr>
            <w:top w:val="none" w:sz="0" w:space="0" w:color="auto"/>
            <w:left w:val="none" w:sz="0" w:space="0" w:color="auto"/>
            <w:bottom w:val="none" w:sz="0" w:space="0" w:color="auto"/>
            <w:right w:val="none" w:sz="0" w:space="0" w:color="auto"/>
          </w:divBdr>
        </w:div>
        <w:div w:id="382871072">
          <w:marLeft w:val="0"/>
          <w:marRight w:val="0"/>
          <w:marTop w:val="0"/>
          <w:marBottom w:val="0"/>
          <w:divBdr>
            <w:top w:val="none" w:sz="0" w:space="0" w:color="auto"/>
            <w:left w:val="none" w:sz="0" w:space="0" w:color="auto"/>
            <w:bottom w:val="none" w:sz="0" w:space="0" w:color="auto"/>
            <w:right w:val="none" w:sz="0" w:space="0" w:color="auto"/>
          </w:divBdr>
        </w:div>
      </w:divsChild>
    </w:div>
    <w:div w:id="1204246757">
      <w:bodyDiv w:val="1"/>
      <w:marLeft w:val="0"/>
      <w:marRight w:val="0"/>
      <w:marTop w:val="0"/>
      <w:marBottom w:val="0"/>
      <w:divBdr>
        <w:top w:val="none" w:sz="0" w:space="0" w:color="auto"/>
        <w:left w:val="none" w:sz="0" w:space="0" w:color="auto"/>
        <w:bottom w:val="none" w:sz="0" w:space="0" w:color="auto"/>
        <w:right w:val="none" w:sz="0" w:space="0" w:color="auto"/>
      </w:divBdr>
    </w:div>
    <w:div w:id="1862864346">
      <w:bodyDiv w:val="1"/>
      <w:marLeft w:val="0"/>
      <w:marRight w:val="0"/>
      <w:marTop w:val="0"/>
      <w:marBottom w:val="0"/>
      <w:divBdr>
        <w:top w:val="none" w:sz="0" w:space="0" w:color="auto"/>
        <w:left w:val="none" w:sz="0" w:space="0" w:color="auto"/>
        <w:bottom w:val="none" w:sz="0" w:space="0" w:color="auto"/>
        <w:right w:val="none" w:sz="0" w:space="0" w:color="auto"/>
      </w:divBdr>
    </w:div>
    <w:div w:id="1921720490">
      <w:bodyDiv w:val="1"/>
      <w:marLeft w:val="0"/>
      <w:marRight w:val="0"/>
      <w:marTop w:val="0"/>
      <w:marBottom w:val="0"/>
      <w:divBdr>
        <w:top w:val="none" w:sz="0" w:space="0" w:color="auto"/>
        <w:left w:val="none" w:sz="0" w:space="0" w:color="auto"/>
        <w:bottom w:val="none" w:sz="0" w:space="0" w:color="auto"/>
        <w:right w:val="none" w:sz="0" w:space="0" w:color="auto"/>
      </w:divBdr>
    </w:div>
    <w:div w:id="208025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9C1E6-E598-514F-ACE0-5FF12035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Govindarajan</dc:creator>
  <cp:keywords/>
  <dc:description/>
  <cp:lastModifiedBy>Lavanya Govindarajan</cp:lastModifiedBy>
  <cp:revision>45</cp:revision>
  <dcterms:created xsi:type="dcterms:W3CDTF">2023-07-22T16:48:00Z</dcterms:created>
  <dcterms:modified xsi:type="dcterms:W3CDTF">2023-07-23T03:15:00Z</dcterms:modified>
</cp:coreProperties>
</file>