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B936BF">
      <w:pPr>
        <w:spacing w:before="0" w:after="0" w:line="360" w:lineRule="auto"/>
        <w:jc w:val="left"/>
      </w:pPr>
    </w:p>
    <w:p w14:paraId="7DE37112">
      <w:pPr>
        <w:spacing w:before="0" w:after="0" w:line="360" w:lineRule="auto"/>
        <w:jc w:val="left"/>
      </w:pPr>
    </w:p>
    <w:p w14:paraId="06125E35">
      <w:pPr>
        <w:spacing w:before="0" w:after="0" w:line="360" w:lineRule="auto"/>
        <w:jc w:val="left"/>
      </w:pPr>
    </w:p>
    <w:p w14:paraId="2E1226DC">
      <w:pPr>
        <w:spacing w:before="0" w:after="160" w:line="360" w:lineRule="auto"/>
        <w:jc w:val="center"/>
      </w:pPr>
      <w:r>
        <w:rPr>
          <w:rFonts w:ascii="黑体" w:hAnsi="黑体" w:eastAsia="黑体"/>
          <w:b/>
          <w:i w:val="0"/>
          <w:color w:val="C7000B"/>
          <w:sz w:val="32"/>
        </w:rPr>
        <w:t>第十七届「工行杯」全国大学生金融科技创新大赛</w:t>
      </w:r>
    </w:p>
    <w:p w14:paraId="581FEC87">
      <w:pPr>
        <w:spacing w:before="0" w:after="600" w:line="360" w:lineRule="auto"/>
        <w:jc w:val="center"/>
      </w:pPr>
      <w:r>
        <w:rPr>
          <w:rFonts w:ascii="Times New Roman" w:hAnsi="Times New Roman" w:eastAsia="宋体"/>
          <w:b w:val="0"/>
          <w:i w:val="0"/>
          <w:color w:val="555555"/>
          <w:sz w:val="24"/>
        </w:rPr>
        <w:t>科 技 金 融 方 向 · 项 目 报 告 书</w:t>
      </w:r>
    </w:p>
    <w:p w14:paraId="6C4D7869">
      <w:pPr>
        <w:spacing w:before="0" w:after="200" w:line="360" w:lineRule="auto"/>
        <w:jc w:val="center"/>
      </w:pPr>
      <w:r>
        <w:rPr>
          <w:rFonts w:ascii="黑体" w:hAnsi="黑体" w:eastAsia="黑体"/>
          <w:b/>
          <w:i w:val="0"/>
          <w:color w:val="0A1730"/>
          <w:sz w:val="72"/>
        </w:rPr>
        <w:t>工银科创桥</w:t>
      </w:r>
    </w:p>
    <w:p w14:paraId="3BE4FBC0">
      <w:pPr>
        <w:spacing w:before="0" w:after="400" w:line="360" w:lineRule="auto"/>
        <w:jc w:val="center"/>
      </w:pPr>
      <w:r>
        <w:rPr>
          <w:rFonts w:ascii="黑体" w:hAnsi="黑体" w:eastAsia="黑体"/>
          <w:b/>
          <w:i w:val="0"/>
          <w:color w:val="C7000B"/>
          <w:sz w:val="36"/>
        </w:rPr>
        <w:t>硬科技企业里程碑式投贷联动平台</w:t>
      </w:r>
    </w:p>
    <w:p w14:paraId="16362DB1">
      <w:pPr>
        <w:spacing w:before="0" w:after="800" w:line="360" w:lineRule="auto"/>
        <w:jc w:val="center"/>
      </w:pPr>
      <w:r>
        <w:rPr>
          <w:rFonts w:ascii="Times New Roman" w:hAnsi="Times New Roman" w:eastAsia="宋体"/>
          <w:b w:val="0"/>
          <w:i w:val="0"/>
          <w:sz w:val="26"/>
        </w:rPr>
        <w:t>—— 让研发的每一步，都成为可计量的信用 ——</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4252"/>
      </w:tblGrid>
      <w:tr w14:paraId="60132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51E08B33">
            <w:pPr>
              <w:spacing w:before="60" w:after="60" w:line="240" w:lineRule="auto"/>
              <w:jc w:val="right"/>
            </w:pPr>
            <w:r>
              <w:rPr>
                <w:rFonts w:ascii="黑体" w:hAnsi="黑体" w:eastAsia="黑体"/>
                <w:b/>
                <w:i w:val="0"/>
                <w:sz w:val="22"/>
              </w:rPr>
              <w:t>项目名称</w:t>
            </w:r>
          </w:p>
        </w:tc>
        <w:tc>
          <w:tcPr>
            <w:tcW w:w="4252" w:type="dxa"/>
          </w:tcPr>
          <w:p w14:paraId="112A93E9">
            <w:pPr>
              <w:spacing w:before="60" w:after="60" w:line="240" w:lineRule="auto"/>
              <w:jc w:val="left"/>
            </w:pPr>
            <w:r>
              <w:rPr>
                <w:rFonts w:ascii="Times New Roman" w:hAnsi="Times New Roman" w:eastAsia="宋体"/>
                <w:b w:val="0"/>
                <w:i w:val="0"/>
                <w:sz w:val="22"/>
              </w:rPr>
              <w:t>工银科创桥——硬科技企业里程碑式投贷联动平台</w:t>
            </w:r>
          </w:p>
        </w:tc>
      </w:tr>
      <w:tr w14:paraId="19226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73BD2A73">
            <w:pPr>
              <w:spacing w:before="60" w:after="60" w:line="240" w:lineRule="auto"/>
              <w:jc w:val="right"/>
            </w:pPr>
            <w:r>
              <w:rPr>
                <w:rFonts w:ascii="黑体" w:hAnsi="黑体" w:eastAsia="黑体"/>
                <w:b/>
                <w:i w:val="0"/>
                <w:sz w:val="22"/>
              </w:rPr>
              <w:t>参赛方向</w:t>
            </w:r>
          </w:p>
        </w:tc>
        <w:tc>
          <w:tcPr>
            <w:tcW w:w="4252" w:type="dxa"/>
          </w:tcPr>
          <w:p w14:paraId="1D14E131">
            <w:pPr>
              <w:spacing w:before="60" w:after="60" w:line="240" w:lineRule="auto"/>
              <w:jc w:val="left"/>
            </w:pPr>
            <w:r>
              <w:rPr>
                <w:rFonts w:ascii="Times New Roman" w:hAnsi="Times New Roman" w:eastAsia="宋体"/>
                <w:b w:val="0"/>
                <w:i w:val="0"/>
                <w:sz w:val="22"/>
              </w:rPr>
              <w:t>科技金融</w:t>
            </w:r>
          </w:p>
        </w:tc>
      </w:tr>
      <w:tr w14:paraId="4AD44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222A5FC3">
            <w:pPr>
              <w:spacing w:before="60" w:after="60" w:line="240" w:lineRule="auto"/>
              <w:jc w:val="right"/>
            </w:pPr>
            <w:r>
              <w:rPr>
                <w:rFonts w:ascii="黑体" w:hAnsi="黑体" w:eastAsia="黑体"/>
                <w:b/>
                <w:i w:val="0"/>
                <w:sz w:val="22"/>
              </w:rPr>
              <w:t>参赛高校</w:t>
            </w:r>
          </w:p>
        </w:tc>
        <w:tc>
          <w:tcPr>
            <w:tcW w:w="4252" w:type="dxa"/>
          </w:tcPr>
          <w:p w14:paraId="03D3D2D9">
            <w:pPr>
              <w:spacing w:before="60" w:after="60" w:line="240" w:lineRule="auto"/>
              <w:jc w:val="left"/>
              <w:rPr>
                <w:rFonts w:hint="eastAsia" w:eastAsia="宋体"/>
                <w:lang w:val="en-US" w:eastAsia="zh-CN"/>
              </w:rPr>
            </w:pPr>
            <w:r>
              <w:rPr>
                <w:rFonts w:hint="eastAsia"/>
                <w:lang w:val="en-US" w:eastAsia="zh-CN"/>
              </w:rPr>
              <w:t>平顶山学院</w:t>
            </w:r>
          </w:p>
        </w:tc>
      </w:tr>
      <w:tr w14:paraId="18EA9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09005C09">
            <w:pPr>
              <w:spacing w:before="60" w:after="60" w:line="240" w:lineRule="auto"/>
              <w:jc w:val="right"/>
            </w:pPr>
            <w:r>
              <w:rPr>
                <w:rFonts w:ascii="黑体" w:hAnsi="黑体" w:eastAsia="黑体"/>
                <w:b/>
                <w:i w:val="0"/>
                <w:sz w:val="22"/>
              </w:rPr>
              <w:t>团队成员</w:t>
            </w:r>
          </w:p>
        </w:tc>
        <w:tc>
          <w:tcPr>
            <w:tcW w:w="4252" w:type="dxa"/>
          </w:tcPr>
          <w:p w14:paraId="6E84A64F">
            <w:pPr>
              <w:spacing w:before="60" w:after="60" w:line="240" w:lineRule="auto"/>
              <w:jc w:val="left"/>
              <w:rPr>
                <w:rFonts w:hint="default" w:eastAsia="宋体"/>
                <w:lang w:val="en-US" w:eastAsia="zh-CN"/>
              </w:rPr>
            </w:pPr>
            <w:r>
              <w:rPr>
                <w:rFonts w:hint="eastAsia"/>
                <w:lang w:val="en-US" w:eastAsia="zh-CN"/>
              </w:rPr>
              <w:t>张祯祥 杨佳瑞 涂京英</w:t>
            </w:r>
          </w:p>
        </w:tc>
      </w:tr>
      <w:tr w14:paraId="06131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566C6F96">
            <w:pPr>
              <w:spacing w:before="60" w:after="60" w:line="240" w:lineRule="auto"/>
              <w:jc w:val="right"/>
            </w:pPr>
            <w:r>
              <w:rPr>
                <w:rFonts w:ascii="黑体" w:hAnsi="黑体" w:eastAsia="黑体"/>
                <w:b/>
                <w:i w:val="0"/>
                <w:sz w:val="22"/>
              </w:rPr>
              <w:t>指导教师</w:t>
            </w:r>
          </w:p>
        </w:tc>
        <w:tc>
          <w:tcPr>
            <w:tcW w:w="4252" w:type="dxa"/>
          </w:tcPr>
          <w:p w14:paraId="652AE01B">
            <w:pPr>
              <w:spacing w:before="60" w:after="60" w:line="240" w:lineRule="auto"/>
              <w:jc w:val="left"/>
              <w:rPr>
                <w:rFonts w:hint="default" w:eastAsia="宋体"/>
                <w:lang w:val="en-US" w:eastAsia="zh-CN"/>
              </w:rPr>
            </w:pPr>
            <w:r>
              <w:rPr>
                <w:rFonts w:hint="eastAsia"/>
                <w:lang w:val="en-US" w:eastAsia="zh-CN"/>
              </w:rPr>
              <w:t>喻恒</w:t>
            </w:r>
          </w:p>
        </w:tc>
      </w:tr>
      <w:tr w14:paraId="36C91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61192ED6">
            <w:pPr>
              <w:spacing w:before="60" w:after="60" w:line="240" w:lineRule="auto"/>
              <w:jc w:val="right"/>
            </w:pPr>
            <w:r>
              <w:rPr>
                <w:rFonts w:ascii="黑体" w:hAnsi="黑体" w:eastAsia="黑体"/>
                <w:b/>
                <w:i w:val="0"/>
                <w:sz w:val="22"/>
              </w:rPr>
              <w:t>完成日期</w:t>
            </w:r>
          </w:p>
        </w:tc>
        <w:tc>
          <w:tcPr>
            <w:tcW w:w="4252" w:type="dxa"/>
          </w:tcPr>
          <w:p w14:paraId="20F0F6B2">
            <w:pPr>
              <w:spacing w:before="60" w:after="60" w:line="240" w:lineRule="auto"/>
              <w:jc w:val="left"/>
            </w:pPr>
            <w:r>
              <w:rPr>
                <w:rFonts w:ascii="Times New Roman" w:hAnsi="Times New Roman" w:eastAsia="宋体"/>
                <w:b w:val="0"/>
                <w:i w:val="0"/>
                <w:sz w:val="22"/>
              </w:rPr>
              <w:t>2026 年 9 月</w:t>
            </w:r>
          </w:p>
        </w:tc>
      </w:tr>
    </w:tbl>
    <w:p w14:paraId="7316FBA0">
      <w:r>
        <w:br w:type="page"/>
      </w:r>
      <w:bookmarkStart w:id="47" w:name="_GoBack"/>
      <w:bookmarkEnd w:id="47"/>
    </w:p>
    <w:p w14:paraId="3AB06B56">
      <w:pPr>
        <w:spacing w:before="320" w:after="200" w:line="336" w:lineRule="auto"/>
        <w:jc w:val="left"/>
        <w:outlineLvl w:val="0"/>
      </w:pPr>
      <w:bookmarkStart w:id="0" w:name="_Toc14917"/>
      <w:r>
        <w:rPr>
          <w:rFonts w:ascii="黑体" w:hAnsi="黑体" w:eastAsia="黑体"/>
          <w:b/>
          <w:i w:val="0"/>
          <w:color w:val="0A1730"/>
          <w:sz w:val="30"/>
        </w:rPr>
        <w:t>项目摘要</w:t>
      </w:r>
      <w:bookmarkEnd w:id="0"/>
    </w:p>
    <w:p w14:paraId="295423B1">
      <w:pPr>
        <w:spacing w:before="0" w:after="120" w:line="360" w:lineRule="auto"/>
        <w:ind w:firstLine="480"/>
        <w:jc w:val="both"/>
      </w:pPr>
      <w:r>
        <w:rPr>
          <w:rFonts w:ascii="Times New Roman" w:hAnsi="Times New Roman" w:eastAsia="宋体"/>
          <w:b w:val="0"/>
          <w:i w:val="0"/>
          <w:sz w:val="24"/>
        </w:rPr>
        <w:t>科技金融位列金融"五篇大文章"之首，是国家战略与银行业转型的交汇点。然而一个结构性矛盾长期存在：硬科技企业最缺钱的时候，恰恰是它资产最"虚"的时候。半导体企业在流片前、生物医药企业在临床 II 期前、新材料企业在中试放大期，既没有可抵押的厂房设备，也没有漂亮的财务报表，却恰恰处在资金需求最迫切的窗口。《中国金融》基层调研显示，超过七成项目因资金缺口中途夭折，新材料、高端装备等硬科技赛道的夭折率突破 75%。截至 2025 年四季度末，全国科技型中小企业获贷率仅 50.2%，仍有近一半被挡在银行体系之外。</w:t>
      </w:r>
    </w:p>
    <w:p w14:paraId="19B5AEC9">
      <w:pPr>
        <w:spacing w:before="0" w:after="120" w:line="360" w:lineRule="auto"/>
        <w:ind w:firstLine="480"/>
        <w:jc w:val="both"/>
      </w:pPr>
      <w:r>
        <w:rPr>
          <w:rFonts w:ascii="Times New Roman" w:hAnsi="Times New Roman" w:eastAsia="宋体"/>
          <w:b w:val="0"/>
          <w:i w:val="0"/>
          <w:sz w:val="24"/>
        </w:rPr>
        <w:t>问题的根源不在银行"不愿贷"，而在"不会评"。知识产权融资长期面临评估难、风控难、处置难三道闸门，不同机构对同一件专利的估值差异巨大，违约后又面临找买家难、定价难、过户难。金融机构面对前沿技术，普遍存在看不懂、不会评、不敢贷的系统性能力短板。</w:t>
      </w:r>
    </w:p>
    <w:p w14:paraId="01E2A88A">
      <w:pPr>
        <w:spacing w:before="0" w:after="120" w:line="360" w:lineRule="auto"/>
        <w:ind w:firstLine="480"/>
        <w:jc w:val="both"/>
      </w:pPr>
      <w:r>
        <w:rPr>
          <w:rFonts w:ascii="Times New Roman" w:hAnsi="Times New Roman" w:eastAsia="宋体"/>
          <w:b w:val="0"/>
          <w:i w:val="0"/>
          <w:sz w:val="24"/>
        </w:rPr>
        <w:t>工银科创桥正是为破解这一矛盾而设计的里程碑式投贷联动平台。它以 AI 评估引擎对轻资产科创企业做动态估值，以研发里程碑为触发器动态匹配金融工具包，把传统的一次性静态审批，转变为随研发进度滚动释放的动态授信。平台的一句核心价值主张是：让研发的每一步，都成为可计量的信用。</w:t>
      </w:r>
    </w:p>
    <w:p w14:paraId="740098CC">
      <w:pPr>
        <w:spacing w:before="0" w:after="120" w:line="360" w:lineRule="auto"/>
        <w:ind w:firstLine="480"/>
        <w:jc w:val="both"/>
      </w:pPr>
      <w:r>
        <w:rPr>
          <w:rFonts w:ascii="Times New Roman" w:hAnsi="Times New Roman" w:eastAsia="宋体"/>
          <w:b w:val="0"/>
          <w:i w:val="0"/>
          <w:sz w:val="24"/>
        </w:rPr>
        <w:t>平台由三个核心模块构成。其一是企业画像引擎，用 XGBoost 双模型并行输出企业估值区间与破产风险概率，其中估值模型基础估值 R² 达 0.927、当前估值 R² 达 0.954，风险模型 AUC 达 0.958、准确率 96.9%。其二是专利影响力网络，基于 NetworkX 构建专利引用图谱并以 PageRank 算法（alpha=0.85）量化单件专利的真实影响力，按引用 30%、PageRank 25%、同族 20%、国际布局 15%、诉讼 10% 的权重合成专利质量分，实现从"数专利数量"到"看专利结构"的范式转变。其三是里程碑授信引擎，将研发过程划分为立项预研、原型验证、流片成功/临床 II 期、商业化量产、上市预备五个阶段，每通过一个关键节点即自动触发对应的金融工具包，授信额度按公式"AI 估值 × 30% × 里程碑进度系数 × (1 − 风险评分 × 0.5)"实时重算。</w:t>
      </w:r>
    </w:p>
    <w:p w14:paraId="3152EF94">
      <w:pPr>
        <w:spacing w:before="0" w:after="120" w:line="360" w:lineRule="auto"/>
        <w:ind w:firstLine="480"/>
        <w:jc w:val="both"/>
      </w:pPr>
      <w:r>
        <w:rPr>
          <w:rFonts w:ascii="Times New Roman" w:hAnsi="Times New Roman" w:eastAsia="宋体"/>
          <w:b w:val="0"/>
          <w:i w:val="0"/>
          <w:sz w:val="24"/>
        </w:rPr>
        <w:t>技术路线上，平台采用 Vue 3 + TypeScript + ECharts 的前端、FastAPI + SQLAlchemy 的后端、XGBoost + NetworkX 的算法层，共 13 个 REST 端点贯通企业、估值、团队、专利、里程碑、授信、风控全链路。工程上实现了优雅降级（模型异常时自动回退规则公式并标注估值来源）、实时联动（进度滑块拖动时额度同步重算）与全程可追溯（结果标注产出来源，便于风控复核与监管审计）。</w:t>
      </w:r>
    </w:p>
    <w:p w14:paraId="3EB500A2">
      <w:pPr>
        <w:spacing w:before="0" w:after="120" w:line="360" w:lineRule="auto"/>
        <w:ind w:firstLine="480"/>
        <w:jc w:val="both"/>
      </w:pPr>
      <w:r>
        <w:rPr>
          <w:rFonts w:ascii="Times New Roman" w:hAnsi="Times New Roman" w:eastAsia="宋体"/>
          <w:b w:val="0"/>
          <w:i w:val="0"/>
          <w:sz w:val="24"/>
        </w:rPr>
        <w:t>平台的价值是三方的：对银行，它把无形资产翻译成可解释、可追溯、可审计的风险参数，使"敢贷"有了依据；对硬科技企业，它把不确定的融资预期变成随里程碑递进的确定性安排；对创投与保险机构，它提供动态估值时间序列与破产概率输出，为"见投即贷""中试保融通"类产品提供可复核的定价参考。</w:t>
      </w:r>
    </w:p>
    <w:p w14:paraId="4EDDCD1E">
      <w:pPr>
        <w:spacing w:before="0" w:after="120" w:line="360" w:lineRule="auto"/>
        <w:ind w:firstLine="480"/>
        <w:jc w:val="both"/>
      </w:pPr>
      <w:r>
        <w:rPr>
          <w:rFonts w:ascii="Times New Roman" w:hAnsi="Times New Roman" w:eastAsia="宋体"/>
          <w:b w:val="0"/>
          <w:i w:val="0"/>
          <w:sz w:val="24"/>
        </w:rPr>
        <w:t>需要特别说明的是，本项目目前为演示型产品原型，已完成系统实现与算法验证，但尚无真实投放金额与客户运营数据。报告中涉及财务与收益的部分均为基于公开数据的测算与假设，已在相应章节明确标注，不作实际业绩陈述。</w:t>
      </w:r>
    </w:p>
    <w:p w14:paraId="4B149FC1">
      <w:r>
        <w:br w:type="page"/>
      </w:r>
    </w:p>
    <w:p w14:paraId="5C8C5C18">
      <w:pPr>
        <w:spacing w:before="0" w:after="280" w:line="360" w:lineRule="auto"/>
        <w:jc w:val="center"/>
      </w:pPr>
      <w:r>
        <w:rPr>
          <w:rFonts w:ascii="黑体" w:hAnsi="黑体" w:eastAsia="黑体"/>
          <w:b/>
          <w:i w:val="0"/>
          <w:color w:val="0A1730"/>
          <w:sz w:val="32"/>
        </w:rPr>
        <w:t>目  录</w:t>
      </w:r>
    </w:p>
    <w:p w14:paraId="0D471E12">
      <w:pPr>
        <w:pStyle w:val="26"/>
        <w:tabs>
          <w:tab w:val="right" w:leader="dot" w:pos="8504"/>
        </w:tabs>
      </w:pPr>
      <w:r>
        <w:rPr>
          <w:rFonts w:ascii="Times New Roman" w:hAnsi="Times New Roman" w:eastAsia="宋体"/>
          <w:b w:val="0"/>
          <w:i w:val="0"/>
          <w:color w:val="555555"/>
          <w:sz w:val="22"/>
        </w:rPr>
        <w:fldChar w:fldCharType="begin"/>
      </w:r>
      <w:r>
        <w:rPr>
          <w:rFonts w:ascii="Times New Roman" w:hAnsi="Times New Roman" w:eastAsia="宋体"/>
          <w:b w:val="0"/>
          <w:i w:val="0"/>
          <w:color w:val="555555"/>
          <w:sz w:val="22"/>
        </w:rPr>
        <w:instrText xml:space="preserve">TOC \o "1-2" \h \z \u</w:instrText>
      </w:r>
      <w:r>
        <w:rPr>
          <w:rFonts w:ascii="Times New Roman" w:hAnsi="Times New Roman" w:eastAsia="宋体"/>
          <w:b w:val="0"/>
          <w:i w:val="0"/>
          <w:color w:val="555555"/>
          <w:sz w:val="22"/>
        </w:rPr>
        <w:fldChar w:fldCharType="separate"/>
      </w:r>
      <w:r>
        <w:rPr>
          <w:rFonts w:ascii="Times New Roman" w:hAnsi="Times New Roman" w:eastAsia="宋体"/>
          <w:i w:val="0"/>
          <w:color w:val="555555"/>
        </w:rPr>
        <w:fldChar w:fldCharType="begin"/>
      </w:r>
      <w:r>
        <w:rPr>
          <w:rFonts w:ascii="Times New Roman" w:hAnsi="Times New Roman" w:eastAsia="宋体"/>
          <w:i w:val="0"/>
        </w:rPr>
        <w:instrText xml:space="preserve"> HYPERLINK \l _Toc14917 </w:instrText>
      </w:r>
      <w:r>
        <w:rPr>
          <w:rFonts w:ascii="Times New Roman" w:hAnsi="Times New Roman" w:eastAsia="宋体"/>
          <w:i w:val="0"/>
        </w:rPr>
        <w:fldChar w:fldCharType="separate"/>
      </w:r>
      <w:r>
        <w:rPr>
          <w:rFonts w:ascii="黑体" w:hAnsi="黑体" w:eastAsia="黑体"/>
          <w:i w:val="0"/>
        </w:rPr>
        <w:t>项目摘要</w:t>
      </w:r>
      <w:r>
        <w:tab/>
      </w:r>
      <w:r>
        <w:fldChar w:fldCharType="begin"/>
      </w:r>
      <w:r>
        <w:instrText xml:space="preserve"> PAGEREF _Toc14917 \h </w:instrText>
      </w:r>
      <w:r>
        <w:fldChar w:fldCharType="separate"/>
      </w:r>
      <w:r>
        <w:t>2</w:t>
      </w:r>
      <w:r>
        <w:fldChar w:fldCharType="end"/>
      </w:r>
      <w:r>
        <w:rPr>
          <w:rFonts w:ascii="Times New Roman" w:hAnsi="Times New Roman" w:eastAsia="宋体"/>
          <w:i w:val="0"/>
          <w:color w:val="555555"/>
        </w:rPr>
        <w:fldChar w:fldCharType="end"/>
      </w:r>
    </w:p>
    <w:p w14:paraId="5A235B0A">
      <w:pPr>
        <w:pStyle w:val="26"/>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_Toc5936 </w:instrText>
      </w:r>
      <w:r>
        <w:rPr>
          <w:rFonts w:ascii="Times New Roman" w:hAnsi="Times New Roman" w:eastAsia="宋体"/>
          <w:i w:val="0"/>
        </w:rPr>
        <w:fldChar w:fldCharType="separate"/>
      </w:r>
      <w:r>
        <w:rPr>
          <w:rFonts w:ascii="黑体" w:hAnsi="黑体" w:eastAsia="黑体"/>
          <w:i w:val="0"/>
        </w:rPr>
        <w:t>一、项目概述</w:t>
      </w:r>
      <w:r>
        <w:tab/>
      </w:r>
      <w:r>
        <w:fldChar w:fldCharType="begin"/>
      </w:r>
      <w:r>
        <w:instrText xml:space="preserve"> PAGEREF _Toc5936 \h </w:instrText>
      </w:r>
      <w:r>
        <w:fldChar w:fldCharType="separate"/>
      </w:r>
      <w:r>
        <w:t>7</w:t>
      </w:r>
      <w:r>
        <w:fldChar w:fldCharType="end"/>
      </w:r>
      <w:r>
        <w:rPr>
          <w:rFonts w:ascii="Times New Roman" w:hAnsi="Times New Roman" w:eastAsia="宋体"/>
          <w:i w:val="0"/>
          <w:color w:val="555555"/>
        </w:rPr>
        <w:fldChar w:fldCharType="end"/>
      </w:r>
    </w:p>
    <w:p w14:paraId="0222F7F5">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_Toc30539 </w:instrText>
      </w:r>
      <w:r>
        <w:rPr>
          <w:rFonts w:ascii="Times New Roman" w:hAnsi="Times New Roman" w:eastAsia="宋体"/>
          <w:i w:val="0"/>
        </w:rPr>
        <w:fldChar w:fldCharType="separate"/>
      </w:r>
      <w:r>
        <w:rPr>
          <w:rFonts w:ascii="黑体" w:hAnsi="黑体" w:eastAsia="黑体"/>
          <w:i w:val="0"/>
        </w:rPr>
        <w:t>1.1 项目背景</w:t>
      </w:r>
      <w:r>
        <w:tab/>
      </w:r>
      <w:r>
        <w:fldChar w:fldCharType="begin"/>
      </w:r>
      <w:r>
        <w:instrText xml:space="preserve"> PAGEREF _Toc30539 \h </w:instrText>
      </w:r>
      <w:r>
        <w:fldChar w:fldCharType="separate"/>
      </w:r>
      <w:r>
        <w:t>7</w:t>
      </w:r>
      <w:r>
        <w:fldChar w:fldCharType="end"/>
      </w:r>
      <w:r>
        <w:rPr>
          <w:rFonts w:ascii="Times New Roman" w:hAnsi="Times New Roman" w:eastAsia="宋体"/>
          <w:i w:val="0"/>
          <w:color w:val="555555"/>
        </w:rPr>
        <w:fldChar w:fldCharType="end"/>
      </w:r>
    </w:p>
    <w:p w14:paraId="6F596928">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_Toc23889 </w:instrText>
      </w:r>
      <w:r>
        <w:rPr>
          <w:rFonts w:ascii="Times New Roman" w:hAnsi="Times New Roman" w:eastAsia="宋体"/>
          <w:i w:val="0"/>
        </w:rPr>
        <w:fldChar w:fldCharType="separate"/>
      </w:r>
      <w:r>
        <w:rPr>
          <w:rFonts w:ascii="黑体" w:hAnsi="黑体" w:eastAsia="黑体"/>
          <w:i w:val="0"/>
        </w:rPr>
        <w:t>1.2 国内外研究现状</w:t>
      </w:r>
      <w:r>
        <w:tab/>
      </w:r>
      <w:r>
        <w:fldChar w:fldCharType="begin"/>
      </w:r>
      <w:r>
        <w:instrText xml:space="preserve"> PAGEREF _Toc23889 \h </w:instrText>
      </w:r>
      <w:r>
        <w:fldChar w:fldCharType="separate"/>
      </w:r>
      <w:r>
        <w:t>8</w:t>
      </w:r>
      <w:r>
        <w:fldChar w:fldCharType="end"/>
      </w:r>
      <w:r>
        <w:rPr>
          <w:rFonts w:ascii="Times New Roman" w:hAnsi="Times New Roman" w:eastAsia="宋体"/>
          <w:i w:val="0"/>
          <w:color w:val="555555"/>
        </w:rPr>
        <w:fldChar w:fldCharType="end"/>
      </w:r>
    </w:p>
    <w:p w14:paraId="0E1FCC05">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_Toc5997 </w:instrText>
      </w:r>
      <w:r>
        <w:rPr>
          <w:rFonts w:ascii="Times New Roman" w:hAnsi="Times New Roman" w:eastAsia="宋体"/>
          <w:i w:val="0"/>
        </w:rPr>
        <w:fldChar w:fldCharType="separate"/>
      </w:r>
      <w:r>
        <w:rPr>
          <w:rFonts w:ascii="黑体" w:hAnsi="黑体" w:eastAsia="黑体"/>
          <w:i w:val="0"/>
        </w:rPr>
        <w:t>1.3 行业痛点</w:t>
      </w:r>
      <w:r>
        <w:tab/>
      </w:r>
      <w:r>
        <w:fldChar w:fldCharType="begin"/>
      </w:r>
      <w:r>
        <w:instrText xml:space="preserve"> PAGEREF _Toc5997 \h </w:instrText>
      </w:r>
      <w:r>
        <w:fldChar w:fldCharType="separate"/>
      </w:r>
      <w:r>
        <w:t>10</w:t>
      </w:r>
      <w:r>
        <w:fldChar w:fldCharType="end"/>
      </w:r>
      <w:r>
        <w:rPr>
          <w:rFonts w:ascii="Times New Roman" w:hAnsi="Times New Roman" w:eastAsia="宋体"/>
          <w:i w:val="0"/>
          <w:color w:val="555555"/>
        </w:rPr>
        <w:fldChar w:fldCharType="end"/>
      </w:r>
    </w:p>
    <w:p w14:paraId="16054531">
      <w:pPr>
        <w:pStyle w:val="26"/>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_Toc26368 </w:instrText>
      </w:r>
      <w:r>
        <w:rPr>
          <w:rFonts w:ascii="Times New Roman" w:hAnsi="Times New Roman" w:eastAsia="宋体"/>
          <w:i w:val="0"/>
        </w:rPr>
        <w:fldChar w:fldCharType="separate"/>
      </w:r>
      <w:r>
        <w:rPr>
          <w:rFonts w:ascii="黑体" w:hAnsi="黑体" w:eastAsia="黑体"/>
          <w:i w:val="0"/>
        </w:rPr>
        <w:t>二、产品介绍</w:t>
      </w:r>
      <w:r>
        <w:tab/>
      </w:r>
      <w:r>
        <w:fldChar w:fldCharType="begin"/>
      </w:r>
      <w:r>
        <w:instrText xml:space="preserve"> PAGEREF _Toc26368 \h </w:instrText>
      </w:r>
      <w:r>
        <w:fldChar w:fldCharType="separate"/>
      </w:r>
      <w:r>
        <w:t>11</w:t>
      </w:r>
      <w:r>
        <w:fldChar w:fldCharType="end"/>
      </w:r>
      <w:r>
        <w:rPr>
          <w:rFonts w:ascii="Times New Roman" w:hAnsi="Times New Roman" w:eastAsia="宋体"/>
          <w:i w:val="0"/>
          <w:color w:val="555555"/>
        </w:rPr>
        <w:fldChar w:fldCharType="end"/>
      </w:r>
    </w:p>
    <w:p w14:paraId="3C4C1617">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_Toc30530 </w:instrText>
      </w:r>
      <w:r>
        <w:rPr>
          <w:rFonts w:ascii="Times New Roman" w:hAnsi="Times New Roman" w:eastAsia="宋体"/>
          <w:i w:val="0"/>
        </w:rPr>
        <w:fldChar w:fldCharType="separate"/>
      </w:r>
      <w:r>
        <w:rPr>
          <w:rFonts w:ascii="黑体" w:hAnsi="黑体" w:eastAsia="黑体"/>
          <w:i w:val="0"/>
        </w:rPr>
        <w:t>2.1 项目简介</w:t>
      </w:r>
      <w:r>
        <w:tab/>
      </w:r>
      <w:r>
        <w:fldChar w:fldCharType="begin"/>
      </w:r>
      <w:r>
        <w:instrText xml:space="preserve"> PAGEREF _Toc30530 \h </w:instrText>
      </w:r>
      <w:r>
        <w:fldChar w:fldCharType="separate"/>
      </w:r>
      <w:r>
        <w:t>11</w:t>
      </w:r>
      <w:r>
        <w:fldChar w:fldCharType="end"/>
      </w:r>
      <w:r>
        <w:rPr>
          <w:rFonts w:ascii="Times New Roman" w:hAnsi="Times New Roman" w:eastAsia="宋体"/>
          <w:i w:val="0"/>
          <w:color w:val="555555"/>
        </w:rPr>
        <w:fldChar w:fldCharType="end"/>
      </w:r>
    </w:p>
    <w:p w14:paraId="07118D54">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_Toc8055 </w:instrText>
      </w:r>
      <w:r>
        <w:rPr>
          <w:rFonts w:ascii="Times New Roman" w:hAnsi="Times New Roman" w:eastAsia="宋体"/>
          <w:i w:val="0"/>
        </w:rPr>
        <w:fldChar w:fldCharType="separate"/>
      </w:r>
      <w:r>
        <w:rPr>
          <w:rFonts w:ascii="黑体" w:hAnsi="黑体" w:eastAsia="黑体"/>
          <w:i w:val="0"/>
        </w:rPr>
        <w:t>2.2 产品特色及创新</w:t>
      </w:r>
      <w:r>
        <w:tab/>
      </w:r>
      <w:r>
        <w:fldChar w:fldCharType="begin"/>
      </w:r>
      <w:r>
        <w:instrText xml:space="preserve"> PAGEREF _Toc8055 \h </w:instrText>
      </w:r>
      <w:r>
        <w:fldChar w:fldCharType="separate"/>
      </w:r>
      <w:r>
        <w:t>12</w:t>
      </w:r>
      <w:r>
        <w:fldChar w:fldCharType="end"/>
      </w:r>
      <w:r>
        <w:rPr>
          <w:rFonts w:ascii="Times New Roman" w:hAnsi="Times New Roman" w:eastAsia="宋体"/>
          <w:i w:val="0"/>
          <w:color w:val="555555"/>
        </w:rPr>
        <w:fldChar w:fldCharType="end"/>
      </w:r>
    </w:p>
    <w:p w14:paraId="43A89FB9">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_Toc23066 </w:instrText>
      </w:r>
      <w:r>
        <w:rPr>
          <w:rFonts w:ascii="Times New Roman" w:hAnsi="Times New Roman" w:eastAsia="宋体"/>
          <w:i w:val="0"/>
        </w:rPr>
        <w:fldChar w:fldCharType="separate"/>
      </w:r>
      <w:r>
        <w:rPr>
          <w:rFonts w:ascii="黑体" w:hAnsi="黑体" w:eastAsia="黑体"/>
          <w:i w:val="0"/>
        </w:rPr>
        <w:t>2.3 优势及核心竞争力</w:t>
      </w:r>
      <w:r>
        <w:tab/>
      </w:r>
      <w:r>
        <w:fldChar w:fldCharType="begin"/>
      </w:r>
      <w:r>
        <w:instrText xml:space="preserve"> PAGEREF _Toc23066 \h </w:instrText>
      </w:r>
      <w:r>
        <w:fldChar w:fldCharType="separate"/>
      </w:r>
      <w:r>
        <w:t>14</w:t>
      </w:r>
      <w:r>
        <w:fldChar w:fldCharType="end"/>
      </w:r>
      <w:r>
        <w:rPr>
          <w:rFonts w:ascii="Times New Roman" w:hAnsi="Times New Roman" w:eastAsia="宋体"/>
          <w:i w:val="0"/>
          <w:color w:val="555555"/>
        </w:rPr>
        <w:fldChar w:fldCharType="end"/>
      </w:r>
    </w:p>
    <w:p w14:paraId="0042A113">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_Toc5594 </w:instrText>
      </w:r>
      <w:r>
        <w:rPr>
          <w:rFonts w:ascii="Times New Roman" w:hAnsi="Times New Roman" w:eastAsia="宋体"/>
          <w:i w:val="0"/>
        </w:rPr>
        <w:fldChar w:fldCharType="separate"/>
      </w:r>
      <w:r>
        <w:rPr>
          <w:rFonts w:ascii="黑体" w:hAnsi="黑体" w:eastAsia="黑体"/>
          <w:i w:val="0"/>
        </w:rPr>
        <w:t>2.4 存在问题</w:t>
      </w:r>
      <w:r>
        <w:tab/>
      </w:r>
      <w:r>
        <w:fldChar w:fldCharType="begin"/>
      </w:r>
      <w:r>
        <w:instrText xml:space="preserve"> PAGEREF _Toc5594 \h </w:instrText>
      </w:r>
      <w:r>
        <w:fldChar w:fldCharType="separate"/>
      </w:r>
      <w:r>
        <w:t>14</w:t>
      </w:r>
      <w:r>
        <w:fldChar w:fldCharType="end"/>
      </w:r>
      <w:r>
        <w:rPr>
          <w:rFonts w:ascii="Times New Roman" w:hAnsi="Times New Roman" w:eastAsia="宋体"/>
          <w:i w:val="0"/>
          <w:color w:val="555555"/>
        </w:rPr>
        <w:fldChar w:fldCharType="end"/>
      </w:r>
    </w:p>
    <w:p w14:paraId="66634A3D">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_Toc20304 </w:instrText>
      </w:r>
      <w:r>
        <w:rPr>
          <w:rFonts w:ascii="Times New Roman" w:hAnsi="Times New Roman" w:eastAsia="宋体"/>
          <w:i w:val="0"/>
        </w:rPr>
        <w:fldChar w:fldCharType="separate"/>
      </w:r>
      <w:r>
        <w:rPr>
          <w:rFonts w:ascii="黑体" w:hAnsi="黑体" w:eastAsia="黑体"/>
          <w:i w:val="0"/>
        </w:rPr>
        <w:t>2.5 问题解决</w:t>
      </w:r>
      <w:r>
        <w:tab/>
      </w:r>
      <w:r>
        <w:fldChar w:fldCharType="begin"/>
      </w:r>
      <w:r>
        <w:instrText xml:space="preserve"> PAGEREF _Toc20304 \h </w:instrText>
      </w:r>
      <w:r>
        <w:fldChar w:fldCharType="separate"/>
      </w:r>
      <w:r>
        <w:t>15</w:t>
      </w:r>
      <w:r>
        <w:fldChar w:fldCharType="end"/>
      </w:r>
      <w:r>
        <w:rPr>
          <w:rFonts w:ascii="Times New Roman" w:hAnsi="Times New Roman" w:eastAsia="宋体"/>
          <w:i w:val="0"/>
          <w:color w:val="555555"/>
        </w:rPr>
        <w:fldChar w:fldCharType="end"/>
      </w:r>
    </w:p>
    <w:p w14:paraId="20953B04">
      <w:pPr>
        <w:pStyle w:val="26"/>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_Toc3512 </w:instrText>
      </w:r>
      <w:r>
        <w:rPr>
          <w:rFonts w:ascii="Times New Roman" w:hAnsi="Times New Roman" w:eastAsia="宋体"/>
          <w:i w:val="0"/>
        </w:rPr>
        <w:fldChar w:fldCharType="separate"/>
      </w:r>
      <w:r>
        <w:rPr>
          <w:rFonts w:ascii="黑体" w:hAnsi="黑体" w:eastAsia="黑体"/>
          <w:i w:val="0"/>
        </w:rPr>
        <w:t>三、产品技术实现路线</w:t>
      </w:r>
      <w:r>
        <w:tab/>
      </w:r>
      <w:r>
        <w:fldChar w:fldCharType="begin"/>
      </w:r>
      <w:r>
        <w:instrText xml:space="preserve"> PAGEREF _Toc3512 \h </w:instrText>
      </w:r>
      <w:r>
        <w:fldChar w:fldCharType="separate"/>
      </w:r>
      <w:r>
        <w:t>15</w:t>
      </w:r>
      <w:r>
        <w:fldChar w:fldCharType="end"/>
      </w:r>
      <w:r>
        <w:rPr>
          <w:rFonts w:ascii="Times New Roman" w:hAnsi="Times New Roman" w:eastAsia="宋体"/>
          <w:i w:val="0"/>
          <w:color w:val="555555"/>
        </w:rPr>
        <w:fldChar w:fldCharType="end"/>
      </w:r>
    </w:p>
    <w:p w14:paraId="17E066E2">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_Toc16214 </w:instrText>
      </w:r>
      <w:r>
        <w:rPr>
          <w:rFonts w:ascii="Times New Roman" w:hAnsi="Times New Roman" w:eastAsia="宋体"/>
          <w:i w:val="0"/>
        </w:rPr>
        <w:fldChar w:fldCharType="separate"/>
      </w:r>
      <w:r>
        <w:rPr>
          <w:rFonts w:ascii="黑体" w:hAnsi="黑体" w:eastAsia="黑体"/>
          <w:i w:val="0"/>
        </w:rPr>
        <w:t>3.1 总体架构</w:t>
      </w:r>
      <w:r>
        <w:tab/>
      </w:r>
      <w:r>
        <w:fldChar w:fldCharType="begin"/>
      </w:r>
      <w:r>
        <w:instrText xml:space="preserve"> PAGEREF _Toc16214 \h </w:instrText>
      </w:r>
      <w:r>
        <w:fldChar w:fldCharType="separate"/>
      </w:r>
      <w:r>
        <w:t>15</w:t>
      </w:r>
      <w:r>
        <w:fldChar w:fldCharType="end"/>
      </w:r>
      <w:r>
        <w:rPr>
          <w:rFonts w:ascii="Times New Roman" w:hAnsi="Times New Roman" w:eastAsia="宋体"/>
          <w:i w:val="0"/>
          <w:color w:val="555555"/>
        </w:rPr>
        <w:fldChar w:fldCharType="end"/>
      </w:r>
    </w:p>
    <w:p w14:paraId="409D6228">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_Toc7281 </w:instrText>
      </w:r>
      <w:r>
        <w:rPr>
          <w:rFonts w:ascii="Times New Roman" w:hAnsi="Times New Roman" w:eastAsia="宋体"/>
          <w:i w:val="0"/>
        </w:rPr>
        <w:fldChar w:fldCharType="separate"/>
      </w:r>
      <w:r>
        <w:rPr>
          <w:rFonts w:ascii="黑体" w:hAnsi="黑体" w:eastAsia="黑体"/>
          <w:i w:val="0"/>
        </w:rPr>
        <w:t>3.2 算法实现</w:t>
      </w:r>
      <w:r>
        <w:tab/>
      </w:r>
      <w:r>
        <w:fldChar w:fldCharType="begin"/>
      </w:r>
      <w:r>
        <w:instrText xml:space="preserve"> PAGEREF _Toc7281 \h </w:instrText>
      </w:r>
      <w:r>
        <w:fldChar w:fldCharType="separate"/>
      </w:r>
      <w:r>
        <w:t>16</w:t>
      </w:r>
      <w:r>
        <w:fldChar w:fldCharType="end"/>
      </w:r>
      <w:r>
        <w:rPr>
          <w:rFonts w:ascii="Times New Roman" w:hAnsi="Times New Roman" w:eastAsia="宋体"/>
          <w:i w:val="0"/>
          <w:color w:val="555555"/>
        </w:rPr>
        <w:fldChar w:fldCharType="end"/>
      </w:r>
    </w:p>
    <w:p w14:paraId="53325388">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_Toc17902 </w:instrText>
      </w:r>
      <w:r>
        <w:rPr>
          <w:rFonts w:ascii="Times New Roman" w:hAnsi="Times New Roman" w:eastAsia="宋体"/>
          <w:i w:val="0"/>
        </w:rPr>
        <w:fldChar w:fldCharType="separate"/>
      </w:r>
      <w:r>
        <w:rPr>
          <w:rFonts w:ascii="黑体" w:hAnsi="黑体" w:eastAsia="黑体"/>
          <w:i w:val="0"/>
        </w:rPr>
        <w:t>3.3 工程实现要点</w:t>
      </w:r>
      <w:r>
        <w:tab/>
      </w:r>
      <w:r>
        <w:fldChar w:fldCharType="begin"/>
      </w:r>
      <w:r>
        <w:instrText xml:space="preserve"> PAGEREF _Toc17902 \h </w:instrText>
      </w:r>
      <w:r>
        <w:fldChar w:fldCharType="separate"/>
      </w:r>
      <w:r>
        <w:t>17</w:t>
      </w:r>
      <w:r>
        <w:fldChar w:fldCharType="end"/>
      </w:r>
      <w:r>
        <w:rPr>
          <w:rFonts w:ascii="Times New Roman" w:hAnsi="Times New Roman" w:eastAsia="宋体"/>
          <w:i w:val="0"/>
          <w:color w:val="555555"/>
        </w:rPr>
        <w:fldChar w:fldCharType="end"/>
      </w:r>
    </w:p>
    <w:p w14:paraId="51A07EBF">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_Toc764 </w:instrText>
      </w:r>
      <w:r>
        <w:rPr>
          <w:rFonts w:ascii="Times New Roman" w:hAnsi="Times New Roman" w:eastAsia="宋体"/>
          <w:i w:val="0"/>
        </w:rPr>
        <w:fldChar w:fldCharType="separate"/>
      </w:r>
      <w:r>
        <w:rPr>
          <w:rFonts w:ascii="黑体" w:hAnsi="黑体" w:eastAsia="黑体"/>
          <w:i w:val="0"/>
        </w:rPr>
        <w:t>3.4 开发与部署</w:t>
      </w:r>
      <w:r>
        <w:tab/>
      </w:r>
      <w:r>
        <w:fldChar w:fldCharType="begin"/>
      </w:r>
      <w:r>
        <w:instrText xml:space="preserve"> PAGEREF _Toc764 \h </w:instrText>
      </w:r>
      <w:r>
        <w:fldChar w:fldCharType="separate"/>
      </w:r>
      <w:r>
        <w:t>17</w:t>
      </w:r>
      <w:r>
        <w:fldChar w:fldCharType="end"/>
      </w:r>
      <w:r>
        <w:rPr>
          <w:rFonts w:ascii="Times New Roman" w:hAnsi="Times New Roman" w:eastAsia="宋体"/>
          <w:i w:val="0"/>
          <w:color w:val="555555"/>
        </w:rPr>
        <w:fldChar w:fldCharType="end"/>
      </w:r>
    </w:p>
    <w:p w14:paraId="0B8032D8">
      <w:pPr>
        <w:pStyle w:val="26"/>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_Toc27506 </w:instrText>
      </w:r>
      <w:r>
        <w:rPr>
          <w:rFonts w:ascii="Times New Roman" w:hAnsi="Times New Roman" w:eastAsia="宋体"/>
          <w:i w:val="0"/>
        </w:rPr>
        <w:fldChar w:fldCharType="separate"/>
      </w:r>
      <w:r>
        <w:rPr>
          <w:rFonts w:ascii="黑体" w:hAnsi="黑体" w:eastAsia="黑体"/>
          <w:i w:val="0"/>
        </w:rPr>
        <w:t>四、市场分析</w:t>
      </w:r>
      <w:r>
        <w:tab/>
      </w:r>
      <w:r>
        <w:fldChar w:fldCharType="begin"/>
      </w:r>
      <w:r>
        <w:instrText xml:space="preserve"> PAGEREF _Toc27506 \h </w:instrText>
      </w:r>
      <w:r>
        <w:fldChar w:fldCharType="separate"/>
      </w:r>
      <w:r>
        <w:t>18</w:t>
      </w:r>
      <w:r>
        <w:fldChar w:fldCharType="end"/>
      </w:r>
      <w:r>
        <w:rPr>
          <w:rFonts w:ascii="Times New Roman" w:hAnsi="Times New Roman" w:eastAsia="宋体"/>
          <w:i w:val="0"/>
          <w:color w:val="555555"/>
        </w:rPr>
        <w:fldChar w:fldCharType="end"/>
      </w:r>
    </w:p>
    <w:p w14:paraId="0C1EA4E8">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_Toc11934 </w:instrText>
      </w:r>
      <w:r>
        <w:rPr>
          <w:rFonts w:ascii="Times New Roman" w:hAnsi="Times New Roman" w:eastAsia="宋体"/>
          <w:i w:val="0"/>
        </w:rPr>
        <w:fldChar w:fldCharType="separate"/>
      </w:r>
      <w:r>
        <w:rPr>
          <w:rFonts w:ascii="黑体" w:hAnsi="黑体" w:eastAsia="黑体"/>
          <w:i w:val="0"/>
        </w:rPr>
        <w:t>4.1 目标市场与客户定位</w:t>
      </w:r>
      <w:r>
        <w:tab/>
      </w:r>
      <w:r>
        <w:fldChar w:fldCharType="begin"/>
      </w:r>
      <w:r>
        <w:instrText xml:space="preserve"> PAGEREF _Toc11934 \h </w:instrText>
      </w:r>
      <w:r>
        <w:fldChar w:fldCharType="separate"/>
      </w:r>
      <w:r>
        <w:t>18</w:t>
      </w:r>
      <w:r>
        <w:fldChar w:fldCharType="end"/>
      </w:r>
      <w:r>
        <w:rPr>
          <w:rFonts w:ascii="Times New Roman" w:hAnsi="Times New Roman" w:eastAsia="宋体"/>
          <w:i w:val="0"/>
          <w:color w:val="555555"/>
        </w:rPr>
        <w:fldChar w:fldCharType="end"/>
      </w:r>
    </w:p>
    <w:p w14:paraId="1FDD3745">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_Toc7452 </w:instrText>
      </w:r>
      <w:r>
        <w:rPr>
          <w:rFonts w:ascii="Times New Roman" w:hAnsi="Times New Roman" w:eastAsia="宋体"/>
          <w:i w:val="0"/>
        </w:rPr>
        <w:fldChar w:fldCharType="separate"/>
      </w:r>
      <w:r>
        <w:rPr>
          <w:rFonts w:ascii="黑体" w:hAnsi="黑体" w:eastAsia="黑体"/>
          <w:i w:val="0"/>
        </w:rPr>
        <w:t>4.2 政策分析</w:t>
      </w:r>
      <w:r>
        <w:tab/>
      </w:r>
      <w:r>
        <w:fldChar w:fldCharType="begin"/>
      </w:r>
      <w:r>
        <w:instrText xml:space="preserve"> PAGEREF _Toc7452 \h </w:instrText>
      </w:r>
      <w:r>
        <w:fldChar w:fldCharType="separate"/>
      </w:r>
      <w:r>
        <w:t>18</w:t>
      </w:r>
      <w:r>
        <w:fldChar w:fldCharType="end"/>
      </w:r>
      <w:r>
        <w:rPr>
          <w:rFonts w:ascii="Times New Roman" w:hAnsi="Times New Roman" w:eastAsia="宋体"/>
          <w:i w:val="0"/>
          <w:color w:val="555555"/>
        </w:rPr>
        <w:fldChar w:fldCharType="end"/>
      </w:r>
    </w:p>
    <w:p w14:paraId="0776B9DE">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_Toc24719 </w:instrText>
      </w:r>
      <w:r>
        <w:rPr>
          <w:rFonts w:ascii="Times New Roman" w:hAnsi="Times New Roman" w:eastAsia="宋体"/>
          <w:i w:val="0"/>
        </w:rPr>
        <w:fldChar w:fldCharType="separate"/>
      </w:r>
      <w:r>
        <w:rPr>
          <w:rFonts w:ascii="黑体" w:hAnsi="黑体" w:eastAsia="黑体"/>
          <w:i w:val="0"/>
        </w:rPr>
        <w:t>4.3 市场规模</w:t>
      </w:r>
      <w:r>
        <w:tab/>
      </w:r>
      <w:r>
        <w:fldChar w:fldCharType="begin"/>
      </w:r>
      <w:r>
        <w:instrText xml:space="preserve"> PAGEREF _Toc24719 \h </w:instrText>
      </w:r>
      <w:r>
        <w:fldChar w:fldCharType="separate"/>
      </w:r>
      <w:r>
        <w:t>18</w:t>
      </w:r>
      <w:r>
        <w:fldChar w:fldCharType="end"/>
      </w:r>
      <w:r>
        <w:rPr>
          <w:rFonts w:ascii="Times New Roman" w:hAnsi="Times New Roman" w:eastAsia="宋体"/>
          <w:i w:val="0"/>
          <w:color w:val="555555"/>
        </w:rPr>
        <w:fldChar w:fldCharType="end"/>
      </w:r>
    </w:p>
    <w:p w14:paraId="03BD9095">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_Toc1182 </w:instrText>
      </w:r>
      <w:r>
        <w:rPr>
          <w:rFonts w:ascii="Times New Roman" w:hAnsi="Times New Roman" w:eastAsia="宋体"/>
          <w:i w:val="0"/>
        </w:rPr>
        <w:fldChar w:fldCharType="separate"/>
      </w:r>
      <w:r>
        <w:rPr>
          <w:rFonts w:ascii="黑体" w:hAnsi="黑体" w:eastAsia="黑体"/>
          <w:i w:val="0"/>
        </w:rPr>
        <w:t>4.4 市场预测</w:t>
      </w:r>
      <w:r>
        <w:tab/>
      </w:r>
      <w:r>
        <w:fldChar w:fldCharType="begin"/>
      </w:r>
      <w:r>
        <w:instrText xml:space="preserve"> PAGEREF _Toc1182 \h </w:instrText>
      </w:r>
      <w:r>
        <w:fldChar w:fldCharType="separate"/>
      </w:r>
      <w:r>
        <w:t>19</w:t>
      </w:r>
      <w:r>
        <w:fldChar w:fldCharType="end"/>
      </w:r>
      <w:r>
        <w:rPr>
          <w:rFonts w:ascii="Times New Roman" w:hAnsi="Times New Roman" w:eastAsia="宋体"/>
          <w:i w:val="0"/>
          <w:color w:val="555555"/>
        </w:rPr>
        <w:fldChar w:fldCharType="end"/>
      </w:r>
    </w:p>
    <w:p w14:paraId="4C8B49FE">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_Toc15272 </w:instrText>
      </w:r>
      <w:r>
        <w:rPr>
          <w:rFonts w:ascii="Times New Roman" w:hAnsi="Times New Roman" w:eastAsia="宋体"/>
          <w:i w:val="0"/>
        </w:rPr>
        <w:fldChar w:fldCharType="separate"/>
      </w:r>
      <w:r>
        <w:rPr>
          <w:rFonts w:ascii="黑体" w:hAnsi="黑体" w:eastAsia="黑体"/>
          <w:i w:val="0"/>
        </w:rPr>
        <w:t>4.5 SWOT 分析</w:t>
      </w:r>
      <w:r>
        <w:tab/>
      </w:r>
      <w:r>
        <w:fldChar w:fldCharType="begin"/>
      </w:r>
      <w:r>
        <w:instrText xml:space="preserve"> PAGEREF _Toc15272 \h </w:instrText>
      </w:r>
      <w:r>
        <w:fldChar w:fldCharType="separate"/>
      </w:r>
      <w:r>
        <w:t>19</w:t>
      </w:r>
      <w:r>
        <w:fldChar w:fldCharType="end"/>
      </w:r>
      <w:r>
        <w:rPr>
          <w:rFonts w:ascii="Times New Roman" w:hAnsi="Times New Roman" w:eastAsia="宋体"/>
          <w:i w:val="0"/>
          <w:color w:val="555555"/>
        </w:rPr>
        <w:fldChar w:fldCharType="end"/>
      </w:r>
    </w:p>
    <w:p w14:paraId="273B663D">
      <w:pPr>
        <w:pStyle w:val="26"/>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_Toc8602 </w:instrText>
      </w:r>
      <w:r>
        <w:rPr>
          <w:rFonts w:ascii="Times New Roman" w:hAnsi="Times New Roman" w:eastAsia="宋体"/>
          <w:i w:val="0"/>
        </w:rPr>
        <w:fldChar w:fldCharType="separate"/>
      </w:r>
      <w:r>
        <w:rPr>
          <w:rFonts w:ascii="黑体" w:hAnsi="黑体" w:eastAsia="黑体"/>
          <w:i w:val="0"/>
        </w:rPr>
        <w:t>五、营销策略</w:t>
      </w:r>
      <w:r>
        <w:tab/>
      </w:r>
      <w:r>
        <w:fldChar w:fldCharType="begin"/>
      </w:r>
      <w:r>
        <w:instrText xml:space="preserve"> PAGEREF _Toc8602 \h </w:instrText>
      </w:r>
      <w:r>
        <w:fldChar w:fldCharType="separate"/>
      </w:r>
      <w:r>
        <w:t>20</w:t>
      </w:r>
      <w:r>
        <w:fldChar w:fldCharType="end"/>
      </w:r>
      <w:r>
        <w:rPr>
          <w:rFonts w:ascii="Times New Roman" w:hAnsi="Times New Roman" w:eastAsia="宋体"/>
          <w:i w:val="0"/>
          <w:color w:val="555555"/>
        </w:rPr>
        <w:fldChar w:fldCharType="end"/>
      </w:r>
    </w:p>
    <w:p w14:paraId="508BF785">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_Toc12419 </w:instrText>
      </w:r>
      <w:r>
        <w:rPr>
          <w:rFonts w:ascii="Times New Roman" w:hAnsi="Times New Roman" w:eastAsia="宋体"/>
          <w:i w:val="0"/>
        </w:rPr>
        <w:fldChar w:fldCharType="separate"/>
      </w:r>
      <w:r>
        <w:rPr>
          <w:rFonts w:ascii="黑体" w:hAnsi="黑体" w:eastAsia="黑体"/>
          <w:i w:val="0"/>
        </w:rPr>
        <w:t>5.1 产品策略</w:t>
      </w:r>
      <w:r>
        <w:tab/>
      </w:r>
      <w:r>
        <w:fldChar w:fldCharType="begin"/>
      </w:r>
      <w:r>
        <w:instrText xml:space="preserve"> PAGEREF _Toc12419 \h </w:instrText>
      </w:r>
      <w:r>
        <w:fldChar w:fldCharType="separate"/>
      </w:r>
      <w:r>
        <w:t>20</w:t>
      </w:r>
      <w:r>
        <w:fldChar w:fldCharType="end"/>
      </w:r>
      <w:r>
        <w:rPr>
          <w:rFonts w:ascii="Times New Roman" w:hAnsi="Times New Roman" w:eastAsia="宋体"/>
          <w:i w:val="0"/>
          <w:color w:val="555555"/>
        </w:rPr>
        <w:fldChar w:fldCharType="end"/>
      </w:r>
    </w:p>
    <w:p w14:paraId="3F8F18A8">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_Toc23479 </w:instrText>
      </w:r>
      <w:r>
        <w:rPr>
          <w:rFonts w:ascii="Times New Roman" w:hAnsi="Times New Roman" w:eastAsia="宋体"/>
          <w:i w:val="0"/>
        </w:rPr>
        <w:fldChar w:fldCharType="separate"/>
      </w:r>
      <w:r>
        <w:rPr>
          <w:rFonts w:ascii="黑体" w:hAnsi="黑体" w:eastAsia="黑体"/>
          <w:i w:val="0"/>
        </w:rPr>
        <w:t>5.2 价格策略</w:t>
      </w:r>
      <w:r>
        <w:tab/>
      </w:r>
      <w:r>
        <w:fldChar w:fldCharType="begin"/>
      </w:r>
      <w:r>
        <w:instrText xml:space="preserve"> PAGEREF _Toc23479 \h </w:instrText>
      </w:r>
      <w:r>
        <w:fldChar w:fldCharType="separate"/>
      </w:r>
      <w:r>
        <w:t>20</w:t>
      </w:r>
      <w:r>
        <w:fldChar w:fldCharType="end"/>
      </w:r>
      <w:r>
        <w:rPr>
          <w:rFonts w:ascii="Times New Roman" w:hAnsi="Times New Roman" w:eastAsia="宋体"/>
          <w:i w:val="0"/>
          <w:color w:val="555555"/>
        </w:rPr>
        <w:fldChar w:fldCharType="end"/>
      </w:r>
    </w:p>
    <w:p w14:paraId="4C8A16A6">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_Toc17346 </w:instrText>
      </w:r>
      <w:r>
        <w:rPr>
          <w:rFonts w:ascii="Times New Roman" w:hAnsi="Times New Roman" w:eastAsia="宋体"/>
          <w:i w:val="0"/>
        </w:rPr>
        <w:fldChar w:fldCharType="separate"/>
      </w:r>
      <w:r>
        <w:rPr>
          <w:rFonts w:ascii="黑体" w:hAnsi="黑体" w:eastAsia="黑体"/>
          <w:i w:val="0"/>
        </w:rPr>
        <w:t>5.3 推广策略</w:t>
      </w:r>
      <w:r>
        <w:tab/>
      </w:r>
      <w:r>
        <w:fldChar w:fldCharType="begin"/>
      </w:r>
      <w:r>
        <w:instrText xml:space="preserve"> PAGEREF _Toc17346 \h </w:instrText>
      </w:r>
      <w:r>
        <w:fldChar w:fldCharType="separate"/>
      </w:r>
      <w:r>
        <w:t>21</w:t>
      </w:r>
      <w:r>
        <w:fldChar w:fldCharType="end"/>
      </w:r>
      <w:r>
        <w:rPr>
          <w:rFonts w:ascii="Times New Roman" w:hAnsi="Times New Roman" w:eastAsia="宋体"/>
          <w:i w:val="0"/>
          <w:color w:val="555555"/>
        </w:rPr>
        <w:fldChar w:fldCharType="end"/>
      </w:r>
    </w:p>
    <w:p w14:paraId="24915B7A">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_Toc14939 </w:instrText>
      </w:r>
      <w:r>
        <w:rPr>
          <w:rFonts w:ascii="Times New Roman" w:hAnsi="Times New Roman" w:eastAsia="宋体"/>
          <w:i w:val="0"/>
        </w:rPr>
        <w:fldChar w:fldCharType="separate"/>
      </w:r>
      <w:r>
        <w:rPr>
          <w:rFonts w:ascii="黑体" w:hAnsi="黑体" w:eastAsia="黑体"/>
          <w:i w:val="0"/>
        </w:rPr>
        <w:t>5.4 服务策略</w:t>
      </w:r>
      <w:r>
        <w:tab/>
      </w:r>
      <w:r>
        <w:fldChar w:fldCharType="begin"/>
      </w:r>
      <w:r>
        <w:instrText xml:space="preserve"> PAGEREF _Toc14939 \h </w:instrText>
      </w:r>
      <w:r>
        <w:fldChar w:fldCharType="separate"/>
      </w:r>
      <w:r>
        <w:t>21</w:t>
      </w:r>
      <w:r>
        <w:fldChar w:fldCharType="end"/>
      </w:r>
      <w:r>
        <w:rPr>
          <w:rFonts w:ascii="Times New Roman" w:hAnsi="Times New Roman" w:eastAsia="宋体"/>
          <w:i w:val="0"/>
          <w:color w:val="555555"/>
        </w:rPr>
        <w:fldChar w:fldCharType="end"/>
      </w:r>
    </w:p>
    <w:p w14:paraId="2C56E4B8">
      <w:pPr>
        <w:pStyle w:val="26"/>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_Toc18256 </w:instrText>
      </w:r>
      <w:r>
        <w:rPr>
          <w:rFonts w:ascii="Times New Roman" w:hAnsi="Times New Roman" w:eastAsia="宋体"/>
          <w:i w:val="0"/>
        </w:rPr>
        <w:fldChar w:fldCharType="separate"/>
      </w:r>
      <w:r>
        <w:rPr>
          <w:rFonts w:ascii="黑体" w:hAnsi="黑体" w:eastAsia="黑体"/>
          <w:i w:val="0"/>
        </w:rPr>
        <w:t>六、风险分析与防范</w:t>
      </w:r>
      <w:r>
        <w:tab/>
      </w:r>
      <w:r>
        <w:fldChar w:fldCharType="begin"/>
      </w:r>
      <w:r>
        <w:instrText xml:space="preserve"> PAGEREF _Toc18256 \h </w:instrText>
      </w:r>
      <w:r>
        <w:fldChar w:fldCharType="separate"/>
      </w:r>
      <w:r>
        <w:t>21</w:t>
      </w:r>
      <w:r>
        <w:fldChar w:fldCharType="end"/>
      </w:r>
      <w:r>
        <w:rPr>
          <w:rFonts w:ascii="Times New Roman" w:hAnsi="Times New Roman" w:eastAsia="宋体"/>
          <w:i w:val="0"/>
          <w:color w:val="555555"/>
        </w:rPr>
        <w:fldChar w:fldCharType="end"/>
      </w:r>
    </w:p>
    <w:p w14:paraId="16E2BAB2">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_Toc5984 </w:instrText>
      </w:r>
      <w:r>
        <w:rPr>
          <w:rFonts w:ascii="Times New Roman" w:hAnsi="Times New Roman" w:eastAsia="宋体"/>
          <w:i w:val="0"/>
        </w:rPr>
        <w:fldChar w:fldCharType="separate"/>
      </w:r>
      <w:r>
        <w:rPr>
          <w:rFonts w:ascii="黑体" w:hAnsi="黑体" w:eastAsia="黑体"/>
          <w:i w:val="0"/>
        </w:rPr>
        <w:t>6.1 风险分析</w:t>
      </w:r>
      <w:r>
        <w:tab/>
      </w:r>
      <w:r>
        <w:fldChar w:fldCharType="begin"/>
      </w:r>
      <w:r>
        <w:instrText xml:space="preserve"> PAGEREF _Toc5984 \h </w:instrText>
      </w:r>
      <w:r>
        <w:fldChar w:fldCharType="separate"/>
      </w:r>
      <w:r>
        <w:t>21</w:t>
      </w:r>
      <w:r>
        <w:fldChar w:fldCharType="end"/>
      </w:r>
      <w:r>
        <w:rPr>
          <w:rFonts w:ascii="Times New Roman" w:hAnsi="Times New Roman" w:eastAsia="宋体"/>
          <w:i w:val="0"/>
          <w:color w:val="555555"/>
        </w:rPr>
        <w:fldChar w:fldCharType="end"/>
      </w:r>
    </w:p>
    <w:p w14:paraId="737FC42C">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_Toc9941 </w:instrText>
      </w:r>
      <w:r>
        <w:rPr>
          <w:rFonts w:ascii="Times New Roman" w:hAnsi="Times New Roman" w:eastAsia="宋体"/>
          <w:i w:val="0"/>
        </w:rPr>
        <w:fldChar w:fldCharType="separate"/>
      </w:r>
      <w:r>
        <w:rPr>
          <w:rFonts w:ascii="黑体" w:hAnsi="黑体" w:eastAsia="黑体"/>
          <w:i w:val="0"/>
        </w:rPr>
        <w:t>6.2 防范对策</w:t>
      </w:r>
      <w:r>
        <w:tab/>
      </w:r>
      <w:r>
        <w:fldChar w:fldCharType="begin"/>
      </w:r>
      <w:r>
        <w:instrText xml:space="preserve"> PAGEREF _Toc9941 \h </w:instrText>
      </w:r>
      <w:r>
        <w:fldChar w:fldCharType="separate"/>
      </w:r>
      <w:r>
        <w:t>22</w:t>
      </w:r>
      <w:r>
        <w:fldChar w:fldCharType="end"/>
      </w:r>
      <w:r>
        <w:rPr>
          <w:rFonts w:ascii="Times New Roman" w:hAnsi="Times New Roman" w:eastAsia="宋体"/>
          <w:i w:val="0"/>
          <w:color w:val="555555"/>
        </w:rPr>
        <w:fldChar w:fldCharType="end"/>
      </w:r>
    </w:p>
    <w:p w14:paraId="0B750FA3">
      <w:pPr>
        <w:pStyle w:val="26"/>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_Toc3127 </w:instrText>
      </w:r>
      <w:r>
        <w:rPr>
          <w:rFonts w:ascii="Times New Roman" w:hAnsi="Times New Roman" w:eastAsia="宋体"/>
          <w:i w:val="0"/>
        </w:rPr>
        <w:fldChar w:fldCharType="separate"/>
      </w:r>
      <w:r>
        <w:rPr>
          <w:rFonts w:ascii="黑体" w:hAnsi="黑体" w:eastAsia="黑体"/>
          <w:i w:val="0"/>
        </w:rPr>
        <w:t>七、财务分析与融资计划</w:t>
      </w:r>
      <w:r>
        <w:tab/>
      </w:r>
      <w:r>
        <w:fldChar w:fldCharType="begin"/>
      </w:r>
      <w:r>
        <w:instrText xml:space="preserve"> PAGEREF _Toc3127 \h </w:instrText>
      </w:r>
      <w:r>
        <w:fldChar w:fldCharType="separate"/>
      </w:r>
      <w:r>
        <w:t>23</w:t>
      </w:r>
      <w:r>
        <w:fldChar w:fldCharType="end"/>
      </w:r>
      <w:r>
        <w:rPr>
          <w:rFonts w:ascii="Times New Roman" w:hAnsi="Times New Roman" w:eastAsia="宋体"/>
          <w:i w:val="0"/>
          <w:color w:val="555555"/>
        </w:rPr>
        <w:fldChar w:fldCharType="end"/>
      </w:r>
    </w:p>
    <w:p w14:paraId="76B25C14">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_Toc10430 </w:instrText>
      </w:r>
      <w:r>
        <w:rPr>
          <w:rFonts w:ascii="Times New Roman" w:hAnsi="Times New Roman" w:eastAsia="宋体"/>
          <w:i w:val="0"/>
        </w:rPr>
        <w:fldChar w:fldCharType="separate"/>
      </w:r>
      <w:r>
        <w:rPr>
          <w:rFonts w:ascii="黑体" w:hAnsi="黑体" w:eastAsia="黑体"/>
          <w:i w:val="0"/>
        </w:rPr>
        <w:t>7.1 成本分析</w:t>
      </w:r>
      <w:r>
        <w:tab/>
      </w:r>
      <w:r>
        <w:fldChar w:fldCharType="begin"/>
      </w:r>
      <w:r>
        <w:instrText xml:space="preserve"> PAGEREF _Toc10430 \h </w:instrText>
      </w:r>
      <w:r>
        <w:fldChar w:fldCharType="separate"/>
      </w:r>
      <w:r>
        <w:t>23</w:t>
      </w:r>
      <w:r>
        <w:fldChar w:fldCharType="end"/>
      </w:r>
      <w:r>
        <w:rPr>
          <w:rFonts w:ascii="Times New Roman" w:hAnsi="Times New Roman" w:eastAsia="宋体"/>
          <w:i w:val="0"/>
          <w:color w:val="555555"/>
        </w:rPr>
        <w:fldChar w:fldCharType="end"/>
      </w:r>
    </w:p>
    <w:p w14:paraId="73FBE119">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_Toc5460 </w:instrText>
      </w:r>
      <w:r>
        <w:rPr>
          <w:rFonts w:ascii="Times New Roman" w:hAnsi="Times New Roman" w:eastAsia="宋体"/>
          <w:i w:val="0"/>
        </w:rPr>
        <w:fldChar w:fldCharType="separate"/>
      </w:r>
      <w:r>
        <w:rPr>
          <w:rFonts w:ascii="黑体" w:hAnsi="黑体" w:eastAsia="黑体"/>
          <w:i w:val="0"/>
        </w:rPr>
        <w:t>7.2 赢利点分析</w:t>
      </w:r>
      <w:r>
        <w:tab/>
      </w:r>
      <w:r>
        <w:fldChar w:fldCharType="begin"/>
      </w:r>
      <w:r>
        <w:instrText xml:space="preserve"> PAGEREF _Toc5460 \h </w:instrText>
      </w:r>
      <w:r>
        <w:fldChar w:fldCharType="separate"/>
      </w:r>
      <w:r>
        <w:t>24</w:t>
      </w:r>
      <w:r>
        <w:fldChar w:fldCharType="end"/>
      </w:r>
      <w:r>
        <w:rPr>
          <w:rFonts w:ascii="Times New Roman" w:hAnsi="Times New Roman" w:eastAsia="宋体"/>
          <w:i w:val="0"/>
          <w:color w:val="555555"/>
        </w:rPr>
        <w:fldChar w:fldCharType="end"/>
      </w:r>
    </w:p>
    <w:p w14:paraId="69777931">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_Toc20608 </w:instrText>
      </w:r>
      <w:r>
        <w:rPr>
          <w:rFonts w:ascii="Times New Roman" w:hAnsi="Times New Roman" w:eastAsia="宋体"/>
          <w:i w:val="0"/>
        </w:rPr>
        <w:fldChar w:fldCharType="separate"/>
      </w:r>
      <w:r>
        <w:rPr>
          <w:rFonts w:ascii="黑体" w:hAnsi="黑体" w:eastAsia="黑体"/>
          <w:i w:val="0"/>
        </w:rPr>
        <w:t>7.3 收益分析</w:t>
      </w:r>
      <w:r>
        <w:tab/>
      </w:r>
      <w:r>
        <w:fldChar w:fldCharType="begin"/>
      </w:r>
      <w:r>
        <w:instrText xml:space="preserve"> PAGEREF _Toc20608 \h </w:instrText>
      </w:r>
      <w:r>
        <w:fldChar w:fldCharType="separate"/>
      </w:r>
      <w:r>
        <w:t>24</w:t>
      </w:r>
      <w:r>
        <w:fldChar w:fldCharType="end"/>
      </w:r>
      <w:r>
        <w:rPr>
          <w:rFonts w:ascii="Times New Roman" w:hAnsi="Times New Roman" w:eastAsia="宋体"/>
          <w:i w:val="0"/>
          <w:color w:val="555555"/>
        </w:rPr>
        <w:fldChar w:fldCharType="end"/>
      </w:r>
    </w:p>
    <w:p w14:paraId="46F797A0">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_Toc1504 </w:instrText>
      </w:r>
      <w:r>
        <w:rPr>
          <w:rFonts w:ascii="Times New Roman" w:hAnsi="Times New Roman" w:eastAsia="宋体"/>
          <w:i w:val="0"/>
        </w:rPr>
        <w:fldChar w:fldCharType="separate"/>
      </w:r>
      <w:r>
        <w:rPr>
          <w:rFonts w:ascii="黑体" w:hAnsi="黑体" w:eastAsia="黑体"/>
          <w:i w:val="0"/>
        </w:rPr>
        <w:t>7.4 融资需求</w:t>
      </w:r>
      <w:r>
        <w:tab/>
      </w:r>
      <w:r>
        <w:fldChar w:fldCharType="begin"/>
      </w:r>
      <w:r>
        <w:instrText xml:space="preserve"> PAGEREF _Toc1504 \h </w:instrText>
      </w:r>
      <w:r>
        <w:fldChar w:fldCharType="separate"/>
      </w:r>
      <w:r>
        <w:t>25</w:t>
      </w:r>
      <w:r>
        <w:fldChar w:fldCharType="end"/>
      </w:r>
      <w:r>
        <w:rPr>
          <w:rFonts w:ascii="Times New Roman" w:hAnsi="Times New Roman" w:eastAsia="宋体"/>
          <w:i w:val="0"/>
          <w:color w:val="555555"/>
        </w:rPr>
        <w:fldChar w:fldCharType="end"/>
      </w:r>
    </w:p>
    <w:p w14:paraId="2BDBAF28">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_Toc13317 </w:instrText>
      </w:r>
      <w:r>
        <w:rPr>
          <w:rFonts w:ascii="Times New Roman" w:hAnsi="Times New Roman" w:eastAsia="宋体"/>
          <w:i w:val="0"/>
        </w:rPr>
        <w:fldChar w:fldCharType="separate"/>
      </w:r>
      <w:r>
        <w:rPr>
          <w:rFonts w:ascii="黑体" w:hAnsi="黑体" w:eastAsia="黑体"/>
          <w:i w:val="0"/>
        </w:rPr>
        <w:t>7.5 投资者退出机制</w:t>
      </w:r>
      <w:r>
        <w:tab/>
      </w:r>
      <w:r>
        <w:fldChar w:fldCharType="begin"/>
      </w:r>
      <w:r>
        <w:instrText xml:space="preserve"> PAGEREF _Toc13317 \h </w:instrText>
      </w:r>
      <w:r>
        <w:fldChar w:fldCharType="separate"/>
      </w:r>
      <w:r>
        <w:t>25</w:t>
      </w:r>
      <w:r>
        <w:fldChar w:fldCharType="end"/>
      </w:r>
      <w:r>
        <w:rPr>
          <w:rFonts w:ascii="Times New Roman" w:hAnsi="Times New Roman" w:eastAsia="宋体"/>
          <w:i w:val="0"/>
          <w:color w:val="555555"/>
        </w:rPr>
        <w:fldChar w:fldCharType="end"/>
      </w:r>
    </w:p>
    <w:p w14:paraId="239669BC">
      <w:pPr>
        <w:pStyle w:val="26"/>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_Toc30203 </w:instrText>
      </w:r>
      <w:r>
        <w:rPr>
          <w:rFonts w:ascii="Times New Roman" w:hAnsi="Times New Roman" w:eastAsia="宋体"/>
          <w:i w:val="0"/>
        </w:rPr>
        <w:fldChar w:fldCharType="separate"/>
      </w:r>
      <w:r>
        <w:rPr>
          <w:rFonts w:ascii="黑体" w:hAnsi="黑体" w:eastAsia="黑体"/>
          <w:i w:val="0"/>
        </w:rPr>
        <w:t>八、社会价值与就业带动</w:t>
      </w:r>
      <w:r>
        <w:tab/>
      </w:r>
      <w:r>
        <w:fldChar w:fldCharType="begin"/>
      </w:r>
      <w:r>
        <w:instrText xml:space="preserve"> PAGEREF _Toc30203 \h </w:instrText>
      </w:r>
      <w:r>
        <w:fldChar w:fldCharType="separate"/>
      </w:r>
      <w:r>
        <w:t>26</w:t>
      </w:r>
      <w:r>
        <w:fldChar w:fldCharType="end"/>
      </w:r>
      <w:r>
        <w:rPr>
          <w:rFonts w:ascii="Times New Roman" w:hAnsi="Times New Roman" w:eastAsia="宋体"/>
          <w:i w:val="0"/>
          <w:color w:val="555555"/>
        </w:rPr>
        <w:fldChar w:fldCharType="end"/>
      </w:r>
    </w:p>
    <w:p w14:paraId="5500BDBC">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_Toc25950 </w:instrText>
      </w:r>
      <w:r>
        <w:rPr>
          <w:rFonts w:ascii="Times New Roman" w:hAnsi="Times New Roman" w:eastAsia="宋体"/>
          <w:i w:val="0"/>
        </w:rPr>
        <w:fldChar w:fldCharType="separate"/>
      </w:r>
      <w:r>
        <w:rPr>
          <w:rFonts w:ascii="黑体" w:hAnsi="黑体" w:eastAsia="黑体"/>
          <w:i w:val="0"/>
        </w:rPr>
        <w:t>8.1 直接就业（项目自身运营，核心固定岗位）</w:t>
      </w:r>
      <w:r>
        <w:tab/>
      </w:r>
      <w:r>
        <w:fldChar w:fldCharType="begin"/>
      </w:r>
      <w:r>
        <w:instrText xml:space="preserve"> PAGEREF _Toc25950 \h </w:instrText>
      </w:r>
      <w:r>
        <w:fldChar w:fldCharType="separate"/>
      </w:r>
      <w:r>
        <w:t>26</w:t>
      </w:r>
      <w:r>
        <w:fldChar w:fldCharType="end"/>
      </w:r>
      <w:r>
        <w:rPr>
          <w:rFonts w:ascii="Times New Roman" w:hAnsi="Times New Roman" w:eastAsia="宋体"/>
          <w:i w:val="0"/>
          <w:color w:val="555555"/>
        </w:rPr>
        <w:fldChar w:fldCharType="end"/>
      </w:r>
    </w:p>
    <w:p w14:paraId="3DAAF6A2">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_Toc26647 </w:instrText>
      </w:r>
      <w:r>
        <w:rPr>
          <w:rFonts w:ascii="Times New Roman" w:hAnsi="Times New Roman" w:eastAsia="宋体"/>
          <w:i w:val="0"/>
        </w:rPr>
        <w:fldChar w:fldCharType="separate"/>
      </w:r>
      <w:r>
        <w:rPr>
          <w:rFonts w:ascii="黑体" w:hAnsi="黑体" w:eastAsia="黑体"/>
          <w:i w:val="0"/>
        </w:rPr>
        <w:t>8.2 上游产业链间接就业（数据、算力、技术供给端）</w:t>
      </w:r>
      <w:r>
        <w:tab/>
      </w:r>
      <w:r>
        <w:fldChar w:fldCharType="begin"/>
      </w:r>
      <w:r>
        <w:instrText xml:space="preserve"> PAGEREF _Toc26647 \h </w:instrText>
      </w:r>
      <w:r>
        <w:fldChar w:fldCharType="separate"/>
      </w:r>
      <w:r>
        <w:t>26</w:t>
      </w:r>
      <w:r>
        <w:fldChar w:fldCharType="end"/>
      </w:r>
      <w:r>
        <w:rPr>
          <w:rFonts w:ascii="Times New Roman" w:hAnsi="Times New Roman" w:eastAsia="宋体"/>
          <w:i w:val="0"/>
          <w:color w:val="555555"/>
        </w:rPr>
        <w:fldChar w:fldCharType="end"/>
      </w:r>
    </w:p>
    <w:p w14:paraId="31449662">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_Toc23346 </w:instrText>
      </w:r>
      <w:r>
        <w:rPr>
          <w:rFonts w:ascii="Times New Roman" w:hAnsi="Times New Roman" w:eastAsia="宋体"/>
          <w:i w:val="0"/>
        </w:rPr>
        <w:fldChar w:fldCharType="separate"/>
      </w:r>
      <w:r>
        <w:rPr>
          <w:rFonts w:ascii="黑体" w:hAnsi="黑体" w:eastAsia="黑体"/>
          <w:i w:val="0"/>
        </w:rPr>
        <w:t>8.3 下游产业链间接就业（银行与科创企业服务端）</w:t>
      </w:r>
      <w:r>
        <w:tab/>
      </w:r>
      <w:r>
        <w:fldChar w:fldCharType="begin"/>
      </w:r>
      <w:r>
        <w:instrText xml:space="preserve"> PAGEREF _Toc23346 \h </w:instrText>
      </w:r>
      <w:r>
        <w:fldChar w:fldCharType="separate"/>
      </w:r>
      <w:r>
        <w:t>26</w:t>
      </w:r>
      <w:r>
        <w:fldChar w:fldCharType="end"/>
      </w:r>
      <w:r>
        <w:rPr>
          <w:rFonts w:ascii="Times New Roman" w:hAnsi="Times New Roman" w:eastAsia="宋体"/>
          <w:i w:val="0"/>
          <w:color w:val="555555"/>
        </w:rPr>
        <w:fldChar w:fldCharType="end"/>
      </w:r>
    </w:p>
    <w:p w14:paraId="1AFF3C28">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_Toc1595 </w:instrText>
      </w:r>
      <w:r>
        <w:rPr>
          <w:rFonts w:ascii="Times New Roman" w:hAnsi="Times New Roman" w:eastAsia="宋体"/>
          <w:i w:val="0"/>
        </w:rPr>
        <w:fldChar w:fldCharType="separate"/>
      </w:r>
      <w:r>
        <w:rPr>
          <w:rFonts w:ascii="黑体" w:hAnsi="黑体" w:eastAsia="黑体"/>
          <w:i w:val="0"/>
        </w:rPr>
        <w:t>8.4 社会价值与创业带动</w:t>
      </w:r>
      <w:r>
        <w:tab/>
      </w:r>
      <w:r>
        <w:fldChar w:fldCharType="begin"/>
      </w:r>
      <w:r>
        <w:instrText xml:space="preserve"> PAGEREF _Toc1595 \h </w:instrText>
      </w:r>
      <w:r>
        <w:fldChar w:fldCharType="separate"/>
      </w:r>
      <w:r>
        <w:t>26</w:t>
      </w:r>
      <w:r>
        <w:fldChar w:fldCharType="end"/>
      </w:r>
      <w:r>
        <w:rPr>
          <w:rFonts w:ascii="Times New Roman" w:hAnsi="Times New Roman" w:eastAsia="宋体"/>
          <w:i w:val="0"/>
          <w:color w:val="555555"/>
        </w:rPr>
        <w:fldChar w:fldCharType="end"/>
      </w:r>
    </w:p>
    <w:p w14:paraId="3D3761C3">
      <w:pPr>
        <w:pStyle w:val="26"/>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_Toc21895 </w:instrText>
      </w:r>
      <w:r>
        <w:rPr>
          <w:rFonts w:ascii="Times New Roman" w:hAnsi="Times New Roman" w:eastAsia="宋体"/>
          <w:i w:val="0"/>
        </w:rPr>
        <w:fldChar w:fldCharType="separate"/>
      </w:r>
      <w:r>
        <w:rPr>
          <w:rFonts w:ascii="黑体" w:hAnsi="黑体" w:eastAsia="黑体"/>
          <w:i w:val="0"/>
        </w:rPr>
        <w:t>九、团队介绍</w:t>
      </w:r>
      <w:r>
        <w:tab/>
      </w:r>
      <w:r>
        <w:fldChar w:fldCharType="begin"/>
      </w:r>
      <w:r>
        <w:instrText xml:space="preserve"> PAGEREF _Toc21895 \h </w:instrText>
      </w:r>
      <w:r>
        <w:fldChar w:fldCharType="separate"/>
      </w:r>
      <w:r>
        <w:t>27</w:t>
      </w:r>
      <w:r>
        <w:fldChar w:fldCharType="end"/>
      </w:r>
      <w:r>
        <w:rPr>
          <w:rFonts w:ascii="Times New Roman" w:hAnsi="Times New Roman" w:eastAsia="宋体"/>
          <w:i w:val="0"/>
          <w:color w:val="555555"/>
        </w:rPr>
        <w:fldChar w:fldCharType="end"/>
      </w:r>
    </w:p>
    <w:p w14:paraId="2EEE371B">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_Toc7712 </w:instrText>
      </w:r>
      <w:r>
        <w:rPr>
          <w:rFonts w:ascii="Times New Roman" w:hAnsi="Times New Roman" w:eastAsia="宋体"/>
          <w:i w:val="0"/>
        </w:rPr>
        <w:fldChar w:fldCharType="separate"/>
      </w:r>
      <w:r>
        <w:rPr>
          <w:rFonts w:ascii="黑体" w:hAnsi="黑体" w:eastAsia="黑体"/>
          <w:i w:val="0"/>
        </w:rPr>
        <w:t>9.1 核心团队成员</w:t>
      </w:r>
      <w:r>
        <w:tab/>
      </w:r>
      <w:r>
        <w:fldChar w:fldCharType="begin"/>
      </w:r>
      <w:r>
        <w:instrText xml:space="preserve"> PAGEREF _Toc7712 \h </w:instrText>
      </w:r>
      <w:r>
        <w:fldChar w:fldCharType="separate"/>
      </w:r>
      <w:r>
        <w:t>27</w:t>
      </w:r>
      <w:r>
        <w:fldChar w:fldCharType="end"/>
      </w:r>
      <w:r>
        <w:rPr>
          <w:rFonts w:ascii="Times New Roman" w:hAnsi="Times New Roman" w:eastAsia="宋体"/>
          <w:i w:val="0"/>
          <w:color w:val="555555"/>
        </w:rPr>
        <w:fldChar w:fldCharType="end"/>
      </w:r>
    </w:p>
    <w:p w14:paraId="4FF81415">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_Toc27084 </w:instrText>
      </w:r>
      <w:r>
        <w:rPr>
          <w:rFonts w:ascii="Times New Roman" w:hAnsi="Times New Roman" w:eastAsia="宋体"/>
          <w:i w:val="0"/>
        </w:rPr>
        <w:fldChar w:fldCharType="separate"/>
      </w:r>
      <w:r>
        <w:rPr>
          <w:rFonts w:ascii="黑体" w:hAnsi="黑体" w:eastAsia="黑体"/>
          <w:i w:val="0"/>
        </w:rPr>
        <w:t>9.2 指导教师团队</w:t>
      </w:r>
      <w:r>
        <w:tab/>
      </w:r>
      <w:r>
        <w:fldChar w:fldCharType="begin"/>
      </w:r>
      <w:r>
        <w:instrText xml:space="preserve"> PAGEREF _Toc27084 \h </w:instrText>
      </w:r>
      <w:r>
        <w:fldChar w:fldCharType="separate"/>
      </w:r>
      <w:r>
        <w:t>28</w:t>
      </w:r>
      <w:r>
        <w:fldChar w:fldCharType="end"/>
      </w:r>
      <w:r>
        <w:rPr>
          <w:rFonts w:ascii="Times New Roman" w:hAnsi="Times New Roman" w:eastAsia="宋体"/>
          <w:i w:val="0"/>
          <w:color w:val="555555"/>
        </w:rPr>
        <w:fldChar w:fldCharType="end"/>
      </w:r>
    </w:p>
    <w:p w14:paraId="6AA14A33">
      <w:pPr>
        <w:pStyle w:val="26"/>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_Toc31632 </w:instrText>
      </w:r>
      <w:r>
        <w:rPr>
          <w:rFonts w:ascii="Times New Roman" w:hAnsi="Times New Roman" w:eastAsia="宋体"/>
          <w:i w:val="0"/>
        </w:rPr>
        <w:fldChar w:fldCharType="separate"/>
      </w:r>
      <w:r>
        <w:rPr>
          <w:rFonts w:ascii="黑体" w:hAnsi="黑体" w:eastAsia="黑体"/>
          <w:i w:val="0"/>
        </w:rPr>
        <w:t>十、发展战略与未来展望</w:t>
      </w:r>
      <w:r>
        <w:tab/>
      </w:r>
      <w:r>
        <w:fldChar w:fldCharType="begin"/>
      </w:r>
      <w:r>
        <w:instrText xml:space="preserve"> PAGEREF _Toc31632 \h </w:instrText>
      </w:r>
      <w:r>
        <w:fldChar w:fldCharType="separate"/>
      </w:r>
      <w:r>
        <w:t>28</w:t>
      </w:r>
      <w:r>
        <w:fldChar w:fldCharType="end"/>
      </w:r>
      <w:r>
        <w:rPr>
          <w:rFonts w:ascii="Times New Roman" w:hAnsi="Times New Roman" w:eastAsia="宋体"/>
          <w:i w:val="0"/>
          <w:color w:val="555555"/>
        </w:rPr>
        <w:fldChar w:fldCharType="end"/>
      </w:r>
    </w:p>
    <w:p w14:paraId="08839CBA">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_Toc30809 </w:instrText>
      </w:r>
      <w:r>
        <w:rPr>
          <w:rFonts w:ascii="Times New Roman" w:hAnsi="Times New Roman" w:eastAsia="宋体"/>
          <w:i w:val="0"/>
        </w:rPr>
        <w:fldChar w:fldCharType="separate"/>
      </w:r>
      <w:r>
        <w:rPr>
          <w:rFonts w:ascii="黑体" w:hAnsi="黑体" w:eastAsia="黑体"/>
          <w:i w:val="0"/>
        </w:rPr>
        <w:t>10.1 发展战略</w:t>
      </w:r>
      <w:r>
        <w:tab/>
      </w:r>
      <w:r>
        <w:fldChar w:fldCharType="begin"/>
      </w:r>
      <w:r>
        <w:instrText xml:space="preserve"> PAGEREF _Toc30809 \h </w:instrText>
      </w:r>
      <w:r>
        <w:fldChar w:fldCharType="separate"/>
      </w:r>
      <w:r>
        <w:t>28</w:t>
      </w:r>
      <w:r>
        <w:fldChar w:fldCharType="end"/>
      </w:r>
      <w:r>
        <w:rPr>
          <w:rFonts w:ascii="Times New Roman" w:hAnsi="Times New Roman" w:eastAsia="宋体"/>
          <w:i w:val="0"/>
          <w:color w:val="555555"/>
        </w:rPr>
        <w:fldChar w:fldCharType="end"/>
      </w:r>
    </w:p>
    <w:p w14:paraId="5C5A7FBA">
      <w:pPr>
        <w:pStyle w:val="29"/>
        <w:tabs>
          <w:tab w:val="right" w:leader="dot" w:pos="8504"/>
        </w:tabs>
      </w:pPr>
      <w:r>
        <w:rPr>
          <w:rFonts w:ascii="Times New Roman" w:hAnsi="Times New Roman" w:eastAsia="宋体"/>
          <w:i w:val="0"/>
          <w:color w:val="555555"/>
        </w:rPr>
        <w:fldChar w:fldCharType="begin"/>
      </w:r>
      <w:r>
        <w:rPr>
          <w:rFonts w:ascii="Times New Roman" w:hAnsi="Times New Roman" w:eastAsia="宋体"/>
          <w:i w:val="0"/>
        </w:rPr>
        <w:instrText xml:space="preserve"> HYPERLINK \l _Toc31347 </w:instrText>
      </w:r>
      <w:r>
        <w:rPr>
          <w:rFonts w:ascii="Times New Roman" w:hAnsi="Times New Roman" w:eastAsia="宋体"/>
          <w:i w:val="0"/>
        </w:rPr>
        <w:fldChar w:fldCharType="separate"/>
      </w:r>
      <w:r>
        <w:rPr>
          <w:rFonts w:ascii="黑体" w:hAnsi="黑体" w:eastAsia="黑体"/>
          <w:i w:val="0"/>
        </w:rPr>
        <w:t>10.2 未来展望</w:t>
      </w:r>
      <w:r>
        <w:tab/>
      </w:r>
      <w:r>
        <w:fldChar w:fldCharType="begin"/>
      </w:r>
      <w:r>
        <w:instrText xml:space="preserve"> PAGEREF _Toc31347 \h </w:instrText>
      </w:r>
      <w:r>
        <w:fldChar w:fldCharType="separate"/>
      </w:r>
      <w:r>
        <w:t>29</w:t>
      </w:r>
      <w:r>
        <w:fldChar w:fldCharType="end"/>
      </w:r>
      <w:r>
        <w:rPr>
          <w:rFonts w:ascii="Times New Roman" w:hAnsi="Times New Roman" w:eastAsia="宋体"/>
          <w:i w:val="0"/>
          <w:color w:val="555555"/>
        </w:rPr>
        <w:fldChar w:fldCharType="end"/>
      </w:r>
    </w:p>
    <w:p w14:paraId="4B280A05">
      <w:r>
        <w:rPr>
          <w:rFonts w:ascii="Times New Roman" w:hAnsi="Times New Roman" w:eastAsia="宋体"/>
          <w:i w:val="0"/>
          <w:color w:val="555555"/>
        </w:rPr>
        <w:fldChar w:fldCharType="end"/>
      </w:r>
      <w:r>
        <w:br w:type="page"/>
      </w:r>
    </w:p>
    <w:p w14:paraId="6483F5A4">
      <w:pPr>
        <w:spacing w:before="320" w:after="200" w:line="336" w:lineRule="auto"/>
        <w:jc w:val="left"/>
        <w:outlineLvl w:val="0"/>
      </w:pPr>
      <w:bookmarkStart w:id="1" w:name="_Toc5936"/>
      <w:r>
        <w:rPr>
          <w:rFonts w:ascii="黑体" w:hAnsi="黑体" w:eastAsia="黑体"/>
          <w:b/>
          <w:i w:val="0"/>
          <w:color w:val="0A1730"/>
          <w:sz w:val="30"/>
        </w:rPr>
        <w:t>一、项目概述</w:t>
      </w:r>
      <w:bookmarkEnd w:id="1"/>
    </w:p>
    <w:p w14:paraId="5BB3ACE2">
      <w:pPr>
        <w:spacing w:before="200" w:after="120" w:line="336" w:lineRule="auto"/>
        <w:jc w:val="left"/>
        <w:outlineLvl w:val="1"/>
      </w:pPr>
      <w:bookmarkStart w:id="2" w:name="_Toc30539"/>
      <w:r>
        <w:rPr>
          <w:rFonts w:ascii="黑体" w:hAnsi="黑体" w:eastAsia="黑体"/>
          <w:b/>
          <w:i w:val="0"/>
          <w:color w:val="0A1730"/>
          <w:sz w:val="26"/>
        </w:rPr>
        <w:t>1.1 项目背景</w:t>
      </w:r>
      <w:bookmarkEnd w:id="2"/>
    </w:p>
    <w:p w14:paraId="725DF21C">
      <w:pPr>
        <w:spacing w:before="160" w:after="80" w:line="336" w:lineRule="auto"/>
        <w:jc w:val="left"/>
        <w:outlineLvl w:val="2"/>
      </w:pPr>
      <w:r>
        <w:rPr>
          <w:rFonts w:ascii="黑体" w:hAnsi="黑体" w:eastAsia="黑体"/>
          <w:b/>
          <w:i w:val="0"/>
          <w:sz w:val="24"/>
        </w:rPr>
        <w:t>1.1.1 政策背景：科技金融上升为国家战略</w:t>
      </w:r>
    </w:p>
    <w:p w14:paraId="79E276DB">
      <w:pPr>
        <w:spacing w:before="0" w:after="120" w:line="360" w:lineRule="auto"/>
        <w:ind w:firstLine="480"/>
        <w:jc w:val="both"/>
      </w:pPr>
      <w:r>
        <w:rPr>
          <w:rFonts w:ascii="Times New Roman" w:hAnsi="Times New Roman" w:eastAsia="宋体"/>
          <w:b w:val="0"/>
          <w:i w:val="0"/>
          <w:sz w:val="24"/>
        </w:rPr>
        <w:t>近两年，科技金融领域的政策密集落地，力度与密度前所未有。2025 年 3 月，金融监管总局、科技部、国家发展改革委联合印发《银行业保险业科技金融高质量发展实施方案》，明确构建与科技创新相适应的金融服务体制机制，提出未来 5 年实现科技信贷与科技保险扩面、提质、增效。2025 年 5 月，科技部等部门发布《加快构建科技金融体制 有力支撑高水平科技自立自强的若干政策举措》，围绕创业投资、货币信贷、资本市场、科技保险等 7 个方面提出 15 项政策举措。2025 年底中央经济工作会议明确要求"创新科技金融服务"，"十五五"规划进一步强调加快高水平科技自立自强。</w:t>
      </w:r>
    </w:p>
    <w:p w14:paraId="0E0B51C4">
      <w:pPr>
        <w:spacing w:before="0" w:after="120" w:line="360" w:lineRule="auto"/>
        <w:ind w:firstLine="480"/>
        <w:jc w:val="both"/>
      </w:pPr>
      <w:r>
        <w:rPr>
          <w:rFonts w:ascii="Times New Roman" w:hAnsi="Times New Roman" w:eastAsia="宋体"/>
          <w:b w:val="0"/>
          <w:i w:val="0"/>
          <w:sz w:val="24"/>
        </w:rPr>
        <w:t>更关键的是，监管层已经为"用模型评估知识产权"打开了制度通道。金融监管总局明确要求指导商业银行开展知识产权质押融资内部评估试点，运用内部模型确定知识产权价值，着力提升商业银行的知识产权评估能力；同时全面推广专利权质押全流程无纸化登记，推广实施《专利评估指引》国家标准。2025 年 3 月起，金融监管总局会同国家知识产权局、国家版权局在北京、上海、江苏、浙江、广东、四川、深圳、宁波 8 省市开展知识产权金融生态综合试点，围绕登记、评估、处置、补偿四大关键环节系统性破壁。国家知识产权局指导健全知识产权质押融资风险分担与质物处置机制，已有 13 个省份、124 个地市出台风险补偿政策。</w:t>
      </w:r>
    </w:p>
    <w:p w14:paraId="0436F09A">
      <w:pPr>
        <w:spacing w:before="0" w:after="120" w:line="360" w:lineRule="auto"/>
        <w:ind w:firstLine="480"/>
        <w:jc w:val="both"/>
      </w:pPr>
      <w:r>
        <w:rPr>
          <w:rFonts w:ascii="Times New Roman" w:hAnsi="Times New Roman" w:eastAsia="宋体"/>
          <w:b w:val="0"/>
          <w:i w:val="0"/>
          <w:sz w:val="24"/>
        </w:rPr>
        <w:t>这一系列政策释放的信号非常明确：银行需要的不是更多的抵押物，而是一套能把技术资产翻译成风险参数的内部评估能力。这正是本项目的技术定位。</w:t>
      </w:r>
    </w:p>
    <w:p w14:paraId="0736EB29">
      <w:pPr>
        <w:spacing w:before="160" w:after="80" w:line="336" w:lineRule="auto"/>
        <w:jc w:val="left"/>
        <w:outlineLvl w:val="2"/>
      </w:pPr>
      <w:r>
        <w:rPr>
          <w:rFonts w:ascii="黑体" w:hAnsi="黑体" w:eastAsia="黑体"/>
          <w:b/>
          <w:i w:val="0"/>
          <w:sz w:val="24"/>
        </w:rPr>
        <w:t>1.1.2 市场背景：体量持续扩张，覆盖率仍有缺口</w:t>
      </w:r>
    </w:p>
    <w:p w14:paraId="542BD5DC">
      <w:pPr>
        <w:spacing w:before="0" w:after="120" w:line="360" w:lineRule="auto"/>
        <w:ind w:firstLine="480"/>
        <w:jc w:val="both"/>
      </w:pPr>
      <w:r>
        <w:rPr>
          <w:rFonts w:ascii="Times New Roman" w:hAnsi="Times New Roman" w:eastAsia="宋体"/>
          <w:b w:val="0"/>
          <w:i w:val="0"/>
          <w:sz w:val="24"/>
        </w:rPr>
        <w:t>市场体量在快速扩张。截至 2025 年三季度末，高新技术企业贷款余额 18.84 万亿元，科技型中小企业贷款余额 3.56 万亿元。2025 年四季度末，本外币科技型中小企业贷款余额 3.63 万亿元，同比增长 19.8%，增速比各项贷款高 13.6 个百分点；高新技术企业贷款余额 18.61 万亿元，同比增长 7.5%。2025 年银行业金融机构累计发放知识产权质押贷款达 2979 亿元，累计放贷户数 2.87 万户，较 2023 年分别增长 56% 和 33%。"十四五"期间累计发放知识产权质押贷款超 9000 亿元，惠及中小微企业超 11 万家。2025 年全国涉及专利的技术合同成交额达 1.18 万亿元，同比增长 18.8%；专利密集型产业增加值由 2020 年的 12 万亿元增至 2024 年超 18 万亿元。</w:t>
      </w:r>
    </w:p>
    <w:p w14:paraId="29C8DECB">
      <w:pPr>
        <w:spacing w:before="0" w:after="120" w:line="360" w:lineRule="auto"/>
        <w:ind w:firstLine="480"/>
        <w:jc w:val="both"/>
      </w:pPr>
      <w:r>
        <w:rPr>
          <w:rFonts w:ascii="Times New Roman" w:hAnsi="Times New Roman" w:eastAsia="宋体"/>
          <w:b w:val="0"/>
          <w:i w:val="0"/>
          <w:sz w:val="24"/>
        </w:rPr>
        <w:t>但与体量扩张形成反差的是覆盖率的结构性缺口。2025 年四季度末，获得贷款支持的科技型中小企业 27.5 万家，获贷率仅 50.2%；高新技术企业获贷率 57.3%（26.54 万家）。也就是说，仍有近一半科技型中小企业在银行体系之外。我国以银行信贷为主的融资结构（间接融资占比 80% 以上）与硬科技企业的资产特征之间存在明显错配。</w:t>
      </w:r>
    </w:p>
    <w:p w14:paraId="587E45EA">
      <w:pPr>
        <w:spacing w:before="160" w:after="80" w:line="336" w:lineRule="auto"/>
        <w:jc w:val="left"/>
        <w:outlineLvl w:val="2"/>
      </w:pPr>
      <w:r>
        <w:rPr>
          <w:rFonts w:ascii="黑体" w:hAnsi="黑体" w:eastAsia="黑体"/>
          <w:b/>
          <w:i w:val="0"/>
          <w:sz w:val="24"/>
        </w:rPr>
        <w:t>1.1.3 落地基础：中国工商银行的科技金融实践</w:t>
      </w:r>
    </w:p>
    <w:p w14:paraId="5E586E2B">
      <w:pPr>
        <w:spacing w:before="0" w:after="120" w:line="360" w:lineRule="auto"/>
        <w:ind w:firstLine="480"/>
        <w:jc w:val="both"/>
      </w:pPr>
      <w:r>
        <w:rPr>
          <w:rFonts w:ascii="Times New Roman" w:hAnsi="Times New Roman" w:eastAsia="宋体"/>
          <w:b w:val="0"/>
          <w:i w:val="0"/>
          <w:sz w:val="24"/>
        </w:rPr>
        <w:t>本项目的落地方设定为中国工商银行。截至 2025 年末，工行科技贷款余额 6 万亿元，其中科技型企业贷款余额 2.7 万亿元，投向制造业贷款余额 5.24 万亿元（同业首位）。工行推出科技金融"五专"服务体系——专营机构、专项行动、专属产品、专门风控、专享保障，创新"颠覆性技术专项贷、积分贷、研发贷、知识产权融资"等专属产品，承销科创债超 1000 亿元；专精特新"小巨人"企业有贷户覆盖率超 50%，较年初增加 22 个百分点；工银投资（AIC）践行"投早、投小、投长期、投硬科技"四投策略。</w:t>
      </w:r>
    </w:p>
    <w:p w14:paraId="7845620D">
      <w:pPr>
        <w:spacing w:before="0" w:after="120" w:line="360" w:lineRule="auto"/>
        <w:ind w:firstLine="480"/>
        <w:jc w:val="both"/>
      </w:pPr>
      <w:r>
        <w:rPr>
          <w:rFonts w:ascii="Times New Roman" w:hAnsi="Times New Roman" w:eastAsia="宋体"/>
          <w:b w:val="0"/>
          <w:i w:val="0"/>
          <w:sz w:val="24"/>
        </w:rPr>
        <w:t>工行具备客户基础、资金体量与产品体系，缺的是一套能把非财务资产量化、并能随研发进度动态调整的系统化工具。本项目正是对这一缺口的补齐。</w:t>
      </w:r>
    </w:p>
    <w:p w14:paraId="4DEEBB7D">
      <w:pPr>
        <w:spacing w:before="200" w:after="120" w:line="336" w:lineRule="auto"/>
        <w:jc w:val="left"/>
        <w:outlineLvl w:val="1"/>
      </w:pPr>
      <w:bookmarkStart w:id="3" w:name="_Toc23889"/>
      <w:r>
        <w:rPr>
          <w:rFonts w:ascii="黑体" w:hAnsi="黑体" w:eastAsia="黑体"/>
          <w:b/>
          <w:i w:val="0"/>
          <w:color w:val="0A1730"/>
          <w:sz w:val="26"/>
        </w:rPr>
        <w:t>1.2 国内外研究现状</w:t>
      </w:r>
      <w:bookmarkEnd w:id="3"/>
    </w:p>
    <w:p w14:paraId="1D4C71B1">
      <w:pPr>
        <w:spacing w:before="160" w:after="80" w:line="336" w:lineRule="auto"/>
        <w:jc w:val="left"/>
        <w:outlineLvl w:val="2"/>
      </w:pPr>
      <w:r>
        <w:rPr>
          <w:rFonts w:ascii="黑体" w:hAnsi="黑体" w:eastAsia="黑体"/>
          <w:b/>
          <w:i w:val="0"/>
          <w:sz w:val="24"/>
        </w:rPr>
        <w:t>1.2.1 国外研究与实践</w:t>
      </w:r>
    </w:p>
    <w:p w14:paraId="6E6BADF4">
      <w:pPr>
        <w:spacing w:before="0" w:after="120" w:line="360" w:lineRule="auto"/>
        <w:ind w:firstLine="480"/>
        <w:jc w:val="both"/>
      </w:pPr>
      <w:r>
        <w:rPr>
          <w:rFonts w:ascii="Times New Roman" w:hAnsi="Times New Roman" w:eastAsia="宋体"/>
          <w:b w:val="0"/>
          <w:i w:val="0"/>
          <w:sz w:val="24"/>
        </w:rPr>
        <w:t>企业违约风险量化方面，Altman 于 1968 年提出的 Z-Score 模型开创了多变量财务预警的先河；随后 KMV 公司基于 Merton 期权定价理论提出预期违约频率（EDF）模型，以违约距离度量信用风险；Ohlson 的 O-Score 引入逻辑回归，至今仍是破产预测的基准方法之一。近年来，机器学习方法（随机森林、梯度提升树、神经网络）在破产预测任务上显著优于传统统计模型，AUC 普遍提升 0.05–0.15。</w:t>
      </w:r>
    </w:p>
    <w:p w14:paraId="6E57F2BF">
      <w:pPr>
        <w:spacing w:before="0" w:after="120" w:line="360" w:lineRule="auto"/>
        <w:ind w:firstLine="480"/>
        <w:jc w:val="both"/>
      </w:pPr>
      <w:r>
        <w:rPr>
          <w:rFonts w:ascii="Times New Roman" w:hAnsi="Times New Roman" w:eastAsia="宋体"/>
          <w:b w:val="0"/>
          <w:i w:val="0"/>
          <w:sz w:val="24"/>
        </w:rPr>
        <w:t>知识产权价值评估方面，国外已形成相对成熟的量化工具。丹麦专利商标局与 IPscore 提供的专利评分工具、Innography 的 PatentStrength、Ocean Tomo 的专利指数，均已将专利价值评估从专家经验判断转向多因子量化。共同特点是：引入专利引用关系作为核心价值信号——一件专利被后续专利引用的次数与结构，比专利数量本身更能预测其技术影响力。这一思路正是本项目 PageRank 模块的直接理论来源。</w:t>
      </w:r>
    </w:p>
    <w:p w14:paraId="09A639F2">
      <w:pPr>
        <w:spacing w:before="0" w:after="120" w:line="360" w:lineRule="auto"/>
        <w:ind w:firstLine="480"/>
        <w:jc w:val="both"/>
      </w:pPr>
      <w:r>
        <w:rPr>
          <w:rFonts w:ascii="Times New Roman" w:hAnsi="Times New Roman" w:eastAsia="宋体"/>
          <w:b w:val="0"/>
          <w:i w:val="0"/>
          <w:sz w:val="24"/>
        </w:rPr>
        <w:t>投贷联动机制方面，美国硅谷银行（SVB）的"投贷联动"模式以服务创投-backed 企业著称，其核心是把投资机构的尽调结论作为授信依据；德国复兴信贷银行（KfW）与担保银行的风险分担机制、以色列的 Yozma 计划与首席科学家办公室（OCS）模式，则提供了政府风险补偿与银行信贷协同的成熟范式。</w:t>
      </w:r>
    </w:p>
    <w:p w14:paraId="52C57132">
      <w:pPr>
        <w:spacing w:before="160" w:after="80" w:line="336" w:lineRule="auto"/>
        <w:jc w:val="left"/>
        <w:outlineLvl w:val="2"/>
      </w:pPr>
      <w:r>
        <w:rPr>
          <w:rFonts w:ascii="黑体" w:hAnsi="黑体" w:eastAsia="黑体"/>
          <w:b/>
          <w:i w:val="0"/>
          <w:sz w:val="24"/>
        </w:rPr>
        <w:t>1.2.2 国内研究与实践</w:t>
      </w:r>
    </w:p>
    <w:p w14:paraId="43C2B6E7">
      <w:pPr>
        <w:spacing w:before="0" w:after="120" w:line="360" w:lineRule="auto"/>
        <w:ind w:firstLine="480"/>
        <w:jc w:val="both"/>
      </w:pPr>
      <w:r>
        <w:rPr>
          <w:rFonts w:ascii="Times New Roman" w:hAnsi="Times New Roman" w:eastAsia="宋体"/>
          <w:b w:val="0"/>
          <w:i w:val="0"/>
          <w:sz w:val="24"/>
        </w:rPr>
        <w:t>监管与标准层面，金融监管总局推动知识产权质押融资内部评估试点，《专利评估指引》国家标准发布实施，为银行自建评估模型提供了制度与标准依据。</w:t>
      </w:r>
    </w:p>
    <w:p w14:paraId="324AC68F">
      <w:pPr>
        <w:spacing w:before="0" w:after="120" w:line="360" w:lineRule="auto"/>
        <w:ind w:firstLine="480"/>
        <w:jc w:val="both"/>
      </w:pPr>
      <w:r>
        <w:rPr>
          <w:rFonts w:ascii="Times New Roman" w:hAnsi="Times New Roman" w:eastAsia="宋体"/>
          <w:b w:val="0"/>
          <w:i w:val="0"/>
          <w:sz w:val="24"/>
        </w:rPr>
        <w:t>银行实践层面，已出现若干单点突破：</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107BA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35" w:type="dxa"/>
          </w:tcPr>
          <w:p w14:paraId="6AD66A02">
            <w:pPr>
              <w:spacing w:before="40" w:after="40" w:line="300" w:lineRule="auto"/>
            </w:pPr>
            <w:r>
              <w:rPr>
                <w:rFonts w:ascii="黑体" w:hAnsi="黑体" w:eastAsia="黑体"/>
                <w:b/>
                <w:i w:val="0"/>
                <w:sz w:val="21"/>
              </w:rPr>
              <w:t>实践主体</w:t>
            </w:r>
          </w:p>
        </w:tc>
        <w:tc>
          <w:tcPr>
            <w:tcW w:w="2835" w:type="dxa"/>
          </w:tcPr>
          <w:p w14:paraId="47A27696">
            <w:pPr>
              <w:spacing w:before="40" w:after="40" w:line="300" w:lineRule="auto"/>
            </w:pPr>
            <w:r>
              <w:rPr>
                <w:rFonts w:ascii="黑体" w:hAnsi="黑体" w:eastAsia="黑体"/>
                <w:b/>
                <w:i w:val="0"/>
                <w:sz w:val="21"/>
              </w:rPr>
              <w:t>做法</w:t>
            </w:r>
          </w:p>
        </w:tc>
        <w:tc>
          <w:tcPr>
            <w:tcW w:w="2835" w:type="dxa"/>
          </w:tcPr>
          <w:p w14:paraId="67D732A6">
            <w:pPr>
              <w:spacing w:before="40" w:after="40" w:line="300" w:lineRule="auto"/>
            </w:pPr>
            <w:r>
              <w:rPr>
                <w:rFonts w:ascii="黑体" w:hAnsi="黑体" w:eastAsia="黑体"/>
                <w:b/>
                <w:i w:val="0"/>
                <w:sz w:val="21"/>
              </w:rPr>
              <w:t>成效</w:t>
            </w:r>
          </w:p>
        </w:tc>
      </w:tr>
      <w:tr w14:paraId="4D5FF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43D7A3A5">
            <w:pPr>
              <w:spacing w:before="40" w:after="40" w:line="300" w:lineRule="auto"/>
            </w:pPr>
            <w:r>
              <w:rPr>
                <w:rFonts w:ascii="Times New Roman" w:hAnsi="Times New Roman" w:eastAsia="宋体"/>
                <w:b w:val="0"/>
                <w:i w:val="0"/>
                <w:sz w:val="21"/>
              </w:rPr>
              <w:t>中国银行深圳市分行</w:t>
            </w:r>
          </w:p>
        </w:tc>
        <w:tc>
          <w:tcPr>
            <w:tcW w:w="2835" w:type="dxa"/>
          </w:tcPr>
          <w:p w14:paraId="31DA04DA">
            <w:pPr>
              <w:spacing w:before="40" w:after="40" w:line="300" w:lineRule="auto"/>
            </w:pPr>
            <w:r>
              <w:rPr>
                <w:rFonts w:ascii="Times New Roman" w:hAnsi="Times New Roman" w:eastAsia="宋体"/>
                <w:b w:val="0"/>
                <w:i w:val="0"/>
                <w:sz w:val="21"/>
              </w:rPr>
              <w:t>基于全量知识产权数据构建五大维度量化模型，2024 年率先启动专利权押品价值内部评估试点</w:t>
            </w:r>
          </w:p>
        </w:tc>
        <w:tc>
          <w:tcPr>
            <w:tcW w:w="2835" w:type="dxa"/>
          </w:tcPr>
          <w:p w14:paraId="6FAA2A1B">
            <w:pPr>
              <w:spacing w:before="40" w:after="40" w:line="300" w:lineRule="auto"/>
            </w:pPr>
            <w:r>
              <w:rPr>
                <w:rFonts w:ascii="Times New Roman" w:hAnsi="Times New Roman" w:eastAsia="宋体"/>
                <w:b w:val="0"/>
                <w:i w:val="0"/>
                <w:sz w:val="21"/>
              </w:rPr>
              <w:t>2025 年深圳专利商标质押金额超 590 亿元，惠及企业超 1300 家，其中 84% 为 2000 万元以下普惠小微</w:t>
            </w:r>
          </w:p>
        </w:tc>
      </w:tr>
      <w:tr w14:paraId="74182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551395C4">
            <w:pPr>
              <w:spacing w:before="40" w:after="40" w:line="300" w:lineRule="auto"/>
            </w:pPr>
            <w:r>
              <w:rPr>
                <w:rFonts w:ascii="Times New Roman" w:hAnsi="Times New Roman" w:eastAsia="宋体"/>
                <w:b w:val="0"/>
                <w:i w:val="0"/>
                <w:sz w:val="21"/>
              </w:rPr>
              <w:t>建设银行</w:t>
            </w:r>
          </w:p>
        </w:tc>
        <w:tc>
          <w:tcPr>
            <w:tcW w:w="2835" w:type="dxa"/>
          </w:tcPr>
          <w:p w14:paraId="1E1D96E9">
            <w:pPr>
              <w:spacing w:before="40" w:after="40" w:line="300" w:lineRule="auto"/>
            </w:pPr>
            <w:r>
              <w:rPr>
                <w:rFonts w:ascii="Times New Roman" w:hAnsi="Times New Roman" w:eastAsia="宋体"/>
                <w:b w:val="0"/>
                <w:i w:val="0"/>
                <w:sz w:val="21"/>
              </w:rPr>
              <w:t>"技术流"评价体系，将科研项目与国际专利转化为信用筹码</w:t>
            </w:r>
          </w:p>
        </w:tc>
        <w:tc>
          <w:tcPr>
            <w:tcW w:w="2835" w:type="dxa"/>
          </w:tcPr>
          <w:p w14:paraId="307E4A49">
            <w:pPr>
              <w:spacing w:before="40" w:after="40" w:line="300" w:lineRule="auto"/>
            </w:pPr>
            <w:r>
              <w:rPr>
                <w:rFonts w:ascii="Times New Roman" w:hAnsi="Times New Roman" w:eastAsia="宋体"/>
                <w:b w:val="0"/>
                <w:i w:val="0"/>
                <w:sz w:val="21"/>
              </w:rPr>
              <w:t>株洲某轨道科技公司凭 7 项国家重大科研项目、9 件 PET 国际专利获 5000 万元纯信用科技专项贷，10 个工作日放款</w:t>
            </w:r>
          </w:p>
        </w:tc>
      </w:tr>
      <w:tr w14:paraId="7E552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0EBA421F">
            <w:pPr>
              <w:spacing w:before="40" w:after="40" w:line="300" w:lineRule="auto"/>
            </w:pPr>
            <w:r>
              <w:rPr>
                <w:rFonts w:ascii="Times New Roman" w:hAnsi="Times New Roman" w:eastAsia="宋体"/>
                <w:b w:val="0"/>
                <w:i w:val="0"/>
                <w:sz w:val="21"/>
              </w:rPr>
              <w:t>兴业银行常德分行</w:t>
            </w:r>
          </w:p>
        </w:tc>
        <w:tc>
          <w:tcPr>
            <w:tcW w:w="2835" w:type="dxa"/>
          </w:tcPr>
          <w:p w14:paraId="30B4972D">
            <w:pPr>
              <w:spacing w:before="40" w:after="40" w:line="300" w:lineRule="auto"/>
            </w:pPr>
            <w:r>
              <w:rPr>
                <w:rFonts w:ascii="Times New Roman" w:hAnsi="Times New Roman" w:eastAsia="宋体"/>
                <w:b w:val="0"/>
                <w:i w:val="0"/>
                <w:sz w:val="21"/>
              </w:rPr>
              <w:t>"见投即贷""先投后贷"投贷联动模式</w:t>
            </w:r>
          </w:p>
        </w:tc>
        <w:tc>
          <w:tcPr>
            <w:tcW w:w="2835" w:type="dxa"/>
          </w:tcPr>
          <w:p w14:paraId="785068D2">
            <w:pPr>
              <w:spacing w:before="40" w:after="40" w:line="300" w:lineRule="auto"/>
            </w:pPr>
            <w:r>
              <w:rPr>
                <w:rFonts w:ascii="Times New Roman" w:hAnsi="Times New Roman" w:eastAsia="宋体"/>
                <w:b w:val="0"/>
                <w:i w:val="0"/>
                <w:sz w:val="21"/>
              </w:rPr>
              <w:t>为湖南炎和智能投放"投联贷"962 万元；截至 2026 年 4 月末湖南省投贷联动业务贷款超 70 亿元</w:t>
            </w:r>
          </w:p>
        </w:tc>
      </w:tr>
      <w:tr w14:paraId="41A9B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2B77A13A">
            <w:pPr>
              <w:spacing w:before="40" w:after="40" w:line="300" w:lineRule="auto"/>
            </w:pPr>
            <w:r>
              <w:rPr>
                <w:rFonts w:ascii="Times New Roman" w:hAnsi="Times New Roman" w:eastAsia="宋体"/>
                <w:b w:val="0"/>
                <w:i w:val="0"/>
                <w:sz w:val="21"/>
              </w:rPr>
              <w:t>中国银行 + 中国人保</w:t>
            </w:r>
          </w:p>
        </w:tc>
        <w:tc>
          <w:tcPr>
            <w:tcW w:w="2835" w:type="dxa"/>
          </w:tcPr>
          <w:p w14:paraId="356E987E">
            <w:pPr>
              <w:spacing w:before="40" w:after="40" w:line="300" w:lineRule="auto"/>
            </w:pPr>
            <w:r>
              <w:rPr>
                <w:rFonts w:ascii="Times New Roman" w:hAnsi="Times New Roman" w:eastAsia="宋体"/>
                <w:b w:val="0"/>
                <w:i w:val="0"/>
                <w:sz w:val="21"/>
              </w:rPr>
              <w:t>"中试保融通"，保、贷、拨多元协同</w:t>
            </w:r>
          </w:p>
        </w:tc>
        <w:tc>
          <w:tcPr>
            <w:tcW w:w="2835" w:type="dxa"/>
          </w:tcPr>
          <w:p w14:paraId="024B55F0">
            <w:pPr>
              <w:spacing w:before="40" w:after="40" w:line="300" w:lineRule="auto"/>
            </w:pPr>
            <w:r>
              <w:rPr>
                <w:rFonts w:ascii="Times New Roman" w:hAnsi="Times New Roman" w:eastAsia="宋体"/>
                <w:b w:val="0"/>
                <w:i w:val="0"/>
                <w:sz w:val="21"/>
              </w:rPr>
              <w:t>向某国家级生物医药中试平台批复超 1 亿元中长期授信</w:t>
            </w:r>
          </w:p>
        </w:tc>
      </w:tr>
      <w:tr w14:paraId="63E48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5DA56D89">
            <w:pPr>
              <w:spacing w:before="40" w:after="40" w:line="300" w:lineRule="auto"/>
            </w:pPr>
            <w:r>
              <w:rPr>
                <w:rFonts w:ascii="Times New Roman" w:hAnsi="Times New Roman" w:eastAsia="宋体"/>
                <w:b w:val="0"/>
                <w:i w:val="0"/>
                <w:sz w:val="21"/>
              </w:rPr>
              <w:t>深圳 / 浙江</w:t>
            </w:r>
          </w:p>
        </w:tc>
        <w:tc>
          <w:tcPr>
            <w:tcW w:w="2835" w:type="dxa"/>
          </w:tcPr>
          <w:p w14:paraId="03D0E5C3">
            <w:pPr>
              <w:spacing w:before="40" w:after="40" w:line="300" w:lineRule="auto"/>
            </w:pPr>
            <w:r>
              <w:rPr>
                <w:rFonts w:ascii="Times New Roman" w:hAnsi="Times New Roman" w:eastAsia="宋体"/>
                <w:b w:val="0"/>
                <w:i w:val="0"/>
                <w:sz w:val="21"/>
              </w:rPr>
              <w:t>风险补偿资金池</w:t>
            </w:r>
          </w:p>
        </w:tc>
        <w:tc>
          <w:tcPr>
            <w:tcW w:w="2835" w:type="dxa"/>
          </w:tcPr>
          <w:p w14:paraId="725DCC84">
            <w:pPr>
              <w:spacing w:before="40" w:after="40" w:line="300" w:lineRule="auto"/>
            </w:pPr>
            <w:r>
              <w:rPr>
                <w:rFonts w:ascii="Times New Roman" w:hAnsi="Times New Roman" w:eastAsia="宋体"/>
                <w:b w:val="0"/>
                <w:i w:val="0"/>
                <w:sz w:val="21"/>
              </w:rPr>
              <w:t>深圳 50 亿元资金池，补偿比例最高 50%；浙江知识产权质押贷款余额 532 亿元</w:t>
            </w:r>
          </w:p>
        </w:tc>
      </w:tr>
    </w:tbl>
    <w:p w14:paraId="12CE4291">
      <w:pPr>
        <w:spacing w:after="80"/>
      </w:pPr>
    </w:p>
    <w:p w14:paraId="792841BA">
      <w:pPr>
        <w:spacing w:before="0" w:after="120" w:line="360" w:lineRule="auto"/>
        <w:ind w:firstLine="480"/>
        <w:jc w:val="both"/>
      </w:pPr>
      <w:r>
        <w:rPr>
          <w:rFonts w:ascii="Times New Roman" w:hAnsi="Times New Roman" w:eastAsia="宋体"/>
          <w:b w:val="0"/>
          <w:i w:val="0"/>
          <w:sz w:val="24"/>
        </w:rPr>
        <w:t>学术与工程层面，国内高校与机构在科技型企业信用评价、专利价值度模型、知识图谱风控等方向已有较多研究，XGBoost/LightGBM 在中小样本财务风险预测上的有效性得到广泛验证，图神经网络与 PageRank 在专利影响力度量上亦有成熟应用。</w:t>
      </w:r>
    </w:p>
    <w:p w14:paraId="6FA9EA7F">
      <w:pPr>
        <w:spacing w:before="160" w:after="80" w:line="336" w:lineRule="auto"/>
        <w:jc w:val="left"/>
        <w:outlineLvl w:val="2"/>
      </w:pPr>
      <w:r>
        <w:rPr>
          <w:rFonts w:ascii="黑体" w:hAnsi="黑体" w:eastAsia="黑体"/>
          <w:b/>
          <w:i w:val="0"/>
          <w:sz w:val="24"/>
        </w:rPr>
        <w:t>1.2.3 现有实践的共同不足</w:t>
      </w:r>
    </w:p>
    <w:p w14:paraId="78C52946">
      <w:pPr>
        <w:spacing w:before="0" w:after="120" w:line="360" w:lineRule="auto"/>
        <w:ind w:firstLine="480"/>
        <w:jc w:val="both"/>
      </w:pPr>
      <w:r>
        <w:rPr>
          <w:rFonts w:ascii="Times New Roman" w:hAnsi="Times New Roman" w:eastAsia="宋体"/>
          <w:b w:val="0"/>
          <w:i w:val="0"/>
          <w:sz w:val="24"/>
        </w:rPr>
        <w:t>梳理上述实践可以发现三点共性局限：</w:t>
      </w:r>
    </w:p>
    <w:p w14:paraId="3A4326C2">
      <w:pPr>
        <w:spacing w:before="0" w:after="120" w:line="360" w:lineRule="auto"/>
        <w:ind w:firstLine="480"/>
        <w:jc w:val="both"/>
      </w:pPr>
      <w:r>
        <w:rPr>
          <w:rFonts w:ascii="Times New Roman" w:hAnsi="Times New Roman" w:eastAsia="宋体"/>
          <w:b w:val="0"/>
          <w:i w:val="0"/>
          <w:sz w:val="24"/>
        </w:rPr>
        <w:t>其一，多为单点模型，缺少全链路闭环。已有实践集中在"评估"环节（如某个技术流评分卡、某个专利估值模型），较少覆盖"评估—触发—匹配—预警"的完整链路，评估结论与授信动作之间缺少自动化的衔接机制。</w:t>
      </w:r>
    </w:p>
    <w:p w14:paraId="5241CEF4">
      <w:pPr>
        <w:spacing w:before="0" w:after="120" w:line="360" w:lineRule="auto"/>
        <w:ind w:firstLine="480"/>
        <w:jc w:val="both"/>
      </w:pPr>
      <w:r>
        <w:rPr>
          <w:rFonts w:ascii="Times New Roman" w:hAnsi="Times New Roman" w:eastAsia="宋体"/>
          <w:b w:val="0"/>
          <w:i w:val="0"/>
          <w:sz w:val="24"/>
        </w:rPr>
        <w:t>其二，多为静态评价，缺少动态机制。现有模型通常给出一个时点上的评分或额度，未将研发进度作为变量纳入，无法随企业技术进展滚动调整授信。</w:t>
      </w:r>
    </w:p>
    <w:p w14:paraId="20E2E9AE">
      <w:pPr>
        <w:spacing w:before="0" w:after="120" w:line="360" w:lineRule="auto"/>
        <w:ind w:firstLine="480"/>
        <w:jc w:val="both"/>
      </w:pPr>
      <w:r>
        <w:rPr>
          <w:rFonts w:ascii="Times New Roman" w:hAnsi="Times New Roman" w:eastAsia="宋体"/>
          <w:b w:val="0"/>
          <w:i w:val="0"/>
          <w:sz w:val="24"/>
        </w:rPr>
        <w:t>其三，少见图算法落地。以图算法量化单件专利影响力并将其直接映射为授信系数的方案，在公开实践中尚不多见；多数机构仍以专利数量、专利类型等结构化计数指标为主。</w:t>
      </w:r>
    </w:p>
    <w:p w14:paraId="77AE3C42">
      <w:pPr>
        <w:spacing w:before="0" w:after="120" w:line="360" w:lineRule="auto"/>
        <w:ind w:firstLine="480"/>
        <w:jc w:val="both"/>
      </w:pPr>
      <w:r>
        <w:rPr>
          <w:rFonts w:ascii="Times New Roman" w:hAnsi="Times New Roman" w:eastAsia="宋体"/>
          <w:b w:val="0"/>
          <w:i w:val="0"/>
          <w:sz w:val="24"/>
        </w:rPr>
        <w:t>本项目针对这三点不足做了针对性设计，详见第二章。</w:t>
      </w:r>
    </w:p>
    <w:p w14:paraId="756A30BD">
      <w:pPr>
        <w:spacing w:before="200" w:after="120" w:line="336" w:lineRule="auto"/>
        <w:jc w:val="left"/>
        <w:outlineLvl w:val="1"/>
      </w:pPr>
      <w:bookmarkStart w:id="4" w:name="_Toc5997"/>
      <w:r>
        <w:rPr>
          <w:rFonts w:ascii="黑体" w:hAnsi="黑体" w:eastAsia="黑体"/>
          <w:b/>
          <w:i w:val="0"/>
          <w:color w:val="0A1730"/>
          <w:sz w:val="26"/>
        </w:rPr>
        <w:t>1.3 行业痛点</w:t>
      </w:r>
      <w:bookmarkEnd w:id="4"/>
    </w:p>
    <w:p w14:paraId="22D0017B">
      <w:pPr>
        <w:spacing w:before="160" w:after="80" w:line="336" w:lineRule="auto"/>
        <w:jc w:val="left"/>
        <w:outlineLvl w:val="2"/>
      </w:pPr>
      <w:r>
        <w:rPr>
          <w:rFonts w:ascii="黑体" w:hAnsi="黑体" w:eastAsia="黑体"/>
          <w:b/>
          <w:i w:val="0"/>
          <w:sz w:val="24"/>
        </w:rPr>
        <w:t>1.3.1 痛点一：三重困境——银行惜贷、创投观望、保险缺位</w:t>
      </w:r>
    </w:p>
    <w:p w14:paraId="3E0AB55F">
      <w:pPr>
        <w:spacing w:before="0" w:after="120" w:line="360" w:lineRule="auto"/>
        <w:ind w:firstLine="480"/>
        <w:jc w:val="both"/>
      </w:pPr>
      <w:r>
        <w:rPr>
          <w:rFonts w:ascii="Times New Roman" w:hAnsi="Times New Roman" w:eastAsia="宋体"/>
          <w:b w:val="0"/>
          <w:i w:val="0"/>
          <w:sz w:val="24"/>
        </w:rPr>
        <w:t>银行惜贷：近半数科技型中小企业被挡在银行体系之外，高新技术企业获贷率也仅 57.3%。核心资产是专利与人，缺少合格抵押物，传统抵押逻辑失效。</w:t>
      </w:r>
    </w:p>
    <w:p w14:paraId="1C7F4DF5">
      <w:pPr>
        <w:spacing w:before="0" w:after="120" w:line="360" w:lineRule="auto"/>
        <w:ind w:firstLine="480"/>
        <w:jc w:val="both"/>
      </w:pPr>
      <w:r>
        <w:rPr>
          <w:rFonts w:ascii="Times New Roman" w:hAnsi="Times New Roman" w:eastAsia="宋体"/>
          <w:b w:val="0"/>
          <w:i w:val="0"/>
          <w:sz w:val="24"/>
        </w:rPr>
        <w:t>创投观望：备案私募股权与创投基金中，长期资本占比仅约 4%；计入政府引导基金也仅 10%~20%，而美国长期资本占比高达 70%~80%。国内创投基金普遍"5+2"周期，明显短于成熟市场的"10+2"。早期项目更难被托住。</w:t>
      </w:r>
    </w:p>
    <w:p w14:paraId="0A5461D4">
      <w:pPr>
        <w:spacing w:before="0" w:after="120" w:line="360" w:lineRule="auto"/>
        <w:ind w:firstLine="480"/>
        <w:jc w:val="both"/>
      </w:pPr>
      <w:r>
        <w:rPr>
          <w:rFonts w:ascii="Times New Roman" w:hAnsi="Times New Roman" w:eastAsia="宋体"/>
          <w:b w:val="0"/>
          <w:i w:val="0"/>
          <w:sz w:val="24"/>
        </w:rPr>
        <w:t>保险缺位：研发失败风险难以被合理定价，知识产权融资面临评估难、风控难、处置难三道闸门——不同机构估值差异大，违约后找买家难、定价难、过户难，导致保险产品难以设计。</w:t>
      </w:r>
    </w:p>
    <w:p w14:paraId="77BD3F31">
      <w:pPr>
        <w:spacing w:before="160" w:after="80" w:line="336" w:lineRule="auto"/>
        <w:jc w:val="left"/>
        <w:outlineLvl w:val="2"/>
      </w:pPr>
      <w:r>
        <w:rPr>
          <w:rFonts w:ascii="黑体" w:hAnsi="黑体" w:eastAsia="黑体"/>
          <w:b/>
          <w:i w:val="0"/>
          <w:sz w:val="24"/>
        </w:rPr>
        <w:t>1.3.2 痛点二：死亡谷——资金与风险的双重错配</w:t>
      </w:r>
    </w:p>
    <w:p w14:paraId="1A42FBE4">
      <w:pPr>
        <w:spacing w:before="0" w:after="120" w:line="360" w:lineRule="auto"/>
        <w:ind w:firstLine="480"/>
        <w:jc w:val="both"/>
      </w:pPr>
      <w:r>
        <w:rPr>
          <w:rFonts w:ascii="Times New Roman" w:hAnsi="Times New Roman" w:eastAsia="宋体"/>
          <w:b w:val="0"/>
          <w:i w:val="0"/>
          <w:sz w:val="24"/>
        </w:rPr>
        <w:t>硬科技"卡脖子"技术具有高投入、高风险、高回报、长周期的"三高一长"特征。半导体全行业研发投入强度高达 22%，为全球研发强度最高的行业；战略新药研发平均周期 10 年以上、投入平均 10 亿元（创新药"双十定律"）；硬科技从研发到量产需跨越技术验证、中试、规模化生产多重关卡，研发周期普遍 5~10 年。</w:t>
      </w:r>
    </w:p>
    <w:p w14:paraId="598D95AA">
      <w:pPr>
        <w:spacing w:before="0" w:after="120" w:line="360" w:lineRule="auto"/>
        <w:ind w:firstLine="480"/>
        <w:jc w:val="both"/>
      </w:pPr>
      <w:r>
        <w:rPr>
          <w:rFonts w:ascii="Times New Roman" w:hAnsi="Times New Roman" w:eastAsia="宋体"/>
          <w:b w:val="0"/>
          <w:i w:val="0"/>
          <w:sz w:val="24"/>
        </w:rPr>
        <w:t>而资金供给的节奏恰好相反：商业银行信贷多以短期为主，风投多聚焦接近 IPO 的后期项目。于是"从 0 到 1""从 1 到 10"阶段出现资金供给断档——企业风险最高的时点，恰恰是资金最不愿意进入的时点；而风险已显著降低的时点，反而资金拥挤。这条错配曲线就是所谓的"死亡谷"，超过七成项目在此夭折，新材料、高端装备等赛道夭折率突破 75%。</w:t>
      </w:r>
    </w:p>
    <w:p w14:paraId="4ECC12C7">
      <w:pPr>
        <w:spacing w:before="160" w:after="80" w:line="336" w:lineRule="auto"/>
        <w:jc w:val="left"/>
        <w:outlineLvl w:val="2"/>
      </w:pPr>
      <w:r>
        <w:rPr>
          <w:rFonts w:ascii="黑体" w:hAnsi="黑体" w:eastAsia="黑体"/>
          <w:b/>
          <w:i w:val="0"/>
          <w:sz w:val="24"/>
        </w:rPr>
        <w:t>1.3.3 痛点三：能力短板——看不懂、不会评、不敢贷</w:t>
      </w:r>
    </w:p>
    <w:p w14:paraId="27C6661D">
      <w:pPr>
        <w:spacing w:before="0" w:after="120" w:line="360" w:lineRule="auto"/>
        <w:ind w:firstLine="480"/>
        <w:jc w:val="both"/>
      </w:pPr>
      <w:r>
        <w:rPr>
          <w:rFonts w:ascii="Times New Roman" w:hAnsi="Times New Roman" w:eastAsia="宋体"/>
          <w:b w:val="0"/>
          <w:i w:val="0"/>
          <w:sz w:val="24"/>
        </w:rPr>
        <w:t>金融机构面对前沿技术存在系统性能力短板，可概括为九个字：看不懂（缺乏技术判断能力）、不会评（缺少非财务维度的量化评价体系）、不敢贷（风险无法定价，处置无抓手）。三个环节环环相扣，最终表现为"惜贷"。</w:t>
      </w:r>
    </w:p>
    <w:p w14:paraId="03F511A0">
      <w:pPr>
        <w:spacing w:before="160" w:after="80" w:line="336" w:lineRule="auto"/>
        <w:jc w:val="left"/>
        <w:outlineLvl w:val="2"/>
      </w:pPr>
      <w:r>
        <w:rPr>
          <w:rFonts w:ascii="黑体" w:hAnsi="黑体" w:eastAsia="黑体"/>
          <w:b/>
          <w:i w:val="0"/>
          <w:sz w:val="24"/>
        </w:rPr>
        <w:t>1.3.4 痛点四：现金流脆弱性</w:t>
      </w:r>
    </w:p>
    <w:p w14:paraId="4DA2885A">
      <w:pPr>
        <w:spacing w:before="0" w:after="120" w:line="360" w:lineRule="auto"/>
        <w:ind w:firstLine="480"/>
        <w:jc w:val="both"/>
      </w:pPr>
      <w:r>
        <w:rPr>
          <w:rFonts w:ascii="Times New Roman" w:hAnsi="Times New Roman" w:eastAsia="宋体"/>
          <w:b w:val="0"/>
          <w:i w:val="0"/>
          <w:sz w:val="24"/>
        </w:rPr>
        <w:t>轻资产企业在扩产期最易因现金流断裂而中断。以北云科技的测算为例：设备更新需 6 个月，下游账期 2~3 个月，上游需预付全款，资金需一年才可周转一圈。这类结构性现金流压力，是死亡谷在时间维度上的具体表现。</w:t>
      </w:r>
    </w:p>
    <w:p w14:paraId="137D0A2C">
      <w:pPr>
        <w:spacing w:before="320" w:after="200" w:line="336" w:lineRule="auto"/>
        <w:jc w:val="left"/>
        <w:outlineLvl w:val="0"/>
      </w:pPr>
      <w:bookmarkStart w:id="5" w:name="_Toc26368"/>
      <w:r>
        <w:rPr>
          <w:rFonts w:ascii="黑体" w:hAnsi="黑体" w:eastAsia="黑体"/>
          <w:b/>
          <w:i w:val="0"/>
          <w:color w:val="0A1730"/>
          <w:sz w:val="30"/>
        </w:rPr>
        <w:t>二、产品介绍</w:t>
      </w:r>
      <w:bookmarkEnd w:id="5"/>
    </w:p>
    <w:p w14:paraId="332F774B">
      <w:pPr>
        <w:spacing w:before="200" w:after="120" w:line="336" w:lineRule="auto"/>
        <w:jc w:val="left"/>
        <w:outlineLvl w:val="1"/>
      </w:pPr>
      <w:bookmarkStart w:id="6" w:name="_Toc30530"/>
      <w:r>
        <w:rPr>
          <w:rFonts w:ascii="黑体" w:hAnsi="黑体" w:eastAsia="黑体"/>
          <w:b/>
          <w:i w:val="0"/>
          <w:color w:val="0A1730"/>
          <w:sz w:val="26"/>
        </w:rPr>
        <w:t>2.1 项目简介</w:t>
      </w:r>
      <w:bookmarkEnd w:id="6"/>
    </w:p>
    <w:p w14:paraId="1CB07A46">
      <w:pPr>
        <w:spacing w:before="0" w:after="120" w:line="360" w:lineRule="auto"/>
        <w:ind w:firstLine="480"/>
        <w:jc w:val="both"/>
      </w:pPr>
      <w:r>
        <w:rPr>
          <w:rFonts w:ascii="Times New Roman" w:hAnsi="Times New Roman" w:eastAsia="宋体"/>
          <w:b w:val="0"/>
          <w:i w:val="0"/>
          <w:sz w:val="24"/>
        </w:rPr>
        <w:t>工银科创桥是一套面向硬科技企业的里程碑式投贷联动平台，服务半导体、商业航天、生物医药、高端装备、新材料、人工智能六大赛道。平台以 AI 评估引擎对轻资产科创企业做动态估值，以研发里程碑为触发器动态匹配金融工具包，把传统的一次性静态审批转变为随研发进度滚动释放的动态授信。</w:t>
      </w:r>
    </w:p>
    <w:p w14:paraId="63850C4E">
      <w:pPr>
        <w:spacing w:before="0" w:after="120" w:line="360" w:lineRule="auto"/>
        <w:ind w:firstLine="480"/>
        <w:jc w:val="both"/>
      </w:pPr>
      <w:r>
        <w:rPr>
          <w:rFonts w:ascii="Times New Roman" w:hAnsi="Times New Roman" w:eastAsia="宋体"/>
          <w:b w:val="0"/>
          <w:i w:val="0"/>
          <w:sz w:val="24"/>
        </w:rPr>
        <w:t>平台由四个层次构成：数据接入层（工商、知识产权、人才、财务多维数据归集）、智能评估层（XGBoost 双模型 + PageRank 专利网络）、里程碑引擎层（五阶段触发与工具包匹配）、交互呈现层（企业画像、专利网络图、授信模拟器、风控预警等 7 个业务组件）。</w:t>
      </w:r>
    </w:p>
    <w:p w14:paraId="7369ADBA">
      <w:pPr>
        <w:spacing w:before="0" w:after="120" w:line="360" w:lineRule="auto"/>
        <w:ind w:firstLine="480"/>
        <w:jc w:val="both"/>
      </w:pPr>
      <w:r>
        <w:rPr>
          <w:rFonts w:ascii="Times New Roman" w:hAnsi="Times New Roman" w:eastAsia="宋体"/>
          <w:b w:val="0"/>
          <w:i w:val="0"/>
          <w:sz w:val="24"/>
        </w:rPr>
        <w:t>一次完整的业务流程为：数据接入 → 智能评估（估值 + 风险并行推理） → 里程碑匹配与额度测算 → 贷后预警与额度动态调整。全流程通过 13 个 REST 端点贯通，任一环节模型异常均可自动回退规则公式，保证服务连续性。</w:t>
      </w:r>
    </w:p>
    <w:p w14:paraId="52C2742F">
      <w:pPr>
        <w:spacing w:before="200" w:after="120" w:line="336" w:lineRule="auto"/>
        <w:jc w:val="left"/>
        <w:outlineLvl w:val="1"/>
      </w:pPr>
      <w:bookmarkStart w:id="7" w:name="_Toc8055"/>
      <w:r>
        <w:rPr>
          <w:rFonts w:ascii="黑体" w:hAnsi="黑体" w:eastAsia="黑体"/>
          <w:b/>
          <w:i w:val="0"/>
          <w:color w:val="0A1730"/>
          <w:sz w:val="26"/>
        </w:rPr>
        <w:t>2.2 产品特色及创新</w:t>
      </w:r>
      <w:bookmarkEnd w:id="7"/>
    </w:p>
    <w:p w14:paraId="1ED07845">
      <w:pPr>
        <w:spacing w:before="160" w:after="80" w:line="336" w:lineRule="auto"/>
        <w:jc w:val="left"/>
        <w:outlineLvl w:val="2"/>
      </w:pPr>
      <w:r>
        <w:rPr>
          <w:rFonts w:ascii="黑体" w:hAnsi="黑体" w:eastAsia="黑体"/>
          <w:b/>
          <w:i w:val="0"/>
          <w:sz w:val="24"/>
        </w:rPr>
        <w:t>创新点一：里程碑触发器——把研发进度变成授信变量</w:t>
      </w:r>
    </w:p>
    <w:p w14:paraId="618CFEAA">
      <w:pPr>
        <w:spacing w:before="0" w:after="120" w:line="360" w:lineRule="auto"/>
        <w:ind w:firstLine="480"/>
        <w:jc w:val="both"/>
      </w:pPr>
      <w:r>
        <w:rPr>
          <w:rFonts w:ascii="Times New Roman" w:hAnsi="Times New Roman" w:eastAsia="宋体"/>
          <w:b w:val="0"/>
          <w:i w:val="0"/>
          <w:sz w:val="24"/>
        </w:rPr>
        <w:t>这是本项目最核心的机制创新。平台将硬科技企业的研发过程划分为五个阶段，每通过一个关键节点，自动释放对应比例与类型的金融工具：</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58ED9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723D1354">
            <w:pPr>
              <w:spacing w:before="40" w:after="40" w:line="300" w:lineRule="auto"/>
            </w:pPr>
            <w:r>
              <w:rPr>
                <w:rFonts w:ascii="黑体" w:hAnsi="黑体" w:eastAsia="黑体"/>
                <w:b/>
                <w:i w:val="0"/>
                <w:sz w:val="21"/>
              </w:rPr>
              <w:t>阶段</w:t>
            </w:r>
          </w:p>
        </w:tc>
        <w:tc>
          <w:tcPr>
            <w:tcW w:w="2126" w:type="dxa"/>
          </w:tcPr>
          <w:p w14:paraId="347B58BC">
            <w:pPr>
              <w:spacing w:before="40" w:after="40" w:line="300" w:lineRule="auto"/>
            </w:pPr>
            <w:r>
              <w:rPr>
                <w:rFonts w:ascii="黑体" w:hAnsi="黑体" w:eastAsia="黑体"/>
                <w:b/>
                <w:i w:val="0"/>
                <w:sz w:val="21"/>
              </w:rPr>
              <w:t>里程碑标志</w:t>
            </w:r>
          </w:p>
        </w:tc>
        <w:tc>
          <w:tcPr>
            <w:tcW w:w="2126" w:type="dxa"/>
          </w:tcPr>
          <w:p w14:paraId="0F5CCBBA">
            <w:pPr>
              <w:spacing w:before="40" w:after="40" w:line="300" w:lineRule="auto"/>
            </w:pPr>
            <w:r>
              <w:rPr>
                <w:rFonts w:ascii="黑体" w:hAnsi="黑体" w:eastAsia="黑体"/>
                <w:b/>
                <w:i w:val="0"/>
                <w:sz w:val="21"/>
              </w:rPr>
              <w:t>触发工具包</w:t>
            </w:r>
          </w:p>
        </w:tc>
        <w:tc>
          <w:tcPr>
            <w:tcW w:w="2126" w:type="dxa"/>
          </w:tcPr>
          <w:p w14:paraId="45F8BFC4">
            <w:pPr>
              <w:spacing w:before="40" w:after="40" w:line="300" w:lineRule="auto"/>
            </w:pPr>
            <w:r>
              <w:rPr>
                <w:rFonts w:ascii="黑体" w:hAnsi="黑体" w:eastAsia="黑体"/>
                <w:b/>
                <w:i w:val="0"/>
                <w:sz w:val="21"/>
              </w:rPr>
              <w:t>释放比例</w:t>
            </w:r>
          </w:p>
        </w:tc>
      </w:tr>
      <w:tr w14:paraId="08C6C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18C6E856">
            <w:pPr>
              <w:spacing w:before="40" w:after="40" w:line="300" w:lineRule="auto"/>
            </w:pPr>
            <w:r>
              <w:rPr>
                <w:rFonts w:ascii="Times New Roman" w:hAnsi="Times New Roman" w:eastAsia="宋体"/>
                <w:b w:val="0"/>
                <w:i w:val="0"/>
                <w:sz w:val="21"/>
              </w:rPr>
              <w:t>① 立项 / 预研</w:t>
            </w:r>
          </w:p>
        </w:tc>
        <w:tc>
          <w:tcPr>
            <w:tcW w:w="2126" w:type="dxa"/>
          </w:tcPr>
          <w:p w14:paraId="02EFA006">
            <w:pPr>
              <w:spacing w:before="40" w:after="40" w:line="300" w:lineRule="auto"/>
            </w:pPr>
            <w:r>
              <w:rPr>
                <w:rFonts w:ascii="Times New Roman" w:hAnsi="Times New Roman" w:eastAsia="宋体"/>
                <w:b w:val="0"/>
                <w:i w:val="0"/>
                <w:sz w:val="21"/>
              </w:rPr>
              <w:t>技术方案定型、核心专利布局完成</w:t>
            </w:r>
          </w:p>
        </w:tc>
        <w:tc>
          <w:tcPr>
            <w:tcW w:w="2126" w:type="dxa"/>
          </w:tcPr>
          <w:p w14:paraId="73CCB89B">
            <w:pPr>
              <w:spacing w:before="40" w:after="40" w:line="300" w:lineRule="auto"/>
            </w:pPr>
            <w:r>
              <w:rPr>
                <w:rFonts w:ascii="Times New Roman" w:hAnsi="Times New Roman" w:eastAsia="宋体"/>
                <w:b w:val="0"/>
                <w:i w:val="0"/>
                <w:sz w:val="21"/>
              </w:rPr>
              <w:t>知识产权质押贷 + 研发补贴</w:t>
            </w:r>
          </w:p>
        </w:tc>
        <w:tc>
          <w:tcPr>
            <w:tcW w:w="2126" w:type="dxa"/>
          </w:tcPr>
          <w:p w14:paraId="0A9AF576">
            <w:pPr>
              <w:spacing w:before="40" w:after="40" w:line="300" w:lineRule="auto"/>
            </w:pPr>
            <w:r>
              <w:rPr>
                <w:rFonts w:ascii="Times New Roman" w:hAnsi="Times New Roman" w:eastAsia="宋体"/>
                <w:b w:val="0"/>
                <w:i w:val="0"/>
                <w:sz w:val="21"/>
              </w:rPr>
              <w:t>15%</w:t>
            </w:r>
          </w:p>
        </w:tc>
      </w:tr>
      <w:tr w14:paraId="6FF4A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1AE263AC">
            <w:pPr>
              <w:spacing w:before="40" w:after="40" w:line="300" w:lineRule="auto"/>
            </w:pPr>
            <w:r>
              <w:rPr>
                <w:rFonts w:ascii="Times New Roman" w:hAnsi="Times New Roman" w:eastAsia="宋体"/>
                <w:b w:val="0"/>
                <w:i w:val="0"/>
                <w:sz w:val="21"/>
              </w:rPr>
              <w:t>② 原型验证</w:t>
            </w:r>
          </w:p>
        </w:tc>
        <w:tc>
          <w:tcPr>
            <w:tcW w:w="2126" w:type="dxa"/>
          </w:tcPr>
          <w:p w14:paraId="11320AB8">
            <w:pPr>
              <w:spacing w:before="40" w:after="40" w:line="300" w:lineRule="auto"/>
            </w:pPr>
            <w:r>
              <w:rPr>
                <w:rFonts w:ascii="Times New Roman" w:hAnsi="Times New Roman" w:eastAsia="宋体"/>
                <w:b w:val="0"/>
                <w:i w:val="0"/>
                <w:sz w:val="21"/>
              </w:rPr>
              <w:t>样机/样品通过验证</w:t>
            </w:r>
          </w:p>
        </w:tc>
        <w:tc>
          <w:tcPr>
            <w:tcW w:w="2126" w:type="dxa"/>
          </w:tcPr>
          <w:p w14:paraId="5F30E9EC">
            <w:pPr>
              <w:spacing w:before="40" w:after="40" w:line="300" w:lineRule="auto"/>
            </w:pPr>
            <w:r>
              <w:rPr>
                <w:rFonts w:ascii="Times New Roman" w:hAnsi="Times New Roman" w:eastAsia="宋体"/>
                <w:b w:val="0"/>
                <w:i w:val="0"/>
                <w:sz w:val="21"/>
              </w:rPr>
              <w:t>AI 动态估值授信 + 股权跟投</w:t>
            </w:r>
          </w:p>
        </w:tc>
        <w:tc>
          <w:tcPr>
            <w:tcW w:w="2126" w:type="dxa"/>
          </w:tcPr>
          <w:p w14:paraId="2A698F52">
            <w:pPr>
              <w:spacing w:before="40" w:after="40" w:line="300" w:lineRule="auto"/>
            </w:pPr>
            <w:r>
              <w:rPr>
                <w:rFonts w:ascii="Times New Roman" w:hAnsi="Times New Roman" w:eastAsia="宋体"/>
                <w:b w:val="0"/>
                <w:i w:val="0"/>
                <w:sz w:val="21"/>
              </w:rPr>
              <w:t>25%</w:t>
            </w:r>
          </w:p>
        </w:tc>
      </w:tr>
      <w:tr w14:paraId="179D7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26228767">
            <w:pPr>
              <w:spacing w:before="40" w:after="40" w:line="300" w:lineRule="auto"/>
            </w:pPr>
            <w:r>
              <w:rPr>
                <w:rFonts w:ascii="Times New Roman" w:hAnsi="Times New Roman" w:eastAsia="宋体"/>
                <w:b w:val="0"/>
                <w:i w:val="0"/>
                <w:sz w:val="21"/>
              </w:rPr>
              <w:t>③ 流片成功 / 临床 II 期</w:t>
            </w:r>
          </w:p>
        </w:tc>
        <w:tc>
          <w:tcPr>
            <w:tcW w:w="2126" w:type="dxa"/>
          </w:tcPr>
          <w:p w14:paraId="5ED3F913">
            <w:pPr>
              <w:spacing w:before="40" w:after="40" w:line="300" w:lineRule="auto"/>
            </w:pPr>
            <w:r>
              <w:rPr>
                <w:rFonts w:ascii="Times New Roman" w:hAnsi="Times New Roman" w:eastAsia="宋体"/>
                <w:b w:val="0"/>
                <w:i w:val="0"/>
                <w:sz w:val="21"/>
              </w:rPr>
              <w:t>关键技术节点达成</w:t>
            </w:r>
          </w:p>
        </w:tc>
        <w:tc>
          <w:tcPr>
            <w:tcW w:w="2126" w:type="dxa"/>
          </w:tcPr>
          <w:p w14:paraId="4A673625">
            <w:pPr>
              <w:spacing w:before="40" w:after="40" w:line="300" w:lineRule="auto"/>
            </w:pPr>
            <w:r>
              <w:rPr>
                <w:rFonts w:ascii="Times New Roman" w:hAnsi="Times New Roman" w:eastAsia="宋体"/>
                <w:b w:val="0"/>
                <w:i w:val="0"/>
                <w:sz w:val="21"/>
              </w:rPr>
              <w:t>投贷联动（信贷 + 股权投资）</w:t>
            </w:r>
          </w:p>
        </w:tc>
        <w:tc>
          <w:tcPr>
            <w:tcW w:w="2126" w:type="dxa"/>
          </w:tcPr>
          <w:p w14:paraId="446DB1B7">
            <w:pPr>
              <w:spacing w:before="40" w:after="40" w:line="300" w:lineRule="auto"/>
            </w:pPr>
            <w:r>
              <w:rPr>
                <w:rFonts w:ascii="Times New Roman" w:hAnsi="Times New Roman" w:eastAsia="宋体"/>
                <w:b w:val="0"/>
                <w:i w:val="0"/>
                <w:sz w:val="21"/>
              </w:rPr>
              <w:t>40%</w:t>
            </w:r>
          </w:p>
        </w:tc>
      </w:tr>
      <w:tr w14:paraId="2BB66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7C7F4744">
            <w:pPr>
              <w:spacing w:before="40" w:after="40" w:line="300" w:lineRule="auto"/>
            </w:pPr>
            <w:r>
              <w:rPr>
                <w:rFonts w:ascii="Times New Roman" w:hAnsi="Times New Roman" w:eastAsia="宋体"/>
                <w:b w:val="0"/>
                <w:i w:val="0"/>
                <w:sz w:val="21"/>
              </w:rPr>
              <w:t>④ 商业化量产</w:t>
            </w:r>
          </w:p>
        </w:tc>
        <w:tc>
          <w:tcPr>
            <w:tcW w:w="2126" w:type="dxa"/>
          </w:tcPr>
          <w:p w14:paraId="580D7EB8">
            <w:pPr>
              <w:spacing w:before="40" w:after="40" w:line="300" w:lineRule="auto"/>
            </w:pPr>
            <w:r>
              <w:rPr>
                <w:rFonts w:ascii="Times New Roman" w:hAnsi="Times New Roman" w:eastAsia="宋体"/>
                <w:b w:val="0"/>
                <w:i w:val="0"/>
                <w:sz w:val="21"/>
              </w:rPr>
              <w:t>首批量产订单落地</w:t>
            </w:r>
          </w:p>
        </w:tc>
        <w:tc>
          <w:tcPr>
            <w:tcW w:w="2126" w:type="dxa"/>
          </w:tcPr>
          <w:p w14:paraId="67F439E1">
            <w:pPr>
              <w:spacing w:before="40" w:after="40" w:line="300" w:lineRule="auto"/>
            </w:pPr>
            <w:r>
              <w:rPr>
                <w:rFonts w:ascii="Times New Roman" w:hAnsi="Times New Roman" w:eastAsia="宋体"/>
                <w:b w:val="0"/>
                <w:i w:val="0"/>
                <w:sz w:val="21"/>
              </w:rPr>
              <w:t>供应链票据 + 订单融资</w:t>
            </w:r>
          </w:p>
        </w:tc>
        <w:tc>
          <w:tcPr>
            <w:tcW w:w="2126" w:type="dxa"/>
          </w:tcPr>
          <w:p w14:paraId="25F10A57">
            <w:pPr>
              <w:spacing w:before="40" w:after="40" w:line="300" w:lineRule="auto"/>
            </w:pPr>
            <w:r>
              <w:rPr>
                <w:rFonts w:ascii="Times New Roman" w:hAnsi="Times New Roman" w:eastAsia="宋体"/>
                <w:b w:val="0"/>
                <w:i w:val="0"/>
                <w:sz w:val="21"/>
              </w:rPr>
              <w:t>30%</w:t>
            </w:r>
          </w:p>
        </w:tc>
      </w:tr>
      <w:tr w14:paraId="35077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5023EFE3">
            <w:pPr>
              <w:spacing w:before="40" w:after="40" w:line="300" w:lineRule="auto"/>
            </w:pPr>
            <w:r>
              <w:rPr>
                <w:rFonts w:ascii="Times New Roman" w:hAnsi="Times New Roman" w:eastAsia="宋体"/>
                <w:b w:val="0"/>
                <w:i w:val="0"/>
                <w:sz w:val="21"/>
              </w:rPr>
              <w:t>⑤ 上市预备</w:t>
            </w:r>
          </w:p>
        </w:tc>
        <w:tc>
          <w:tcPr>
            <w:tcW w:w="2126" w:type="dxa"/>
          </w:tcPr>
          <w:p w14:paraId="5FC8B84D">
            <w:pPr>
              <w:spacing w:before="40" w:after="40" w:line="300" w:lineRule="auto"/>
            </w:pPr>
            <w:r>
              <w:rPr>
                <w:rFonts w:ascii="Times New Roman" w:hAnsi="Times New Roman" w:eastAsia="宋体"/>
                <w:b w:val="0"/>
                <w:i w:val="0"/>
                <w:sz w:val="21"/>
              </w:rPr>
              <w:t>进入辅导期</w:t>
            </w:r>
          </w:p>
        </w:tc>
        <w:tc>
          <w:tcPr>
            <w:tcW w:w="2126" w:type="dxa"/>
          </w:tcPr>
          <w:p w14:paraId="14335C46">
            <w:pPr>
              <w:spacing w:before="40" w:after="40" w:line="300" w:lineRule="auto"/>
            </w:pPr>
            <w:r>
              <w:rPr>
                <w:rFonts w:ascii="Times New Roman" w:hAnsi="Times New Roman" w:eastAsia="宋体"/>
                <w:b w:val="0"/>
                <w:i w:val="0"/>
                <w:sz w:val="21"/>
              </w:rPr>
              <w:t>可转债 + 科创专项债</w:t>
            </w:r>
          </w:p>
        </w:tc>
        <w:tc>
          <w:tcPr>
            <w:tcW w:w="2126" w:type="dxa"/>
          </w:tcPr>
          <w:p w14:paraId="3E4CF304">
            <w:pPr>
              <w:spacing w:before="40" w:after="40" w:line="300" w:lineRule="auto"/>
            </w:pPr>
            <w:r>
              <w:rPr>
                <w:rFonts w:ascii="Times New Roman" w:hAnsi="Times New Roman" w:eastAsia="宋体"/>
                <w:b w:val="0"/>
                <w:i w:val="0"/>
                <w:sz w:val="21"/>
              </w:rPr>
              <w:t>50%</w:t>
            </w:r>
          </w:p>
        </w:tc>
      </w:tr>
    </w:tbl>
    <w:p w14:paraId="23EEB179">
      <w:pPr>
        <w:spacing w:after="80"/>
      </w:pPr>
    </w:p>
    <w:p w14:paraId="5F04AEF4">
      <w:pPr>
        <w:spacing w:before="0" w:after="120" w:line="360" w:lineRule="auto"/>
        <w:ind w:firstLine="480"/>
        <w:jc w:val="both"/>
      </w:pPr>
      <w:r>
        <w:rPr>
          <w:rFonts w:ascii="Times New Roman" w:hAnsi="Times New Roman" w:eastAsia="宋体"/>
          <w:b w:val="0"/>
          <w:i w:val="0"/>
          <w:sz w:val="24"/>
        </w:rPr>
        <w:t>授信额度按公式实时计算：最终授信 = AI 估值 × 30% × 里程碑进度系数 × (1 − 风险评分 × 0.5)。这一机制的意义在于：企业不必在最虚弱的时点一次性争取全部额度，而是获得一条随技术进展确定可见的融资路径——融资节奏第一次与研发节奏对齐。</w:t>
      </w:r>
    </w:p>
    <w:p w14:paraId="6699E5C3">
      <w:pPr>
        <w:spacing w:before="160" w:after="80" w:line="336" w:lineRule="auto"/>
        <w:jc w:val="left"/>
        <w:outlineLvl w:val="2"/>
      </w:pPr>
      <w:r>
        <w:rPr>
          <w:rFonts w:ascii="黑体" w:hAnsi="黑体" w:eastAsia="黑体"/>
          <w:b/>
          <w:i w:val="0"/>
          <w:sz w:val="24"/>
        </w:rPr>
        <w:t>创新点二：双模型并行——估值与风险同时输出</w:t>
      </w:r>
    </w:p>
    <w:p w14:paraId="36DD4C5E">
      <w:pPr>
        <w:spacing w:before="0" w:after="120" w:line="360" w:lineRule="auto"/>
        <w:ind w:firstLine="480"/>
        <w:jc w:val="both"/>
      </w:pPr>
      <w:r>
        <w:rPr>
          <w:rFonts w:ascii="Times New Roman" w:hAnsi="Times New Roman" w:eastAsia="宋体"/>
          <w:b w:val="0"/>
          <w:i w:val="0"/>
          <w:sz w:val="24"/>
        </w:rPr>
        <w:t>平台并行运行两个 XGBoost 模型。估值模型基于 2000 条硬科技企业数据、8 个特征（含行业与阶段类别），采用 OneHot 编码 + 直通数值特征，300 棵树、max_depth=6，基础估值 R²=0.927、当前估值 R²=0.954。风险模型基于真实企业财务公开数据集 6819 条 × 95 个财务特征（未破产 6599 vs 破产 220，破产率 3.23%），以 scale_pos_weight=30 处理类别不平衡，300 棵树、max_depth=5，AUC=0.958、Accuracy=96.9%。风险模型 Top5 特征为税后持续利率（12.9%）、近四季持续 EPS（7.7%）、净利润/总资产（7.4%）、净值/资产（4.1%）、借款依赖度（4.1%）。</w:t>
      </w:r>
    </w:p>
    <w:p w14:paraId="77812E7F">
      <w:pPr>
        <w:spacing w:before="0" w:after="120" w:line="360" w:lineRule="auto"/>
        <w:ind w:firstLine="480"/>
        <w:jc w:val="both"/>
      </w:pPr>
      <w:r>
        <w:rPr>
          <w:rFonts w:ascii="Times New Roman" w:hAnsi="Times New Roman" w:eastAsia="宋体"/>
          <w:b w:val="0"/>
          <w:i w:val="0"/>
          <w:sz w:val="24"/>
        </w:rPr>
        <w:t>特征工程上引入非线性与交互项：patent_count^0.7、team_score^1.5、log(员工数)、√(质量 × 团队评分)，以提升对轻资产企业非线性成长曲线的拟合能力。</w:t>
      </w:r>
    </w:p>
    <w:p w14:paraId="1FF05B18">
      <w:pPr>
        <w:spacing w:before="160" w:after="80" w:line="336" w:lineRule="auto"/>
        <w:jc w:val="left"/>
        <w:outlineLvl w:val="2"/>
      </w:pPr>
      <w:r>
        <w:rPr>
          <w:rFonts w:ascii="黑体" w:hAnsi="黑体" w:eastAsia="黑体"/>
          <w:b/>
          <w:i w:val="0"/>
          <w:sz w:val="24"/>
        </w:rPr>
        <w:t>创新点三：PageRank 专利网络——从数量逻辑到结构逻辑</w:t>
      </w:r>
    </w:p>
    <w:p w14:paraId="3B527D18">
      <w:pPr>
        <w:spacing w:before="0" w:after="120" w:line="360" w:lineRule="auto"/>
        <w:ind w:firstLine="480"/>
        <w:jc w:val="both"/>
      </w:pPr>
      <w:r>
        <w:rPr>
          <w:rFonts w:ascii="Times New Roman" w:hAnsi="Times New Roman" w:eastAsia="宋体"/>
          <w:b w:val="0"/>
          <w:i w:val="0"/>
          <w:sz w:val="24"/>
        </w:rPr>
        <w:t>传统专利评价停留在"数数量"层面。本项目基于 NetworkX 构建专利引用图谱，以 PageRank 算法（alpha=0.85）迭代计算每件专利的结构性影响力，再按以下权重合成专利质量分：</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4252"/>
      </w:tblGrid>
      <w:tr w14:paraId="3A5C9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002856E9">
            <w:pPr>
              <w:spacing w:before="40" w:after="40" w:line="300" w:lineRule="auto"/>
            </w:pPr>
            <w:r>
              <w:rPr>
                <w:rFonts w:ascii="黑体" w:hAnsi="黑体" w:eastAsia="黑体"/>
                <w:b/>
                <w:i w:val="0"/>
                <w:sz w:val="21"/>
              </w:rPr>
              <w:t>维度</w:t>
            </w:r>
          </w:p>
        </w:tc>
        <w:tc>
          <w:tcPr>
            <w:tcW w:w="4252" w:type="dxa"/>
          </w:tcPr>
          <w:p w14:paraId="32E9B534">
            <w:pPr>
              <w:spacing w:before="40" w:after="40" w:line="300" w:lineRule="auto"/>
            </w:pPr>
            <w:r>
              <w:rPr>
                <w:rFonts w:ascii="黑体" w:hAnsi="黑体" w:eastAsia="黑体"/>
                <w:b/>
                <w:i w:val="0"/>
                <w:sz w:val="21"/>
              </w:rPr>
              <w:t>权重</w:t>
            </w:r>
          </w:p>
        </w:tc>
      </w:tr>
      <w:tr w14:paraId="2FFB7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510C25AB">
            <w:pPr>
              <w:spacing w:before="40" w:after="40" w:line="300" w:lineRule="auto"/>
            </w:pPr>
            <w:r>
              <w:rPr>
                <w:rFonts w:ascii="Times New Roman" w:hAnsi="Times New Roman" w:eastAsia="宋体"/>
                <w:b w:val="0"/>
                <w:i w:val="0"/>
                <w:sz w:val="21"/>
              </w:rPr>
              <w:t>引用关系</w:t>
            </w:r>
          </w:p>
        </w:tc>
        <w:tc>
          <w:tcPr>
            <w:tcW w:w="4252" w:type="dxa"/>
          </w:tcPr>
          <w:p w14:paraId="67E014F3">
            <w:pPr>
              <w:spacing w:before="40" w:after="40" w:line="300" w:lineRule="auto"/>
            </w:pPr>
            <w:r>
              <w:rPr>
                <w:rFonts w:ascii="Times New Roman" w:hAnsi="Times New Roman" w:eastAsia="宋体"/>
                <w:b w:val="0"/>
                <w:i w:val="0"/>
                <w:sz w:val="21"/>
              </w:rPr>
              <w:t>30%</w:t>
            </w:r>
          </w:p>
        </w:tc>
      </w:tr>
      <w:tr w14:paraId="410F6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416B487A">
            <w:pPr>
              <w:spacing w:before="40" w:after="40" w:line="300" w:lineRule="auto"/>
            </w:pPr>
            <w:r>
              <w:rPr>
                <w:rFonts w:ascii="Times New Roman" w:hAnsi="Times New Roman" w:eastAsia="宋体"/>
                <w:b w:val="0"/>
                <w:i w:val="0"/>
                <w:sz w:val="21"/>
              </w:rPr>
              <w:t>PageRank 结构性影响力</w:t>
            </w:r>
          </w:p>
        </w:tc>
        <w:tc>
          <w:tcPr>
            <w:tcW w:w="4252" w:type="dxa"/>
          </w:tcPr>
          <w:p w14:paraId="05220AC9">
            <w:pPr>
              <w:spacing w:before="40" w:after="40" w:line="300" w:lineRule="auto"/>
            </w:pPr>
            <w:r>
              <w:rPr>
                <w:rFonts w:ascii="Times New Roman" w:hAnsi="Times New Roman" w:eastAsia="宋体"/>
                <w:b w:val="0"/>
                <w:i w:val="0"/>
                <w:sz w:val="21"/>
              </w:rPr>
              <w:t>25%</w:t>
            </w:r>
          </w:p>
        </w:tc>
      </w:tr>
      <w:tr w14:paraId="58556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292C24F8">
            <w:pPr>
              <w:spacing w:before="40" w:after="40" w:line="300" w:lineRule="auto"/>
            </w:pPr>
            <w:r>
              <w:rPr>
                <w:rFonts w:ascii="Times New Roman" w:hAnsi="Times New Roman" w:eastAsia="宋体"/>
                <w:b w:val="0"/>
                <w:i w:val="0"/>
                <w:sz w:val="21"/>
              </w:rPr>
              <w:t>同族布局</w:t>
            </w:r>
          </w:p>
        </w:tc>
        <w:tc>
          <w:tcPr>
            <w:tcW w:w="4252" w:type="dxa"/>
          </w:tcPr>
          <w:p w14:paraId="314E570F">
            <w:pPr>
              <w:spacing w:before="40" w:after="40" w:line="300" w:lineRule="auto"/>
            </w:pPr>
            <w:r>
              <w:rPr>
                <w:rFonts w:ascii="Times New Roman" w:hAnsi="Times New Roman" w:eastAsia="宋体"/>
                <w:b w:val="0"/>
                <w:i w:val="0"/>
                <w:sz w:val="21"/>
              </w:rPr>
              <w:t>20%</w:t>
            </w:r>
          </w:p>
        </w:tc>
      </w:tr>
      <w:tr w14:paraId="67934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0AB01D5D">
            <w:pPr>
              <w:spacing w:before="40" w:after="40" w:line="300" w:lineRule="auto"/>
            </w:pPr>
            <w:r>
              <w:rPr>
                <w:rFonts w:ascii="Times New Roman" w:hAnsi="Times New Roman" w:eastAsia="宋体"/>
                <w:b w:val="0"/>
                <w:i w:val="0"/>
                <w:sz w:val="21"/>
              </w:rPr>
              <w:t>国际布局</w:t>
            </w:r>
          </w:p>
        </w:tc>
        <w:tc>
          <w:tcPr>
            <w:tcW w:w="4252" w:type="dxa"/>
          </w:tcPr>
          <w:p w14:paraId="258F6476">
            <w:pPr>
              <w:spacing w:before="40" w:after="40" w:line="300" w:lineRule="auto"/>
            </w:pPr>
            <w:r>
              <w:rPr>
                <w:rFonts w:ascii="Times New Roman" w:hAnsi="Times New Roman" w:eastAsia="宋体"/>
                <w:b w:val="0"/>
                <w:i w:val="0"/>
                <w:sz w:val="21"/>
              </w:rPr>
              <w:t>15%</w:t>
            </w:r>
          </w:p>
        </w:tc>
      </w:tr>
      <w:tr w14:paraId="1CFB4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381B73EC">
            <w:pPr>
              <w:spacing w:before="40" w:after="40" w:line="300" w:lineRule="auto"/>
            </w:pPr>
            <w:r>
              <w:rPr>
                <w:rFonts w:ascii="Times New Roman" w:hAnsi="Times New Roman" w:eastAsia="宋体"/>
                <w:b w:val="0"/>
                <w:i w:val="0"/>
                <w:sz w:val="21"/>
              </w:rPr>
              <w:t>诉讼与许可记录</w:t>
            </w:r>
          </w:p>
        </w:tc>
        <w:tc>
          <w:tcPr>
            <w:tcW w:w="4252" w:type="dxa"/>
          </w:tcPr>
          <w:p w14:paraId="2F3E5EE3">
            <w:pPr>
              <w:spacing w:before="40" w:after="40" w:line="300" w:lineRule="auto"/>
            </w:pPr>
            <w:r>
              <w:rPr>
                <w:rFonts w:ascii="Times New Roman" w:hAnsi="Times New Roman" w:eastAsia="宋体"/>
                <w:b w:val="0"/>
                <w:i w:val="0"/>
                <w:sz w:val="21"/>
              </w:rPr>
              <w:t>10%</w:t>
            </w:r>
          </w:p>
        </w:tc>
      </w:tr>
    </w:tbl>
    <w:p w14:paraId="79EE4629">
      <w:pPr>
        <w:spacing w:after="80"/>
      </w:pPr>
    </w:p>
    <w:p w14:paraId="6A4DA412">
      <w:pPr>
        <w:spacing w:before="0" w:after="120" w:line="360" w:lineRule="auto"/>
        <w:ind w:firstLine="480"/>
        <w:jc w:val="both"/>
      </w:pPr>
      <w:r>
        <w:rPr>
          <w:rFonts w:ascii="Times New Roman" w:hAnsi="Times New Roman" w:eastAsia="宋体"/>
          <w:b w:val="0"/>
          <w:i w:val="0"/>
          <w:sz w:val="24"/>
        </w:rPr>
        <w:t>团队画像采用类似的多维加权：论文 20%、引用 20%、H 指数 15%、专利 25%、产业经验 20%，并叠加创始人背景加分。</w:t>
      </w:r>
    </w:p>
    <w:p w14:paraId="212F88D8">
      <w:pPr>
        <w:spacing w:before="0" w:after="120" w:line="360" w:lineRule="auto"/>
        <w:ind w:firstLine="480"/>
        <w:jc w:val="both"/>
      </w:pPr>
      <w:r>
        <w:rPr>
          <w:rFonts w:ascii="Times New Roman" w:hAnsi="Times New Roman" w:eastAsia="宋体"/>
          <w:b w:val="0"/>
          <w:i w:val="0"/>
          <w:sz w:val="24"/>
        </w:rPr>
        <w:t>这一设计的实质是：不再问"这家企业有多少专利"，而是问"它的专利在技术演进网络中处在什么位置"。</w:t>
      </w:r>
    </w:p>
    <w:p w14:paraId="0196507F">
      <w:pPr>
        <w:spacing w:before="160" w:after="80" w:line="336" w:lineRule="auto"/>
        <w:jc w:val="left"/>
        <w:outlineLvl w:val="2"/>
      </w:pPr>
      <w:r>
        <w:rPr>
          <w:rFonts w:ascii="黑体" w:hAnsi="黑体" w:eastAsia="黑体"/>
          <w:b/>
          <w:i w:val="0"/>
          <w:sz w:val="24"/>
        </w:rPr>
        <w:t>创新点四：工程层面的银行级可靠性</w:t>
      </w:r>
    </w:p>
    <w:p w14:paraId="3578626E">
      <w:pPr>
        <w:spacing w:before="0" w:after="120" w:line="360" w:lineRule="auto"/>
        <w:ind w:firstLine="480"/>
        <w:jc w:val="both"/>
      </w:pPr>
      <w:r>
        <w:rPr>
          <w:rFonts w:ascii="Times New Roman" w:hAnsi="Times New Roman" w:eastAsia="宋体"/>
          <w:b w:val="0"/>
          <w:i w:val="0"/>
          <w:sz w:val="24"/>
        </w:rPr>
        <w:t>面向银行生产环境，平台做了三项工程特性设计：</w:t>
      </w:r>
    </w:p>
    <w:p w14:paraId="62C58662">
      <w:pPr>
        <w:spacing w:before="0" w:after="60" w:line="360" w:lineRule="auto"/>
        <w:ind w:left="480"/>
        <w:jc w:val="left"/>
      </w:pPr>
      <w:r>
        <w:rPr>
          <w:rFonts w:ascii="Times New Roman" w:hAnsi="Times New Roman" w:eastAsia="宋体"/>
          <w:b w:val="0"/>
          <w:i w:val="0"/>
          <w:sz w:val="24"/>
        </w:rPr>
        <w:t>· 优雅降级：模型文件缺失或推理失败时，自动回退到规则公式，并在结果中标注估值来源，保证服务可用性不因模型异常中断。</w:t>
      </w:r>
    </w:p>
    <w:p w14:paraId="0ED0077D">
      <w:pPr>
        <w:spacing w:before="0" w:after="60" w:line="360" w:lineRule="auto"/>
        <w:ind w:left="480"/>
        <w:jc w:val="left"/>
      </w:pPr>
      <w:r>
        <w:rPr>
          <w:rFonts w:ascii="Times New Roman" w:hAnsi="Times New Roman" w:eastAsia="宋体"/>
          <w:b w:val="0"/>
          <w:i w:val="0"/>
          <w:sz w:val="24"/>
        </w:rPr>
        <w:t>· 实时联动：里程碑进度滑块拖动时，状态流转与授信额度同步重算；任一要素调整后全部指标一并刷新，做到所见即所得。</w:t>
      </w:r>
    </w:p>
    <w:p w14:paraId="6A90923D">
      <w:pPr>
        <w:spacing w:before="0" w:after="60" w:line="360" w:lineRule="auto"/>
        <w:ind w:left="480"/>
        <w:jc w:val="left"/>
      </w:pPr>
      <w:r>
        <w:rPr>
          <w:rFonts w:ascii="Times New Roman" w:hAnsi="Times New Roman" w:eastAsia="宋体"/>
          <w:b w:val="0"/>
          <w:i w:val="0"/>
          <w:sz w:val="24"/>
        </w:rPr>
        <w:t>· 全程可追溯：估值与风险结果均标注产出来源（ML 模型 / 规则回退），便于风控人员复核与监管审计。</w:t>
      </w:r>
    </w:p>
    <w:p w14:paraId="4ABE8A4C">
      <w:pPr>
        <w:spacing w:before="200" w:after="120" w:line="336" w:lineRule="auto"/>
        <w:jc w:val="left"/>
        <w:outlineLvl w:val="1"/>
      </w:pPr>
      <w:bookmarkStart w:id="8" w:name="_Toc23066"/>
      <w:r>
        <w:rPr>
          <w:rFonts w:ascii="黑体" w:hAnsi="黑体" w:eastAsia="黑体"/>
          <w:b/>
          <w:i w:val="0"/>
          <w:color w:val="0A1730"/>
          <w:sz w:val="26"/>
        </w:rPr>
        <w:t>2.3 优势及核心竞争力</w:t>
      </w:r>
      <w:bookmarkEnd w:id="8"/>
    </w:p>
    <w:p w14:paraId="11C5703F">
      <w:pPr>
        <w:spacing w:before="0" w:after="120" w:line="360" w:lineRule="auto"/>
        <w:ind w:firstLine="480"/>
        <w:jc w:val="both"/>
      </w:pPr>
      <w:r>
        <w:rPr>
          <w:rFonts w:ascii="Times New Roman" w:hAnsi="Times New Roman" w:eastAsia="宋体"/>
          <w:b w:val="0"/>
          <w:i w:val="0"/>
          <w:sz w:val="24"/>
        </w:rPr>
        <w:t>与银行现有实践相比：现有实践多为单点评分卡，本平台提供"评估—触发—匹配—预警"全链路闭环；现有模型多为静态时点评价，本平台以研发进度为变量实现动态授信。</w:t>
      </w:r>
    </w:p>
    <w:p w14:paraId="6C5D05F2">
      <w:pPr>
        <w:spacing w:before="0" w:after="120" w:line="360" w:lineRule="auto"/>
        <w:ind w:firstLine="480"/>
        <w:jc w:val="both"/>
      </w:pPr>
      <w:r>
        <w:rPr>
          <w:rFonts w:ascii="Times New Roman" w:hAnsi="Times New Roman" w:eastAsia="宋体"/>
          <w:b w:val="0"/>
          <w:i w:val="0"/>
          <w:sz w:val="24"/>
        </w:rPr>
        <w:t>与通用风控系统相比：通用系统以财务数据为主，对轻资产企业失效；本平台以非财务维度（专利、团队、里程碑）为核心输入，专门面向硬科技场景设计。</w:t>
      </w:r>
    </w:p>
    <w:p w14:paraId="10BB91BD">
      <w:pPr>
        <w:spacing w:before="0" w:after="120" w:line="360" w:lineRule="auto"/>
        <w:ind w:firstLine="480"/>
        <w:jc w:val="both"/>
      </w:pPr>
      <w:r>
        <w:rPr>
          <w:rFonts w:ascii="Times New Roman" w:hAnsi="Times New Roman" w:eastAsia="宋体"/>
          <w:b w:val="0"/>
          <w:i w:val="0"/>
          <w:sz w:val="24"/>
        </w:rPr>
        <w:t>与咨询式评估相比：人工评估周期长、成本高、口径不一；本平台自动化输出，秒级响应，口径统一且可追溯。</w:t>
      </w:r>
    </w:p>
    <w:p w14:paraId="73069916">
      <w:pPr>
        <w:spacing w:before="0" w:after="120" w:line="360" w:lineRule="auto"/>
        <w:ind w:firstLine="480"/>
        <w:jc w:val="both"/>
      </w:pPr>
      <w:r>
        <w:rPr>
          <w:rFonts w:ascii="Times New Roman" w:hAnsi="Times New Roman" w:eastAsia="宋体"/>
          <w:b w:val="0"/>
          <w:i w:val="0"/>
          <w:sz w:val="24"/>
        </w:rPr>
        <w:t>与监管导向的一致性：金融监管总局明确提出"以数智化手段挖掘企业金融需求，基于企业画像智能匹配产品服务"，本平台的定位与监管导向完全一致，具备政策合规性与推广可行性。</w:t>
      </w:r>
    </w:p>
    <w:p w14:paraId="0EB35809">
      <w:pPr>
        <w:spacing w:before="0" w:after="120" w:line="360" w:lineRule="auto"/>
        <w:ind w:firstLine="480"/>
        <w:jc w:val="both"/>
      </w:pPr>
      <w:r>
        <w:rPr>
          <w:rFonts w:ascii="Times New Roman" w:hAnsi="Times New Roman" w:eastAsia="宋体"/>
          <w:b w:val="0"/>
          <w:i w:val="0"/>
          <w:sz w:val="24"/>
        </w:rPr>
        <w:t>技术门槛：PageRank 专利网络 + 双模型联合推理 + 里程碑动态触发的组合，需要同时具备图算法、机器学习与金融工程能力，构成一定的复合型技术门槛。</w:t>
      </w:r>
    </w:p>
    <w:p w14:paraId="7D816CD1">
      <w:pPr>
        <w:spacing w:before="200" w:after="120" w:line="336" w:lineRule="auto"/>
        <w:jc w:val="left"/>
        <w:outlineLvl w:val="1"/>
      </w:pPr>
      <w:bookmarkStart w:id="9" w:name="_Toc5594"/>
      <w:r>
        <w:rPr>
          <w:rFonts w:ascii="黑体" w:hAnsi="黑体" w:eastAsia="黑体"/>
          <w:b/>
          <w:i w:val="0"/>
          <w:color w:val="0A1730"/>
          <w:sz w:val="26"/>
        </w:rPr>
        <w:t>2.4 存在问题</w:t>
      </w:r>
      <w:bookmarkEnd w:id="9"/>
    </w:p>
    <w:p w14:paraId="3EEE069A">
      <w:pPr>
        <w:spacing w:before="0" w:after="120" w:line="360" w:lineRule="auto"/>
        <w:ind w:firstLine="480"/>
        <w:jc w:val="both"/>
      </w:pPr>
      <w:r>
        <w:rPr>
          <w:rFonts w:ascii="Times New Roman" w:hAnsi="Times New Roman" w:eastAsia="宋体"/>
          <w:b w:val="0"/>
          <w:i w:val="0"/>
          <w:sz w:val="24"/>
        </w:rPr>
        <w:t>诚实起见，项目当前存在以下四方面问题：</w:t>
      </w:r>
    </w:p>
    <w:p w14:paraId="360B1B5F">
      <w:pPr>
        <w:spacing w:before="0" w:after="120" w:line="360" w:lineRule="auto"/>
        <w:ind w:firstLine="480"/>
        <w:jc w:val="both"/>
      </w:pPr>
      <w:r>
        <w:rPr>
          <w:rFonts w:ascii="Times New Roman" w:hAnsi="Times New Roman" w:eastAsia="宋体"/>
          <w:b w:val="0"/>
          <w:i w:val="0"/>
          <w:sz w:val="24"/>
        </w:rPr>
        <w:t>一是数据规模与真实性约束。估值模型基于 2000 条模拟数据训练，风险模型基于公开财务数据集（6819 条），均非银行真实客户数据。模型的域外泛化能力尚未在真实业务数据上验证，R² 与 AUC 指标存在乐观偏差的可能。</w:t>
      </w:r>
    </w:p>
    <w:p w14:paraId="4BD012A4">
      <w:pPr>
        <w:spacing w:before="0" w:after="120" w:line="360" w:lineRule="auto"/>
        <w:ind w:firstLine="480"/>
        <w:jc w:val="both"/>
      </w:pPr>
      <w:r>
        <w:rPr>
          <w:rFonts w:ascii="Times New Roman" w:hAnsi="Times New Roman" w:eastAsia="宋体"/>
          <w:b w:val="0"/>
          <w:i w:val="0"/>
          <w:sz w:val="24"/>
        </w:rPr>
        <w:t>二是冷启动问题。平台在缺乏企业历史数据的情况下，画像精度会下降；对成立不足一年的早期企业，特征稀疏问题尤为突出。</w:t>
      </w:r>
    </w:p>
    <w:p w14:paraId="4939D329">
      <w:pPr>
        <w:spacing w:before="0" w:after="120" w:line="360" w:lineRule="auto"/>
        <w:ind w:firstLine="480"/>
        <w:jc w:val="both"/>
      </w:pPr>
      <w:r>
        <w:rPr>
          <w:rFonts w:ascii="Times New Roman" w:hAnsi="Times New Roman" w:eastAsia="宋体"/>
          <w:b w:val="0"/>
          <w:i w:val="0"/>
          <w:sz w:val="24"/>
        </w:rPr>
        <w:t>三是模型可解释性与监管接受度。XGBoost 虽可输出特征重要性，但在信贷审批场景中，监管与风控部门通常要求逐笔可解释。如何实现"模型结论 + 可解释依据"的双输出，仍需进一步工程化。</w:t>
      </w:r>
    </w:p>
    <w:p w14:paraId="5E072806">
      <w:pPr>
        <w:spacing w:before="0" w:after="120" w:line="360" w:lineRule="auto"/>
        <w:ind w:firstLine="480"/>
        <w:jc w:val="both"/>
      </w:pPr>
      <w:r>
        <w:rPr>
          <w:rFonts w:ascii="Times New Roman" w:hAnsi="Times New Roman" w:eastAsia="宋体"/>
          <w:b w:val="0"/>
          <w:i w:val="0"/>
          <w:sz w:val="24"/>
        </w:rPr>
        <w:t>四是数据来源合规性。工商、知识产权、人才、财务数据的获取路径与授权机制尚未完全明确，涉及数据安全与个人信息保护的合规边界。</w:t>
      </w:r>
    </w:p>
    <w:p w14:paraId="2F832B9B">
      <w:pPr>
        <w:spacing w:before="200" w:after="120" w:line="336" w:lineRule="auto"/>
        <w:jc w:val="left"/>
        <w:outlineLvl w:val="1"/>
      </w:pPr>
      <w:bookmarkStart w:id="10" w:name="_Toc20304"/>
      <w:r>
        <w:rPr>
          <w:rFonts w:ascii="黑体" w:hAnsi="黑体" w:eastAsia="黑体"/>
          <w:b/>
          <w:i w:val="0"/>
          <w:color w:val="0A1730"/>
          <w:sz w:val="26"/>
        </w:rPr>
        <w:t>2.5 问题解决</w:t>
      </w:r>
      <w:bookmarkEnd w:id="10"/>
    </w:p>
    <w:p w14:paraId="3CC78C0E">
      <w:pPr>
        <w:spacing w:before="0" w:after="120" w:line="360" w:lineRule="auto"/>
        <w:ind w:firstLine="480"/>
        <w:jc w:val="both"/>
      </w:pPr>
      <w:r>
        <w:rPr>
          <w:rFonts w:ascii="Times New Roman" w:hAnsi="Times New Roman" w:eastAsia="宋体"/>
          <w:b w:val="0"/>
          <w:i w:val="0"/>
          <w:sz w:val="24"/>
        </w:rPr>
        <w:t>针对上述问题，项目规划了对应的解决路径：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4252"/>
      </w:tblGrid>
      <w:tr w14:paraId="216A5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0955563A">
            <w:pPr>
              <w:spacing w:before="40" w:after="40" w:line="300" w:lineRule="auto"/>
            </w:pPr>
            <w:r>
              <w:rPr>
                <w:rFonts w:ascii="黑体" w:hAnsi="黑体" w:eastAsia="黑体"/>
                <w:b/>
                <w:i w:val="0"/>
                <w:sz w:val="21"/>
              </w:rPr>
              <w:t>问题</w:t>
            </w:r>
          </w:p>
        </w:tc>
        <w:tc>
          <w:tcPr>
            <w:tcW w:w="4252" w:type="dxa"/>
          </w:tcPr>
          <w:p w14:paraId="2F2C31A3">
            <w:pPr>
              <w:spacing w:before="40" w:after="40" w:line="300" w:lineRule="auto"/>
            </w:pPr>
            <w:r>
              <w:rPr>
                <w:rFonts w:ascii="黑体" w:hAnsi="黑体" w:eastAsia="黑体"/>
                <w:b/>
                <w:i w:val="0"/>
                <w:sz w:val="21"/>
              </w:rPr>
              <w:t>解决路径</w:t>
            </w:r>
          </w:p>
        </w:tc>
      </w:tr>
      <w:tr w14:paraId="023AF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2FB8CB99">
            <w:pPr>
              <w:spacing w:before="40" w:after="40" w:line="300" w:lineRule="auto"/>
            </w:pPr>
            <w:r>
              <w:rPr>
                <w:rFonts w:ascii="Times New Roman" w:hAnsi="Times New Roman" w:eastAsia="宋体"/>
                <w:b w:val="0"/>
                <w:i w:val="0"/>
                <w:sz w:val="21"/>
              </w:rPr>
              <w:t>数据规模与真实性</w:t>
            </w:r>
          </w:p>
        </w:tc>
        <w:tc>
          <w:tcPr>
            <w:tcW w:w="4252" w:type="dxa"/>
          </w:tcPr>
          <w:p w14:paraId="57F6D478">
            <w:pPr>
              <w:spacing w:before="40" w:after="40" w:line="300" w:lineRule="auto"/>
            </w:pPr>
            <w:r>
              <w:rPr>
                <w:rFonts w:ascii="Times New Roman" w:hAnsi="Times New Roman" w:eastAsia="宋体"/>
                <w:b w:val="0"/>
                <w:i w:val="0"/>
                <w:sz w:val="21"/>
              </w:rPr>
              <w:t>与银行或地方科技部门开展试点合作，以脱敏真实数据增量训练；引入迁移学习缓解小样本问题；在真实数据回测前，所有指标明确标注为模拟环境结果</w:t>
            </w:r>
          </w:p>
        </w:tc>
      </w:tr>
      <w:tr w14:paraId="17E86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237F9662">
            <w:pPr>
              <w:spacing w:before="40" w:after="40" w:line="300" w:lineRule="auto"/>
            </w:pPr>
            <w:r>
              <w:rPr>
                <w:rFonts w:ascii="Times New Roman" w:hAnsi="Times New Roman" w:eastAsia="宋体"/>
                <w:b w:val="0"/>
                <w:i w:val="0"/>
                <w:sz w:val="21"/>
              </w:rPr>
              <w:t>冷启动</w:t>
            </w:r>
          </w:p>
        </w:tc>
        <w:tc>
          <w:tcPr>
            <w:tcW w:w="4252" w:type="dxa"/>
          </w:tcPr>
          <w:p w14:paraId="2B6AEAA0">
            <w:pPr>
              <w:spacing w:before="40" w:after="40" w:line="300" w:lineRule="auto"/>
            </w:pPr>
            <w:r>
              <w:rPr>
                <w:rFonts w:ascii="Times New Roman" w:hAnsi="Times New Roman" w:eastAsia="宋体"/>
                <w:b w:val="0"/>
                <w:i w:val="0"/>
                <w:sz w:val="21"/>
              </w:rPr>
              <w:t>引入行业基准值与同类企业分位数作为先验；对早期企业提高团队与专利维度权重、降低财务维度权重；设计"数据完备度"指标并在结果中提示置信水平</w:t>
            </w:r>
          </w:p>
        </w:tc>
      </w:tr>
      <w:tr w14:paraId="14EA4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7AA74B51">
            <w:pPr>
              <w:spacing w:before="40" w:after="40" w:line="300" w:lineRule="auto"/>
            </w:pPr>
            <w:r>
              <w:rPr>
                <w:rFonts w:ascii="Times New Roman" w:hAnsi="Times New Roman" w:eastAsia="宋体"/>
                <w:b w:val="0"/>
                <w:i w:val="0"/>
                <w:sz w:val="21"/>
              </w:rPr>
              <w:t>可解释性</w:t>
            </w:r>
          </w:p>
        </w:tc>
        <w:tc>
          <w:tcPr>
            <w:tcW w:w="4252" w:type="dxa"/>
          </w:tcPr>
          <w:p w14:paraId="14F5831E">
            <w:pPr>
              <w:spacing w:before="40" w:after="40" w:line="300" w:lineRule="auto"/>
            </w:pPr>
            <w:r>
              <w:rPr>
                <w:rFonts w:ascii="Times New Roman" w:hAnsi="Times New Roman" w:eastAsia="宋体"/>
                <w:b w:val="0"/>
                <w:i w:val="0"/>
                <w:sz w:val="21"/>
              </w:rPr>
              <w:t>输出特征贡献度分解（SHAP 类方法）与同类企业对比分位；提供"模型结论 + 规则依据 + 人工复核"三段式审批建议，而非单一黑箱评分</w:t>
            </w:r>
          </w:p>
        </w:tc>
      </w:tr>
      <w:tr w14:paraId="0FA72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0573CA19">
            <w:pPr>
              <w:spacing w:before="40" w:after="40" w:line="300" w:lineRule="auto"/>
            </w:pPr>
            <w:r>
              <w:rPr>
                <w:rFonts w:ascii="Times New Roman" w:hAnsi="Times New Roman" w:eastAsia="宋体"/>
                <w:b w:val="0"/>
                <w:i w:val="0"/>
                <w:sz w:val="21"/>
              </w:rPr>
              <w:t>数据合规</w:t>
            </w:r>
          </w:p>
        </w:tc>
        <w:tc>
          <w:tcPr>
            <w:tcW w:w="4252" w:type="dxa"/>
          </w:tcPr>
          <w:p w14:paraId="3678179E">
            <w:pPr>
              <w:spacing w:before="40" w:after="40" w:line="300" w:lineRule="auto"/>
            </w:pPr>
            <w:r>
              <w:rPr>
                <w:rFonts w:ascii="Times New Roman" w:hAnsi="Times New Roman" w:eastAsia="宋体"/>
                <w:b w:val="0"/>
                <w:i w:val="0"/>
                <w:sz w:val="21"/>
              </w:rPr>
              <w:t>优先接入公开数据（专利公开数据、工商公示信息）；对非公开数据采用"企业授权 + 数据不出域"模式；全流程记录数据来源与使用范围，满足审计追溯要求</w:t>
            </w:r>
          </w:p>
        </w:tc>
      </w:tr>
    </w:tbl>
    <w:p w14:paraId="296CD17E">
      <w:pPr>
        <w:spacing w:after="80"/>
      </w:pPr>
    </w:p>
    <w:p w14:paraId="0D56813D">
      <w:pPr>
        <w:spacing w:before="320" w:after="200" w:line="336" w:lineRule="auto"/>
        <w:jc w:val="left"/>
        <w:outlineLvl w:val="0"/>
      </w:pPr>
      <w:bookmarkStart w:id="11" w:name="_Toc3512"/>
      <w:r>
        <w:rPr>
          <w:rFonts w:ascii="黑体" w:hAnsi="黑体" w:eastAsia="黑体"/>
          <w:b/>
          <w:i w:val="0"/>
          <w:color w:val="0A1730"/>
          <w:sz w:val="30"/>
        </w:rPr>
        <w:t>三、产品技术实现路线</w:t>
      </w:r>
      <w:bookmarkEnd w:id="11"/>
    </w:p>
    <w:p w14:paraId="23062E43">
      <w:pPr>
        <w:spacing w:before="200" w:after="120" w:line="336" w:lineRule="auto"/>
        <w:jc w:val="left"/>
        <w:outlineLvl w:val="1"/>
      </w:pPr>
      <w:bookmarkStart w:id="12" w:name="_Toc16214"/>
      <w:r>
        <w:rPr>
          <w:rFonts w:ascii="黑体" w:hAnsi="黑体" w:eastAsia="黑体"/>
          <w:b/>
          <w:i w:val="0"/>
          <w:color w:val="0A1730"/>
          <w:sz w:val="26"/>
        </w:rPr>
        <w:t>3.1 总体架构</w:t>
      </w:r>
      <w:bookmarkEnd w:id="12"/>
    </w:p>
    <w:p w14:paraId="1C993E39">
      <w:pPr>
        <w:spacing w:before="0" w:after="120" w:line="360" w:lineRule="auto"/>
        <w:ind w:firstLine="480"/>
        <w:jc w:val="both"/>
      </w:pPr>
      <w:r>
        <w:rPr>
          <w:rFonts w:ascii="Times New Roman" w:hAnsi="Times New Roman" w:eastAsia="宋体"/>
          <w:b w:val="0"/>
          <w:i w:val="0"/>
          <w:sz w:val="24"/>
        </w:rPr>
        <w:t>平台采用四层解耦架构，自上而下分别为交互呈现层、业务服务层、智能算法层与数据存储层。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774B2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499BA317">
            <w:pPr>
              <w:spacing w:before="40" w:after="40" w:line="300" w:lineRule="auto"/>
            </w:pPr>
            <w:r>
              <w:rPr>
                <w:rFonts w:ascii="黑体" w:hAnsi="黑体" w:eastAsia="黑体"/>
                <w:b/>
                <w:i w:val="0"/>
                <w:sz w:val="21"/>
              </w:rPr>
              <w:t>层次</w:t>
            </w:r>
          </w:p>
        </w:tc>
        <w:tc>
          <w:tcPr>
            <w:tcW w:w="2835" w:type="dxa"/>
          </w:tcPr>
          <w:p w14:paraId="0DB5F79B">
            <w:pPr>
              <w:spacing w:before="40" w:after="40" w:line="300" w:lineRule="auto"/>
            </w:pPr>
            <w:r>
              <w:rPr>
                <w:rFonts w:ascii="黑体" w:hAnsi="黑体" w:eastAsia="黑体"/>
                <w:b/>
                <w:i w:val="0"/>
                <w:sz w:val="21"/>
              </w:rPr>
              <w:t>技术选型</w:t>
            </w:r>
          </w:p>
        </w:tc>
        <w:tc>
          <w:tcPr>
            <w:tcW w:w="2835" w:type="dxa"/>
          </w:tcPr>
          <w:p w14:paraId="0804E87A">
            <w:pPr>
              <w:spacing w:before="40" w:after="40" w:line="300" w:lineRule="auto"/>
            </w:pPr>
            <w:r>
              <w:rPr>
                <w:rFonts w:ascii="黑体" w:hAnsi="黑体" w:eastAsia="黑体"/>
                <w:b/>
                <w:i w:val="0"/>
                <w:sz w:val="21"/>
              </w:rPr>
              <w:t>职责</w:t>
            </w:r>
          </w:p>
        </w:tc>
      </w:tr>
      <w:tr w14:paraId="11768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7A111DFB">
            <w:pPr>
              <w:spacing w:before="40" w:after="40" w:line="300" w:lineRule="auto"/>
            </w:pPr>
            <w:r>
              <w:rPr>
                <w:rFonts w:ascii="Times New Roman" w:hAnsi="Times New Roman" w:eastAsia="宋体"/>
                <w:b w:val="0"/>
                <w:i w:val="0"/>
                <w:sz w:val="21"/>
              </w:rPr>
              <w:t>交互呈现层</w:t>
            </w:r>
          </w:p>
        </w:tc>
        <w:tc>
          <w:tcPr>
            <w:tcW w:w="2835" w:type="dxa"/>
          </w:tcPr>
          <w:p w14:paraId="2ACA6E87">
            <w:pPr>
              <w:spacing w:before="40" w:after="40" w:line="300" w:lineRule="auto"/>
            </w:pPr>
            <w:r>
              <w:rPr>
                <w:rFonts w:ascii="Times New Roman" w:hAnsi="Times New Roman" w:eastAsia="宋体"/>
                <w:b w:val="0"/>
                <w:i w:val="0"/>
                <w:sz w:val="21"/>
              </w:rPr>
              <w:t>Vue 3 + TypeScript + Vite + Element Plus + ECharts 5 + Pinia</w:t>
            </w:r>
          </w:p>
        </w:tc>
        <w:tc>
          <w:tcPr>
            <w:tcW w:w="2835" w:type="dxa"/>
          </w:tcPr>
          <w:p w14:paraId="241DF19A">
            <w:pPr>
              <w:spacing w:before="40" w:after="40" w:line="300" w:lineRule="auto"/>
            </w:pPr>
            <w:r>
              <w:rPr>
                <w:rFonts w:ascii="Times New Roman" w:hAnsi="Times New Roman" w:eastAsia="宋体"/>
                <w:b w:val="0"/>
                <w:i w:val="0"/>
                <w:sz w:val="21"/>
              </w:rPr>
              <w:t>7 个业务组件：企业列表、企业画像、里程碑看板、专利网络图、团队画像、授信模拟器、风控预警；响应式断点 1024px / 640px</w:t>
            </w:r>
          </w:p>
        </w:tc>
      </w:tr>
      <w:tr w14:paraId="5D8BC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1F8690C1">
            <w:pPr>
              <w:spacing w:before="40" w:after="40" w:line="300" w:lineRule="auto"/>
            </w:pPr>
            <w:r>
              <w:rPr>
                <w:rFonts w:ascii="Times New Roman" w:hAnsi="Times New Roman" w:eastAsia="宋体"/>
                <w:b w:val="0"/>
                <w:i w:val="0"/>
                <w:sz w:val="21"/>
              </w:rPr>
              <w:t>业务服务层</w:t>
            </w:r>
          </w:p>
        </w:tc>
        <w:tc>
          <w:tcPr>
            <w:tcW w:w="2835" w:type="dxa"/>
          </w:tcPr>
          <w:p w14:paraId="6E1D9C7F">
            <w:pPr>
              <w:spacing w:before="40" w:after="40" w:line="300" w:lineRule="auto"/>
            </w:pPr>
            <w:r>
              <w:rPr>
                <w:rFonts w:ascii="Times New Roman" w:hAnsi="Times New Roman" w:eastAsia="宋体"/>
                <w:b w:val="0"/>
                <w:i w:val="0"/>
                <w:sz w:val="21"/>
              </w:rPr>
              <w:t>FastAPI + SQLAlchemy 2 + Pydantic</w:t>
            </w:r>
          </w:p>
        </w:tc>
        <w:tc>
          <w:tcPr>
            <w:tcW w:w="2835" w:type="dxa"/>
          </w:tcPr>
          <w:p w14:paraId="301BD779">
            <w:pPr>
              <w:spacing w:before="40" w:after="40" w:line="300" w:lineRule="auto"/>
            </w:pPr>
            <w:r>
              <w:rPr>
                <w:rFonts w:ascii="Times New Roman" w:hAnsi="Times New Roman" w:eastAsia="宋体"/>
                <w:b w:val="0"/>
                <w:i w:val="0"/>
                <w:sz w:val="21"/>
              </w:rPr>
              <w:t>13 个 REST 端点，覆盖企业、估值、团队、专利、里程碑、授信、风控全链路；异步推理编排</w:t>
            </w:r>
          </w:p>
        </w:tc>
      </w:tr>
      <w:tr w14:paraId="468F9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5DB0F333">
            <w:pPr>
              <w:spacing w:before="40" w:after="40" w:line="300" w:lineRule="auto"/>
            </w:pPr>
            <w:r>
              <w:rPr>
                <w:rFonts w:ascii="Times New Roman" w:hAnsi="Times New Roman" w:eastAsia="宋体"/>
                <w:b w:val="0"/>
                <w:i w:val="0"/>
                <w:sz w:val="21"/>
              </w:rPr>
              <w:t>智能算法层</w:t>
            </w:r>
          </w:p>
        </w:tc>
        <w:tc>
          <w:tcPr>
            <w:tcW w:w="2835" w:type="dxa"/>
          </w:tcPr>
          <w:p w14:paraId="4DA4C417">
            <w:pPr>
              <w:spacing w:before="40" w:after="40" w:line="300" w:lineRule="auto"/>
            </w:pPr>
            <w:r>
              <w:rPr>
                <w:rFonts w:ascii="Times New Roman" w:hAnsi="Times New Roman" w:eastAsia="宋体"/>
                <w:b w:val="0"/>
                <w:i w:val="0"/>
                <w:sz w:val="21"/>
              </w:rPr>
              <w:t>XGBoost 2.0 + scikit-learn 1.5 + NetworkX 3.2</w:t>
            </w:r>
          </w:p>
        </w:tc>
        <w:tc>
          <w:tcPr>
            <w:tcW w:w="2835" w:type="dxa"/>
          </w:tcPr>
          <w:p w14:paraId="4A0BEFC1">
            <w:pPr>
              <w:spacing w:before="40" w:after="40" w:line="300" w:lineRule="auto"/>
            </w:pPr>
            <w:r>
              <w:rPr>
                <w:rFonts w:ascii="Times New Roman" w:hAnsi="Times New Roman" w:eastAsia="宋体"/>
                <w:b w:val="0"/>
                <w:i w:val="0"/>
                <w:sz w:val="21"/>
              </w:rPr>
              <w:t>估值回归模型、破产风险分类模型、PageRank 专利网络；模型异常时回退规则公式</w:t>
            </w:r>
          </w:p>
        </w:tc>
      </w:tr>
      <w:tr w14:paraId="3CDCF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5814B2DF">
            <w:pPr>
              <w:spacing w:before="40" w:after="40" w:line="300" w:lineRule="auto"/>
            </w:pPr>
            <w:r>
              <w:rPr>
                <w:rFonts w:ascii="Times New Roman" w:hAnsi="Times New Roman" w:eastAsia="宋体"/>
                <w:b w:val="0"/>
                <w:i w:val="0"/>
                <w:sz w:val="21"/>
              </w:rPr>
              <w:t>数据存储层</w:t>
            </w:r>
          </w:p>
        </w:tc>
        <w:tc>
          <w:tcPr>
            <w:tcW w:w="2835" w:type="dxa"/>
          </w:tcPr>
          <w:p w14:paraId="11D48FF7">
            <w:pPr>
              <w:spacing w:before="40" w:after="40" w:line="300" w:lineRule="auto"/>
            </w:pPr>
            <w:r>
              <w:rPr>
                <w:rFonts w:ascii="Times New Roman" w:hAnsi="Times New Roman" w:eastAsia="宋体"/>
                <w:b w:val="0"/>
                <w:i w:val="0"/>
                <w:sz w:val="21"/>
              </w:rPr>
              <w:t>SQLite（开发）/ MySQL（生产）+ Redis（可选，降级不影响主流程）</w:t>
            </w:r>
          </w:p>
        </w:tc>
        <w:tc>
          <w:tcPr>
            <w:tcW w:w="2835" w:type="dxa"/>
          </w:tcPr>
          <w:p w14:paraId="431D4352">
            <w:pPr>
              <w:spacing w:before="40" w:after="40" w:line="300" w:lineRule="auto"/>
            </w:pPr>
            <w:r>
              <w:rPr>
                <w:rFonts w:ascii="Times New Roman" w:hAnsi="Times New Roman" w:eastAsia="宋体"/>
                <w:b w:val="0"/>
                <w:i w:val="0"/>
                <w:sz w:val="21"/>
              </w:rPr>
              <w:t>企业档案、模型产物、里程碑状态、推理日志</w:t>
            </w:r>
          </w:p>
        </w:tc>
      </w:tr>
    </w:tbl>
    <w:p w14:paraId="7A23CBE5">
      <w:pPr>
        <w:spacing w:after="80"/>
      </w:pPr>
    </w:p>
    <w:p w14:paraId="095172D4">
      <w:pPr>
        <w:spacing w:before="0" w:after="120" w:line="360" w:lineRule="auto"/>
        <w:ind w:firstLine="480"/>
        <w:jc w:val="both"/>
      </w:pPr>
      <w:r>
        <w:rPr>
          <w:rFonts w:ascii="Times New Roman" w:hAnsi="Times New Roman" w:eastAsia="宋体"/>
          <w:b w:val="0"/>
          <w:i w:val="0"/>
          <w:sz w:val="24"/>
        </w:rPr>
        <w:t>四层之间通过明确定义的接口契约通信，任一层的实现替换不影响其他层，便于在银行现有技术栈中做增量集成。</w:t>
      </w:r>
    </w:p>
    <w:p w14:paraId="5CE90A14">
      <w:pPr>
        <w:spacing w:before="200" w:after="120" w:line="336" w:lineRule="auto"/>
        <w:jc w:val="left"/>
        <w:outlineLvl w:val="1"/>
      </w:pPr>
      <w:bookmarkStart w:id="13" w:name="_Toc7281"/>
      <w:r>
        <w:rPr>
          <w:rFonts w:ascii="黑体" w:hAnsi="黑体" w:eastAsia="黑体"/>
          <w:b/>
          <w:i w:val="0"/>
          <w:color w:val="0A1730"/>
          <w:sz w:val="26"/>
        </w:rPr>
        <w:t>3.2 算法实现</w:t>
      </w:r>
      <w:bookmarkEnd w:id="13"/>
    </w:p>
    <w:p w14:paraId="4FB323DB">
      <w:pPr>
        <w:spacing w:before="160" w:after="80" w:line="336" w:lineRule="auto"/>
        <w:jc w:val="left"/>
        <w:outlineLvl w:val="2"/>
      </w:pPr>
      <w:r>
        <w:rPr>
          <w:rFonts w:ascii="黑体" w:hAnsi="黑体" w:eastAsia="黑体"/>
          <w:b/>
          <w:i w:val="0"/>
          <w:sz w:val="24"/>
        </w:rPr>
        <w:t>3.2.1 估值模型（Regressor）</w:t>
      </w:r>
    </w:p>
    <w:p w14:paraId="6A5C8356">
      <w:pPr>
        <w:spacing w:before="0" w:after="60" w:line="360" w:lineRule="auto"/>
        <w:ind w:left="480"/>
        <w:jc w:val="left"/>
      </w:pPr>
      <w:r>
        <w:rPr>
          <w:rFonts w:ascii="Times New Roman" w:hAnsi="Times New Roman" w:eastAsia="宋体"/>
          <w:b w:val="0"/>
          <w:i w:val="0"/>
          <w:sz w:val="24"/>
        </w:rPr>
        <w:t>· 任务：预测企业基础估值与当前估值两个目标</w:t>
      </w:r>
    </w:p>
    <w:p w14:paraId="18F5D0C3">
      <w:pPr>
        <w:spacing w:before="0" w:after="60" w:line="360" w:lineRule="auto"/>
        <w:ind w:left="480"/>
        <w:jc w:val="left"/>
      </w:pPr>
      <w:r>
        <w:rPr>
          <w:rFonts w:ascii="Times New Roman" w:hAnsi="Times New Roman" w:eastAsia="宋体"/>
          <w:b w:val="0"/>
          <w:i w:val="0"/>
          <w:sz w:val="24"/>
        </w:rPr>
        <w:t>· 数据：2000 条硬科技企业数据，8 个输入特征（含行业与阶段类别变量）</w:t>
      </w:r>
    </w:p>
    <w:p w14:paraId="15BCA6B0">
      <w:pPr>
        <w:spacing w:before="0" w:after="60" w:line="360" w:lineRule="auto"/>
        <w:ind w:left="480"/>
        <w:jc w:val="left"/>
      </w:pPr>
      <w:r>
        <w:rPr>
          <w:rFonts w:ascii="Times New Roman" w:hAnsi="Times New Roman" w:eastAsia="宋体"/>
          <w:b w:val="0"/>
          <w:i w:val="0"/>
          <w:sz w:val="24"/>
        </w:rPr>
        <w:t>· 预处理：类别特征 OneHot 编码，数值特征直通</w:t>
      </w:r>
    </w:p>
    <w:p w14:paraId="6FF28A75">
      <w:pPr>
        <w:spacing w:before="0" w:after="60" w:line="360" w:lineRule="auto"/>
        <w:ind w:left="480"/>
        <w:jc w:val="left"/>
      </w:pPr>
      <w:r>
        <w:rPr>
          <w:rFonts w:ascii="Times New Roman" w:hAnsi="Times New Roman" w:eastAsia="宋体"/>
          <w:b w:val="0"/>
          <w:i w:val="0"/>
          <w:sz w:val="24"/>
        </w:rPr>
        <w:t>· 模型配置：XGBoost，300 棵树，max_depth=6</w:t>
      </w:r>
    </w:p>
    <w:p w14:paraId="06F4682D">
      <w:pPr>
        <w:spacing w:before="0" w:after="60" w:line="360" w:lineRule="auto"/>
        <w:ind w:left="480"/>
        <w:jc w:val="left"/>
      </w:pPr>
      <w:r>
        <w:rPr>
          <w:rFonts w:ascii="Times New Roman" w:hAnsi="Times New Roman" w:eastAsia="宋体"/>
          <w:b w:val="0"/>
          <w:i w:val="0"/>
          <w:sz w:val="24"/>
        </w:rPr>
        <w:t>· 特征工程：引入非线性与交互项 patent_count^0.7、team_score^1.5、log(员工数)、√(质量 × 团队评分)</w:t>
      </w:r>
    </w:p>
    <w:p w14:paraId="3BA73E35">
      <w:pPr>
        <w:spacing w:before="0" w:after="60" w:line="360" w:lineRule="auto"/>
        <w:ind w:left="480"/>
        <w:jc w:val="left"/>
      </w:pPr>
      <w:r>
        <w:rPr>
          <w:rFonts w:ascii="Times New Roman" w:hAnsi="Times New Roman" w:eastAsia="宋体"/>
          <w:b w:val="0"/>
          <w:i w:val="0"/>
          <w:sz w:val="24"/>
        </w:rPr>
        <w:t>· 效果：基础估值 R² = 0.927，当前估值 R² = 0.954</w:t>
      </w:r>
    </w:p>
    <w:p w14:paraId="46F5D1F5">
      <w:pPr>
        <w:spacing w:before="160" w:after="80" w:line="336" w:lineRule="auto"/>
        <w:jc w:val="left"/>
        <w:outlineLvl w:val="2"/>
      </w:pPr>
      <w:r>
        <w:rPr>
          <w:rFonts w:ascii="黑体" w:hAnsi="黑体" w:eastAsia="黑体"/>
          <w:b/>
          <w:i w:val="0"/>
          <w:sz w:val="24"/>
        </w:rPr>
        <w:t>3.2.2 风险模型（Classifier）</w:t>
      </w:r>
    </w:p>
    <w:p w14:paraId="31C3EBBF">
      <w:pPr>
        <w:spacing w:before="0" w:after="60" w:line="360" w:lineRule="auto"/>
        <w:ind w:left="480"/>
        <w:jc w:val="left"/>
      </w:pPr>
      <w:r>
        <w:rPr>
          <w:rFonts w:ascii="Times New Roman" w:hAnsi="Times New Roman" w:eastAsia="宋体"/>
          <w:b w:val="0"/>
          <w:i w:val="0"/>
          <w:sz w:val="24"/>
        </w:rPr>
        <w:t>· 任务：预测企业破产风险</w:t>
      </w:r>
    </w:p>
    <w:p w14:paraId="4A604865">
      <w:pPr>
        <w:spacing w:before="0" w:after="60" w:line="360" w:lineRule="auto"/>
        <w:ind w:left="480"/>
        <w:jc w:val="left"/>
      </w:pPr>
      <w:r>
        <w:rPr>
          <w:rFonts w:ascii="Times New Roman" w:hAnsi="Times New Roman" w:eastAsia="宋体"/>
          <w:b w:val="0"/>
          <w:i w:val="0"/>
          <w:sz w:val="24"/>
        </w:rPr>
        <w:t>· 数据：真实企业财务公开数据集 6819 条 × 95 个财务特征；未破产 6599 条 vs 破产 220 条（破产率 3.23%）</w:t>
      </w:r>
    </w:p>
    <w:p w14:paraId="4FB8E973">
      <w:pPr>
        <w:spacing w:before="0" w:after="60" w:line="360" w:lineRule="auto"/>
        <w:ind w:left="480"/>
        <w:jc w:val="left"/>
      </w:pPr>
      <w:r>
        <w:rPr>
          <w:rFonts w:ascii="Times New Roman" w:hAnsi="Times New Roman" w:eastAsia="宋体"/>
          <w:b w:val="0"/>
          <w:i w:val="0"/>
          <w:sz w:val="24"/>
        </w:rPr>
        <w:t>· 不平衡处理：scale_pos_weight = 30</w:t>
      </w:r>
    </w:p>
    <w:p w14:paraId="576C240C">
      <w:pPr>
        <w:spacing w:before="0" w:after="60" w:line="360" w:lineRule="auto"/>
        <w:ind w:left="480"/>
        <w:jc w:val="left"/>
      </w:pPr>
      <w:r>
        <w:rPr>
          <w:rFonts w:ascii="Times New Roman" w:hAnsi="Times New Roman" w:eastAsia="宋体"/>
          <w:b w:val="0"/>
          <w:i w:val="0"/>
          <w:sz w:val="24"/>
        </w:rPr>
        <w:t>· 模型配置：XGBoost，300 棵树，max_depth=5</w:t>
      </w:r>
    </w:p>
    <w:p w14:paraId="6853D882">
      <w:pPr>
        <w:spacing w:before="0" w:after="60" w:line="360" w:lineRule="auto"/>
        <w:ind w:left="480"/>
        <w:jc w:val="left"/>
      </w:pPr>
      <w:r>
        <w:rPr>
          <w:rFonts w:ascii="Times New Roman" w:hAnsi="Times New Roman" w:eastAsia="宋体"/>
          <w:b w:val="0"/>
          <w:i w:val="0"/>
          <w:sz w:val="24"/>
        </w:rPr>
        <w:t>· 效果：AUC = 0.958，Accuracy = 96.9%</w:t>
      </w:r>
    </w:p>
    <w:p w14:paraId="699F776F">
      <w:pPr>
        <w:spacing w:before="0" w:after="60" w:line="360" w:lineRule="auto"/>
        <w:ind w:left="480"/>
        <w:jc w:val="left"/>
      </w:pPr>
      <w:r>
        <w:rPr>
          <w:rFonts w:ascii="Times New Roman" w:hAnsi="Times New Roman" w:eastAsia="宋体"/>
          <w:b w:val="0"/>
          <w:i w:val="0"/>
          <w:sz w:val="24"/>
        </w:rPr>
        <w:t>· Top 5 特征：税后持续利率（12.9%）、近四季持续 EPS（7.7%）、净利润/总资产（7.4%）、净值/资产（4.1%）、借款依赖度（4.1%）</w:t>
      </w:r>
    </w:p>
    <w:p w14:paraId="0D27AEEA">
      <w:pPr>
        <w:spacing w:before="160" w:after="80" w:line="336" w:lineRule="auto"/>
        <w:jc w:val="left"/>
        <w:outlineLvl w:val="2"/>
      </w:pPr>
      <w:r>
        <w:rPr>
          <w:rFonts w:ascii="黑体" w:hAnsi="黑体" w:eastAsia="黑体"/>
          <w:b/>
          <w:i w:val="0"/>
          <w:sz w:val="24"/>
        </w:rPr>
        <w:t>3.2.3 专利影响力网络（PageRank）</w:t>
      </w:r>
    </w:p>
    <w:p w14:paraId="54686384">
      <w:pPr>
        <w:spacing w:before="0" w:after="120" w:line="360" w:lineRule="auto"/>
        <w:ind w:firstLine="480"/>
        <w:jc w:val="both"/>
      </w:pPr>
      <w:r>
        <w:rPr>
          <w:rFonts w:ascii="Times New Roman" w:hAnsi="Times New Roman" w:eastAsia="宋体"/>
          <w:b w:val="0"/>
          <w:i w:val="0"/>
          <w:sz w:val="24"/>
        </w:rPr>
        <w:t>以专利为节点、引用关系为有向边构建引用图谱，使用 NetworkX 的 PageRank 算法（阻尼系数 alpha=0.85）迭代计算每件专利的结构性影响力得分，再与引用次数、同族规模、国际布局、诉讼记录按 30% / 25% / 20% / 15% / 10% 的权重合成为专利质量分。该分数直接作为估值模型的输入特征之一，并单独在前端以网络图形式可视化呈现。</w:t>
      </w:r>
    </w:p>
    <w:p w14:paraId="7C2B01E4">
      <w:pPr>
        <w:spacing w:before="160" w:after="80" w:line="336" w:lineRule="auto"/>
        <w:jc w:val="left"/>
        <w:outlineLvl w:val="2"/>
      </w:pPr>
      <w:r>
        <w:rPr>
          <w:rFonts w:ascii="黑体" w:hAnsi="黑体" w:eastAsia="黑体"/>
          <w:b/>
          <w:i w:val="0"/>
          <w:sz w:val="24"/>
        </w:rPr>
        <w:t>3.2.4 里程碑授信引擎</w:t>
      </w:r>
    </w:p>
    <w:p w14:paraId="644FEEF5">
      <w:pPr>
        <w:spacing w:before="0" w:after="120" w:line="360" w:lineRule="auto"/>
        <w:ind w:firstLine="480"/>
        <w:jc w:val="both"/>
      </w:pPr>
      <w:r>
        <w:rPr>
          <w:rFonts w:ascii="Times New Roman" w:hAnsi="Times New Roman" w:eastAsia="宋体"/>
          <w:b w:val="0"/>
          <w:i w:val="0"/>
          <w:sz w:val="24"/>
        </w:rPr>
        <w:t>授信额度计算公式为：</w:t>
      </w:r>
    </w:p>
    <w:p w14:paraId="70FBCA9B">
      <w:pPr>
        <w:spacing w:before="0" w:after="120" w:line="336" w:lineRule="auto"/>
        <w:ind w:left="480"/>
        <w:jc w:val="left"/>
      </w:pPr>
      <w:r>
        <w:rPr>
          <w:rFonts w:ascii="Times New Roman" w:hAnsi="Times New Roman" w:eastAsia="宋体"/>
          <w:b w:val="0"/>
          <w:i w:val="0"/>
          <w:color w:val="555555"/>
          <w:sz w:val="22"/>
        </w:rPr>
        <w:t>最终授信 = AI 估值 × 30% × 里程碑进度系数 × (1 − 风险评分 × 0.5)</w:t>
      </w:r>
    </w:p>
    <w:p w14:paraId="68D5C303">
      <w:pPr>
        <w:spacing w:before="0" w:after="120" w:line="360" w:lineRule="auto"/>
        <w:ind w:firstLine="480"/>
        <w:jc w:val="both"/>
      </w:pPr>
      <w:r>
        <w:rPr>
          <w:rFonts w:ascii="Times New Roman" w:hAnsi="Times New Roman" w:eastAsia="宋体"/>
          <w:b w:val="0"/>
          <w:i w:val="0"/>
          <w:sz w:val="24"/>
        </w:rPr>
        <w:t>其中里程碑进度系数由当前所处阶段与节点完成度共同决定。前端拖动进度滑块时，状态流转与额度同步重算，实现实时联动。</w:t>
      </w:r>
    </w:p>
    <w:p w14:paraId="353C9F0A">
      <w:pPr>
        <w:spacing w:before="200" w:after="120" w:line="336" w:lineRule="auto"/>
        <w:jc w:val="left"/>
        <w:outlineLvl w:val="1"/>
      </w:pPr>
      <w:bookmarkStart w:id="14" w:name="_Toc17902"/>
      <w:r>
        <w:rPr>
          <w:rFonts w:ascii="黑体" w:hAnsi="黑体" w:eastAsia="黑体"/>
          <w:b/>
          <w:i w:val="0"/>
          <w:color w:val="0A1730"/>
          <w:sz w:val="26"/>
        </w:rPr>
        <w:t>3.3 工程实现要点</w:t>
      </w:r>
      <w:bookmarkEnd w:id="14"/>
    </w:p>
    <w:p w14:paraId="510F7E25">
      <w:pPr>
        <w:spacing w:before="0" w:after="60" w:line="360" w:lineRule="auto"/>
        <w:ind w:left="480"/>
        <w:jc w:val="left"/>
      </w:pPr>
      <w:r>
        <w:rPr>
          <w:rFonts w:ascii="Times New Roman" w:hAnsi="Times New Roman" w:eastAsia="宋体"/>
          <w:b w:val="0"/>
          <w:i w:val="0"/>
          <w:sz w:val="24"/>
        </w:rPr>
        <w:t>· 优雅降级：模型文件缺失或推理失败时自动回退规则公式，并在结果中标注估值来源（ML 模型 / 规则回退），保证服务可用性不因模型异常中断。</w:t>
      </w:r>
    </w:p>
    <w:p w14:paraId="702E2C53">
      <w:pPr>
        <w:spacing w:before="0" w:after="60" w:line="360" w:lineRule="auto"/>
        <w:ind w:left="480"/>
        <w:jc w:val="left"/>
      </w:pPr>
      <w:r>
        <w:rPr>
          <w:rFonts w:ascii="Times New Roman" w:hAnsi="Times New Roman" w:eastAsia="宋体"/>
          <w:b w:val="0"/>
          <w:i w:val="0"/>
          <w:sz w:val="24"/>
        </w:rPr>
        <w:t>· 实时联动：里程碑进度、企业切换、要素调整均触发全量指标重算并即时刷新。</w:t>
      </w:r>
    </w:p>
    <w:p w14:paraId="4CEB5394">
      <w:pPr>
        <w:spacing w:before="0" w:after="60" w:line="360" w:lineRule="auto"/>
        <w:ind w:left="480"/>
        <w:jc w:val="left"/>
      </w:pPr>
      <w:r>
        <w:rPr>
          <w:rFonts w:ascii="Times New Roman" w:hAnsi="Times New Roman" w:eastAsia="宋体"/>
          <w:b w:val="0"/>
          <w:i w:val="0"/>
          <w:sz w:val="24"/>
        </w:rPr>
        <w:t>· 可追溯性：所有估值与风险结果标注产出来源，便于风控复核与监管审计。</w:t>
      </w:r>
    </w:p>
    <w:p w14:paraId="66669DCB">
      <w:pPr>
        <w:spacing w:before="0" w:after="60" w:line="360" w:lineRule="auto"/>
        <w:ind w:left="480"/>
        <w:jc w:val="left"/>
      </w:pPr>
      <w:r>
        <w:rPr>
          <w:rFonts w:ascii="Times New Roman" w:hAnsi="Times New Roman" w:eastAsia="宋体"/>
          <w:b w:val="0"/>
          <w:i w:val="0"/>
          <w:sz w:val="24"/>
        </w:rPr>
        <w:t>· 可视化与响应式：ECharts 深色主题深度适配，7 个业务组件、6 类图表形态，支持 1024px 与 640px 断点自适应。</w:t>
      </w:r>
    </w:p>
    <w:p w14:paraId="4AB86B18">
      <w:pPr>
        <w:spacing w:before="0" w:after="60" w:line="360" w:lineRule="auto"/>
        <w:ind w:left="480"/>
        <w:jc w:val="left"/>
      </w:pPr>
      <w:r>
        <w:rPr>
          <w:rFonts w:ascii="Times New Roman" w:hAnsi="Times New Roman" w:eastAsia="宋体"/>
          <w:b w:val="0"/>
          <w:i w:val="0"/>
          <w:sz w:val="24"/>
        </w:rPr>
        <w:t>· 链路完整性：13 个 REST 端点覆盖企业、估值、团队、专利、里程碑、授信、风控全链路，形成端到端闭环。</w:t>
      </w:r>
    </w:p>
    <w:p w14:paraId="1E348B4B">
      <w:pPr>
        <w:spacing w:before="200" w:after="120" w:line="336" w:lineRule="auto"/>
        <w:jc w:val="left"/>
        <w:outlineLvl w:val="1"/>
      </w:pPr>
      <w:bookmarkStart w:id="15" w:name="_Toc764"/>
      <w:r>
        <w:rPr>
          <w:rFonts w:ascii="黑体" w:hAnsi="黑体" w:eastAsia="黑体"/>
          <w:b/>
          <w:i w:val="0"/>
          <w:color w:val="0A1730"/>
          <w:sz w:val="26"/>
        </w:rPr>
        <w:t>3.4 开发与部署</w:t>
      </w:r>
      <w:bookmarkEnd w:id="15"/>
    </w:p>
    <w:p w14:paraId="2FA0FBDF">
      <w:pPr>
        <w:spacing w:before="0" w:after="120" w:line="360" w:lineRule="auto"/>
        <w:ind w:firstLine="480"/>
        <w:jc w:val="both"/>
      </w:pPr>
      <w:r>
        <w:rPr>
          <w:rFonts w:ascii="Times New Roman" w:hAnsi="Times New Roman" w:eastAsia="宋体"/>
          <w:b w:val="0"/>
          <w:i w:val="0"/>
          <w:sz w:val="24"/>
        </w:rPr>
        <w:t>前端使用 Vite 构建，后端基于 FastAPI 提供 OpenAPI 文档，模型以 joblib 序列化加载。开发环境使用 SQLite 单文件数据库，生产环境切换 MySQL；Redis 作为可选缓存，降级时不影响主流程。整套系统可容器化部署，支持私有化交付以满足银行数据不出域的要求。</w:t>
      </w:r>
    </w:p>
    <w:p w14:paraId="20D25D3F">
      <w:pPr>
        <w:spacing w:before="320" w:after="200" w:line="336" w:lineRule="auto"/>
        <w:jc w:val="left"/>
        <w:outlineLvl w:val="0"/>
      </w:pPr>
      <w:bookmarkStart w:id="16" w:name="_Toc27506"/>
      <w:r>
        <w:rPr>
          <w:rFonts w:ascii="黑体" w:hAnsi="黑体" w:eastAsia="黑体"/>
          <w:b/>
          <w:i w:val="0"/>
          <w:color w:val="0A1730"/>
          <w:sz w:val="30"/>
        </w:rPr>
        <w:t>四、市场分析</w:t>
      </w:r>
      <w:bookmarkEnd w:id="16"/>
    </w:p>
    <w:p w14:paraId="50FAC0B0">
      <w:pPr>
        <w:spacing w:before="200" w:after="120" w:line="336" w:lineRule="auto"/>
        <w:jc w:val="left"/>
        <w:outlineLvl w:val="1"/>
      </w:pPr>
      <w:bookmarkStart w:id="17" w:name="_Toc11934"/>
      <w:r>
        <w:rPr>
          <w:rFonts w:ascii="黑体" w:hAnsi="黑体" w:eastAsia="黑体"/>
          <w:b/>
          <w:i w:val="0"/>
          <w:color w:val="0A1730"/>
          <w:sz w:val="26"/>
        </w:rPr>
        <w:t>4.1 目标市场与客户定位</w:t>
      </w:r>
      <w:bookmarkEnd w:id="17"/>
    </w:p>
    <w:p w14:paraId="794DCFC3">
      <w:pPr>
        <w:spacing w:before="0" w:after="120" w:line="360" w:lineRule="auto"/>
        <w:ind w:firstLine="480"/>
        <w:jc w:val="both"/>
      </w:pPr>
      <w:r>
        <w:rPr>
          <w:rFonts w:ascii="Times New Roman" w:hAnsi="Times New Roman" w:eastAsia="宋体"/>
          <w:b w:val="0"/>
          <w:i w:val="0"/>
          <w:sz w:val="24"/>
        </w:rPr>
        <w:t>平台的目标客户为三类机构：商业银行（尤其是科技金融专营机构，作为系统采购与使用方）、创业投资与 AIC 机构（作为估值与风险参考工具的使用方）、保险机构（作为中试类保险产品的定价参考使用方）。服务的最终对象是半导体、商业航天、生物医药、高端装备、新材料、人工智能六大赛道的硬科技企业。</w:t>
      </w:r>
    </w:p>
    <w:p w14:paraId="5B32EA31">
      <w:pPr>
        <w:spacing w:before="200" w:after="120" w:line="336" w:lineRule="auto"/>
        <w:jc w:val="left"/>
        <w:outlineLvl w:val="1"/>
      </w:pPr>
      <w:bookmarkStart w:id="18" w:name="_Toc7452"/>
      <w:r>
        <w:rPr>
          <w:rFonts w:ascii="黑体" w:hAnsi="黑体" w:eastAsia="黑体"/>
          <w:b/>
          <w:i w:val="0"/>
          <w:color w:val="0A1730"/>
          <w:sz w:val="26"/>
        </w:rPr>
        <w:t>4.2 政策分析</w:t>
      </w:r>
      <w:bookmarkEnd w:id="18"/>
    </w:p>
    <w:p w14:paraId="5510C237">
      <w:pPr>
        <w:spacing w:before="0" w:after="120" w:line="360" w:lineRule="auto"/>
        <w:ind w:firstLine="480"/>
        <w:jc w:val="both"/>
      </w:pPr>
      <w:r>
        <w:rPr>
          <w:rFonts w:ascii="Times New Roman" w:hAnsi="Times New Roman" w:eastAsia="宋体"/>
          <w:b w:val="0"/>
          <w:i w:val="0"/>
          <w:sz w:val="24"/>
        </w:rPr>
        <w:t>政策环境对本项目高度有利，具体体现在三个层面：</w:t>
      </w:r>
    </w:p>
    <w:p w14:paraId="65107219">
      <w:pPr>
        <w:spacing w:before="0" w:after="120" w:line="360" w:lineRule="auto"/>
        <w:ind w:firstLine="480"/>
        <w:jc w:val="both"/>
      </w:pPr>
      <w:r>
        <w:rPr>
          <w:rFonts w:ascii="Times New Roman" w:hAnsi="Times New Roman" w:eastAsia="宋体"/>
          <w:b w:val="0"/>
          <w:i w:val="0"/>
          <w:sz w:val="24"/>
        </w:rPr>
        <w:t>一是战略定位明确。科技金融位列金融"五篇大文章"之首，"十五五"规划强调加快高水平科技自立自强，2025 年底中央经济工作会议明确"创新科技金融服务"。</w:t>
      </w:r>
    </w:p>
    <w:p w14:paraId="392CAA77">
      <w:pPr>
        <w:spacing w:before="0" w:after="120" w:line="360" w:lineRule="auto"/>
        <w:ind w:firstLine="480"/>
        <w:jc w:val="both"/>
      </w:pPr>
      <w:r>
        <w:rPr>
          <w:rFonts w:ascii="Times New Roman" w:hAnsi="Times New Roman" w:eastAsia="宋体"/>
          <w:b w:val="0"/>
          <w:i w:val="0"/>
          <w:sz w:val="24"/>
        </w:rPr>
        <w:t>二是制度通道已打开。金融监管总局明确指导商业银行开展知识产权质押融资内部评估试点，允许运用内部模型确定知识产权价值；《专利评估指引》国家标准发布实施，为模型输出提供了对标口径。这意味着本项目的技术路线不是监管灰色地带，而是政策明确鼓励的方向。</w:t>
      </w:r>
    </w:p>
    <w:p w14:paraId="4F1F576B">
      <w:pPr>
        <w:spacing w:before="0" w:after="120" w:line="360" w:lineRule="auto"/>
        <w:ind w:firstLine="480"/>
        <w:jc w:val="both"/>
      </w:pPr>
      <w:r>
        <w:rPr>
          <w:rFonts w:ascii="Times New Roman" w:hAnsi="Times New Roman" w:eastAsia="宋体"/>
          <w:b w:val="0"/>
          <w:i w:val="0"/>
          <w:sz w:val="24"/>
        </w:rPr>
        <w:t>三是试点基础具备。8 省市知识产权金融生态综合试点围绕登记、评估、处置、补偿四大环节系统破壁，13 个省份、124 个地市出台风险补偿政策，试点已明确"评估试点效果、梳理创新举措、印发典型案例、研究扩大试点范围"，扩大可期。</w:t>
      </w:r>
    </w:p>
    <w:p w14:paraId="555590C6">
      <w:pPr>
        <w:spacing w:before="200" w:after="120" w:line="336" w:lineRule="auto"/>
        <w:jc w:val="left"/>
        <w:outlineLvl w:val="1"/>
      </w:pPr>
      <w:bookmarkStart w:id="19" w:name="_Toc24719"/>
      <w:r>
        <w:rPr>
          <w:rFonts w:ascii="黑体" w:hAnsi="黑体" w:eastAsia="黑体"/>
          <w:b/>
          <w:i w:val="0"/>
          <w:color w:val="0A1730"/>
          <w:sz w:val="26"/>
        </w:rPr>
        <w:t>4.3 市场规模</w:t>
      </w:r>
      <w:bookmarkEnd w:id="19"/>
    </w:p>
    <w:p w14:paraId="215CB48D">
      <w:pPr>
        <w:spacing w:before="0" w:after="120" w:line="360" w:lineRule="auto"/>
        <w:ind w:firstLine="480"/>
        <w:jc w:val="both"/>
      </w:pPr>
      <w:r>
        <w:rPr>
          <w:rFonts w:ascii="Times New Roman" w:hAnsi="Times New Roman" w:eastAsia="宋体"/>
          <w:b w:val="0"/>
          <w:i w:val="0"/>
          <w:sz w:val="24"/>
        </w:rPr>
        <w:t>以知识产权质押贷款与科技型中小企业贷款为口径测算可服务市场：</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32C8B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52833ABD">
            <w:pPr>
              <w:spacing w:before="40" w:after="40" w:line="300" w:lineRule="auto"/>
            </w:pPr>
            <w:r>
              <w:rPr>
                <w:rFonts w:ascii="黑体" w:hAnsi="黑体" w:eastAsia="黑体"/>
                <w:b/>
                <w:i w:val="0"/>
                <w:sz w:val="21"/>
              </w:rPr>
              <w:t>指标</w:t>
            </w:r>
          </w:p>
        </w:tc>
        <w:tc>
          <w:tcPr>
            <w:tcW w:w="2835" w:type="dxa"/>
          </w:tcPr>
          <w:p w14:paraId="61CB0832">
            <w:pPr>
              <w:spacing w:before="40" w:after="40" w:line="300" w:lineRule="auto"/>
            </w:pPr>
            <w:r>
              <w:rPr>
                <w:rFonts w:ascii="黑体" w:hAnsi="黑体" w:eastAsia="黑体"/>
                <w:b/>
                <w:i w:val="0"/>
                <w:sz w:val="21"/>
              </w:rPr>
              <w:t>数值</w:t>
            </w:r>
          </w:p>
        </w:tc>
        <w:tc>
          <w:tcPr>
            <w:tcW w:w="2835" w:type="dxa"/>
          </w:tcPr>
          <w:p w14:paraId="14D589F0">
            <w:pPr>
              <w:spacing w:before="40" w:after="40" w:line="300" w:lineRule="auto"/>
            </w:pPr>
            <w:r>
              <w:rPr>
                <w:rFonts w:ascii="黑体" w:hAnsi="黑体" w:eastAsia="黑体"/>
                <w:b/>
                <w:i w:val="0"/>
                <w:sz w:val="21"/>
              </w:rPr>
              <w:t>时点</w:t>
            </w:r>
          </w:p>
        </w:tc>
      </w:tr>
      <w:tr w14:paraId="5DCA7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4DF93507">
            <w:pPr>
              <w:spacing w:before="40" w:after="40" w:line="300" w:lineRule="auto"/>
            </w:pPr>
            <w:r>
              <w:rPr>
                <w:rFonts w:ascii="Times New Roman" w:hAnsi="Times New Roman" w:eastAsia="宋体"/>
                <w:b w:val="0"/>
                <w:i w:val="0"/>
                <w:sz w:val="21"/>
              </w:rPr>
              <w:t>科技型中小企业贷款余额</w:t>
            </w:r>
          </w:p>
        </w:tc>
        <w:tc>
          <w:tcPr>
            <w:tcW w:w="2835" w:type="dxa"/>
          </w:tcPr>
          <w:p w14:paraId="410E4FC0">
            <w:pPr>
              <w:spacing w:before="40" w:after="40" w:line="300" w:lineRule="auto"/>
            </w:pPr>
            <w:r>
              <w:rPr>
                <w:rFonts w:ascii="Times New Roman" w:hAnsi="Times New Roman" w:eastAsia="宋体"/>
                <w:b w:val="0"/>
                <w:i w:val="0"/>
                <w:sz w:val="21"/>
              </w:rPr>
              <w:t>3.63 万亿元</w:t>
            </w:r>
          </w:p>
        </w:tc>
        <w:tc>
          <w:tcPr>
            <w:tcW w:w="2835" w:type="dxa"/>
          </w:tcPr>
          <w:p w14:paraId="1F9935A1">
            <w:pPr>
              <w:spacing w:before="40" w:after="40" w:line="300" w:lineRule="auto"/>
            </w:pPr>
            <w:r>
              <w:rPr>
                <w:rFonts w:ascii="Times New Roman" w:hAnsi="Times New Roman" w:eastAsia="宋体"/>
                <w:b w:val="0"/>
                <w:i w:val="0"/>
                <w:sz w:val="21"/>
              </w:rPr>
              <w:t>2025 年四季度末</w:t>
            </w:r>
          </w:p>
        </w:tc>
      </w:tr>
      <w:tr w14:paraId="39BC6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29E1DC38">
            <w:pPr>
              <w:spacing w:before="40" w:after="40" w:line="300" w:lineRule="auto"/>
            </w:pPr>
            <w:r>
              <w:rPr>
                <w:rFonts w:ascii="Times New Roman" w:hAnsi="Times New Roman" w:eastAsia="宋体"/>
                <w:b w:val="0"/>
                <w:i w:val="0"/>
                <w:sz w:val="21"/>
              </w:rPr>
              <w:t>高新技术企业贷款余额</w:t>
            </w:r>
          </w:p>
        </w:tc>
        <w:tc>
          <w:tcPr>
            <w:tcW w:w="2835" w:type="dxa"/>
          </w:tcPr>
          <w:p w14:paraId="4B37C4E6">
            <w:pPr>
              <w:spacing w:before="40" w:after="40" w:line="300" w:lineRule="auto"/>
            </w:pPr>
            <w:r>
              <w:rPr>
                <w:rFonts w:ascii="Times New Roman" w:hAnsi="Times New Roman" w:eastAsia="宋体"/>
                <w:b w:val="0"/>
                <w:i w:val="0"/>
                <w:sz w:val="21"/>
              </w:rPr>
              <w:t>18.61 万亿元</w:t>
            </w:r>
          </w:p>
        </w:tc>
        <w:tc>
          <w:tcPr>
            <w:tcW w:w="2835" w:type="dxa"/>
          </w:tcPr>
          <w:p w14:paraId="32486AC1">
            <w:pPr>
              <w:spacing w:before="40" w:after="40" w:line="300" w:lineRule="auto"/>
            </w:pPr>
            <w:r>
              <w:rPr>
                <w:rFonts w:ascii="Times New Roman" w:hAnsi="Times New Roman" w:eastAsia="宋体"/>
                <w:b w:val="0"/>
                <w:i w:val="0"/>
                <w:sz w:val="21"/>
              </w:rPr>
              <w:t>2025 年四季度末</w:t>
            </w:r>
          </w:p>
        </w:tc>
      </w:tr>
      <w:tr w14:paraId="2FA5A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19AE808D">
            <w:pPr>
              <w:spacing w:before="40" w:after="40" w:line="300" w:lineRule="auto"/>
            </w:pPr>
            <w:r>
              <w:rPr>
                <w:rFonts w:ascii="Times New Roman" w:hAnsi="Times New Roman" w:eastAsia="宋体"/>
                <w:b w:val="0"/>
                <w:i w:val="0"/>
                <w:sz w:val="21"/>
              </w:rPr>
              <w:t>银行业累计发放知识产权质押贷款</w:t>
            </w:r>
          </w:p>
        </w:tc>
        <w:tc>
          <w:tcPr>
            <w:tcW w:w="2835" w:type="dxa"/>
          </w:tcPr>
          <w:p w14:paraId="1F249603">
            <w:pPr>
              <w:spacing w:before="40" w:after="40" w:line="300" w:lineRule="auto"/>
            </w:pPr>
            <w:r>
              <w:rPr>
                <w:rFonts w:ascii="Times New Roman" w:hAnsi="Times New Roman" w:eastAsia="宋体"/>
                <w:b w:val="0"/>
                <w:i w:val="0"/>
                <w:sz w:val="21"/>
              </w:rPr>
              <w:t>2979 亿元 / 2.87 万户</w:t>
            </w:r>
          </w:p>
        </w:tc>
        <w:tc>
          <w:tcPr>
            <w:tcW w:w="2835" w:type="dxa"/>
          </w:tcPr>
          <w:p w14:paraId="4C4B56CC">
            <w:pPr>
              <w:spacing w:before="40" w:after="40" w:line="300" w:lineRule="auto"/>
            </w:pPr>
            <w:r>
              <w:rPr>
                <w:rFonts w:ascii="Times New Roman" w:hAnsi="Times New Roman" w:eastAsia="宋体"/>
                <w:b w:val="0"/>
                <w:i w:val="0"/>
                <w:sz w:val="21"/>
              </w:rPr>
              <w:t>2025 年</w:t>
            </w:r>
          </w:p>
        </w:tc>
      </w:tr>
      <w:tr w14:paraId="49C39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4F8B1CD0">
            <w:pPr>
              <w:spacing w:before="40" w:after="40" w:line="300" w:lineRule="auto"/>
            </w:pPr>
            <w:r>
              <w:rPr>
                <w:rFonts w:ascii="Times New Roman" w:hAnsi="Times New Roman" w:eastAsia="宋体"/>
                <w:b w:val="0"/>
                <w:i w:val="0"/>
                <w:sz w:val="21"/>
              </w:rPr>
              <w:t>科技型中小企业获贷企业数</w:t>
            </w:r>
          </w:p>
        </w:tc>
        <w:tc>
          <w:tcPr>
            <w:tcW w:w="2835" w:type="dxa"/>
          </w:tcPr>
          <w:p w14:paraId="2C146362">
            <w:pPr>
              <w:spacing w:before="40" w:after="40" w:line="300" w:lineRule="auto"/>
            </w:pPr>
            <w:r>
              <w:rPr>
                <w:rFonts w:ascii="Times New Roman" w:hAnsi="Times New Roman" w:eastAsia="宋体"/>
                <w:b w:val="0"/>
                <w:i w:val="0"/>
                <w:sz w:val="21"/>
              </w:rPr>
              <w:t>27.5 万家（获贷率 50.2%）</w:t>
            </w:r>
          </w:p>
        </w:tc>
        <w:tc>
          <w:tcPr>
            <w:tcW w:w="2835" w:type="dxa"/>
          </w:tcPr>
          <w:p w14:paraId="52EFD5E9">
            <w:pPr>
              <w:spacing w:before="40" w:after="40" w:line="300" w:lineRule="auto"/>
            </w:pPr>
            <w:r>
              <w:rPr>
                <w:rFonts w:ascii="Times New Roman" w:hAnsi="Times New Roman" w:eastAsia="宋体"/>
                <w:b w:val="0"/>
                <w:i w:val="0"/>
                <w:sz w:val="21"/>
              </w:rPr>
              <w:t>2025 年四季度末</w:t>
            </w:r>
          </w:p>
        </w:tc>
      </w:tr>
      <w:tr w14:paraId="653FD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2730C577">
            <w:pPr>
              <w:spacing w:before="40" w:after="40" w:line="300" w:lineRule="auto"/>
            </w:pPr>
            <w:r>
              <w:rPr>
                <w:rFonts w:ascii="Times New Roman" w:hAnsi="Times New Roman" w:eastAsia="宋体"/>
                <w:b w:val="0"/>
                <w:i w:val="0"/>
                <w:sz w:val="21"/>
              </w:rPr>
              <w:t>高新技术企业获贷企业数</w:t>
            </w:r>
          </w:p>
        </w:tc>
        <w:tc>
          <w:tcPr>
            <w:tcW w:w="2835" w:type="dxa"/>
          </w:tcPr>
          <w:p w14:paraId="5A977442">
            <w:pPr>
              <w:spacing w:before="40" w:after="40" w:line="300" w:lineRule="auto"/>
            </w:pPr>
            <w:r>
              <w:rPr>
                <w:rFonts w:ascii="Times New Roman" w:hAnsi="Times New Roman" w:eastAsia="宋体"/>
                <w:b w:val="0"/>
                <w:i w:val="0"/>
                <w:sz w:val="21"/>
              </w:rPr>
              <w:t>26.54 万家（获贷率 57.3%）</w:t>
            </w:r>
          </w:p>
        </w:tc>
        <w:tc>
          <w:tcPr>
            <w:tcW w:w="2835" w:type="dxa"/>
          </w:tcPr>
          <w:p w14:paraId="5415B996">
            <w:pPr>
              <w:spacing w:before="40" w:after="40" w:line="300" w:lineRule="auto"/>
            </w:pPr>
            <w:r>
              <w:rPr>
                <w:rFonts w:ascii="Times New Roman" w:hAnsi="Times New Roman" w:eastAsia="宋体"/>
                <w:b w:val="0"/>
                <w:i w:val="0"/>
                <w:sz w:val="21"/>
              </w:rPr>
              <w:t>2025 年四季度末</w:t>
            </w:r>
          </w:p>
        </w:tc>
      </w:tr>
      <w:tr w14:paraId="50BD4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08FD20C1">
            <w:pPr>
              <w:spacing w:before="40" w:after="40" w:line="300" w:lineRule="auto"/>
            </w:pPr>
            <w:r>
              <w:rPr>
                <w:rFonts w:ascii="Times New Roman" w:hAnsi="Times New Roman" w:eastAsia="宋体"/>
                <w:b w:val="0"/>
                <w:i w:val="0"/>
                <w:sz w:val="21"/>
              </w:rPr>
              <w:t>全国涉及专利的技术合同成交额</w:t>
            </w:r>
          </w:p>
        </w:tc>
        <w:tc>
          <w:tcPr>
            <w:tcW w:w="2835" w:type="dxa"/>
          </w:tcPr>
          <w:p w14:paraId="4C11AA13">
            <w:pPr>
              <w:spacing w:before="40" w:after="40" w:line="300" w:lineRule="auto"/>
            </w:pPr>
            <w:r>
              <w:rPr>
                <w:rFonts w:ascii="Times New Roman" w:hAnsi="Times New Roman" w:eastAsia="宋体"/>
                <w:b w:val="0"/>
                <w:i w:val="0"/>
                <w:sz w:val="21"/>
              </w:rPr>
              <w:t>1.18 万亿元</w:t>
            </w:r>
          </w:p>
        </w:tc>
        <w:tc>
          <w:tcPr>
            <w:tcW w:w="2835" w:type="dxa"/>
          </w:tcPr>
          <w:p w14:paraId="73D2FDEB">
            <w:pPr>
              <w:spacing w:before="40" w:after="40" w:line="300" w:lineRule="auto"/>
            </w:pPr>
            <w:r>
              <w:rPr>
                <w:rFonts w:ascii="Times New Roman" w:hAnsi="Times New Roman" w:eastAsia="宋体"/>
                <w:b w:val="0"/>
                <w:i w:val="0"/>
                <w:sz w:val="21"/>
              </w:rPr>
              <w:t>2025 年</w:t>
            </w:r>
          </w:p>
        </w:tc>
      </w:tr>
    </w:tbl>
    <w:p w14:paraId="7E7CD22F">
      <w:pPr>
        <w:spacing w:after="80"/>
      </w:pPr>
    </w:p>
    <w:p w14:paraId="3D2326BC">
      <w:pPr>
        <w:spacing w:before="0" w:after="120" w:line="360" w:lineRule="auto"/>
        <w:ind w:firstLine="480"/>
        <w:jc w:val="both"/>
      </w:pPr>
      <w:r>
        <w:rPr>
          <w:rFonts w:ascii="Times New Roman" w:hAnsi="Times New Roman" w:eastAsia="宋体"/>
          <w:b w:val="0"/>
          <w:i w:val="0"/>
          <w:sz w:val="24"/>
        </w:rPr>
        <w:t>若以科技型中小企业贷款余额为基数、按每年新增 15%~20% 估算，年新增可服务信贷规模在 5000 亿元量级；其中可适用非财务评价体系的轻资产企业占比保守估计不低于 30%，对应年新增可服务规模约 1500 亿元。</w:t>
      </w:r>
    </w:p>
    <w:p w14:paraId="6BD9703B">
      <w:pPr>
        <w:spacing w:before="200" w:after="120" w:line="336" w:lineRule="auto"/>
        <w:jc w:val="left"/>
        <w:outlineLvl w:val="1"/>
      </w:pPr>
      <w:bookmarkStart w:id="20" w:name="_Toc1182"/>
      <w:r>
        <w:rPr>
          <w:rFonts w:ascii="黑体" w:hAnsi="黑体" w:eastAsia="黑体"/>
          <w:b/>
          <w:i w:val="0"/>
          <w:color w:val="0A1730"/>
          <w:sz w:val="26"/>
        </w:rPr>
        <w:t>4.4 市场预测</w:t>
      </w:r>
      <w:bookmarkEnd w:id="20"/>
    </w:p>
    <w:p w14:paraId="23DC35BD">
      <w:pPr>
        <w:spacing w:before="0" w:after="120" w:line="360" w:lineRule="auto"/>
        <w:ind w:firstLine="480"/>
        <w:jc w:val="both"/>
      </w:pPr>
      <w:r>
        <w:rPr>
          <w:rFonts w:ascii="Times New Roman" w:hAnsi="Times New Roman" w:eastAsia="宋体"/>
          <w:b w:val="0"/>
          <w:i w:val="0"/>
          <w:sz w:val="24"/>
        </w:rPr>
        <w:t>结合政策推进节奏与市场增速，对未来三年做如下预测（本项目测算，非第三方机构预测）：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2EB2E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1E3EBF55">
            <w:pPr>
              <w:spacing w:before="40" w:after="40" w:line="300" w:lineRule="auto"/>
            </w:pPr>
            <w:r>
              <w:rPr>
                <w:rFonts w:ascii="黑体" w:hAnsi="黑体" w:eastAsia="黑体"/>
                <w:b/>
                <w:i w:val="0"/>
                <w:sz w:val="21"/>
              </w:rPr>
              <w:t>年度</w:t>
            </w:r>
          </w:p>
        </w:tc>
        <w:tc>
          <w:tcPr>
            <w:tcW w:w="2835" w:type="dxa"/>
          </w:tcPr>
          <w:p w14:paraId="4271953B">
            <w:pPr>
              <w:spacing w:before="40" w:after="40" w:line="300" w:lineRule="auto"/>
            </w:pPr>
            <w:r>
              <w:rPr>
                <w:rFonts w:ascii="黑体" w:hAnsi="黑体" w:eastAsia="黑体"/>
                <w:b/>
                <w:i w:val="0"/>
                <w:sz w:val="21"/>
              </w:rPr>
              <w:t>科技型中小企业贷款余额（预测）</w:t>
            </w:r>
          </w:p>
        </w:tc>
        <w:tc>
          <w:tcPr>
            <w:tcW w:w="2835" w:type="dxa"/>
          </w:tcPr>
          <w:p w14:paraId="4A01B366">
            <w:pPr>
              <w:spacing w:before="40" w:after="40" w:line="300" w:lineRule="auto"/>
            </w:pPr>
            <w:r>
              <w:rPr>
                <w:rFonts w:ascii="黑体" w:hAnsi="黑体" w:eastAsia="黑体"/>
                <w:b/>
                <w:i w:val="0"/>
                <w:sz w:val="21"/>
              </w:rPr>
              <w:t>适用本平台的潜在业务规模（预测）</w:t>
            </w:r>
          </w:p>
        </w:tc>
      </w:tr>
      <w:tr w14:paraId="521B9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0B5C41D2">
            <w:pPr>
              <w:spacing w:before="40" w:after="40" w:line="300" w:lineRule="auto"/>
            </w:pPr>
            <w:r>
              <w:rPr>
                <w:rFonts w:ascii="Times New Roman" w:hAnsi="Times New Roman" w:eastAsia="宋体"/>
                <w:b w:val="0"/>
                <w:i w:val="0"/>
                <w:sz w:val="21"/>
              </w:rPr>
              <w:t>2026</w:t>
            </w:r>
          </w:p>
        </w:tc>
        <w:tc>
          <w:tcPr>
            <w:tcW w:w="2835" w:type="dxa"/>
          </w:tcPr>
          <w:p w14:paraId="05409E76">
            <w:pPr>
              <w:spacing w:before="40" w:after="40" w:line="300" w:lineRule="auto"/>
            </w:pPr>
            <w:r>
              <w:rPr>
                <w:rFonts w:ascii="Times New Roman" w:hAnsi="Times New Roman" w:eastAsia="宋体"/>
                <w:b w:val="0"/>
                <w:i w:val="0"/>
                <w:sz w:val="21"/>
              </w:rPr>
              <w:t>4.2~4.4 万亿元</w:t>
            </w:r>
          </w:p>
        </w:tc>
        <w:tc>
          <w:tcPr>
            <w:tcW w:w="2835" w:type="dxa"/>
          </w:tcPr>
          <w:p w14:paraId="6B399744">
            <w:pPr>
              <w:spacing w:before="40" w:after="40" w:line="300" w:lineRule="auto"/>
            </w:pPr>
            <w:r>
              <w:rPr>
                <w:rFonts w:ascii="Times New Roman" w:hAnsi="Times New Roman" w:eastAsia="宋体"/>
                <w:b w:val="0"/>
                <w:i w:val="0"/>
                <w:sz w:val="21"/>
              </w:rPr>
              <w:t>1800~2200 亿元</w:t>
            </w:r>
          </w:p>
        </w:tc>
      </w:tr>
      <w:tr w14:paraId="56187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5FB84398">
            <w:pPr>
              <w:spacing w:before="40" w:after="40" w:line="300" w:lineRule="auto"/>
            </w:pPr>
            <w:r>
              <w:rPr>
                <w:rFonts w:ascii="Times New Roman" w:hAnsi="Times New Roman" w:eastAsia="宋体"/>
                <w:b w:val="0"/>
                <w:i w:val="0"/>
                <w:sz w:val="21"/>
              </w:rPr>
              <w:t>2027</w:t>
            </w:r>
          </w:p>
        </w:tc>
        <w:tc>
          <w:tcPr>
            <w:tcW w:w="2835" w:type="dxa"/>
          </w:tcPr>
          <w:p w14:paraId="6525EEBE">
            <w:pPr>
              <w:spacing w:before="40" w:after="40" w:line="300" w:lineRule="auto"/>
            </w:pPr>
            <w:r>
              <w:rPr>
                <w:rFonts w:ascii="Times New Roman" w:hAnsi="Times New Roman" w:eastAsia="宋体"/>
                <w:b w:val="0"/>
                <w:i w:val="0"/>
                <w:sz w:val="21"/>
              </w:rPr>
              <w:t>5.0~5.3 万亿元</w:t>
            </w:r>
          </w:p>
        </w:tc>
        <w:tc>
          <w:tcPr>
            <w:tcW w:w="2835" w:type="dxa"/>
          </w:tcPr>
          <w:p w14:paraId="3AEAD1D5">
            <w:pPr>
              <w:spacing w:before="40" w:after="40" w:line="300" w:lineRule="auto"/>
            </w:pPr>
            <w:r>
              <w:rPr>
                <w:rFonts w:ascii="Times New Roman" w:hAnsi="Times New Roman" w:eastAsia="宋体"/>
                <w:b w:val="0"/>
                <w:i w:val="0"/>
                <w:sz w:val="21"/>
              </w:rPr>
              <w:t>2500~3200 亿元</w:t>
            </w:r>
          </w:p>
        </w:tc>
      </w:tr>
      <w:tr w14:paraId="086D3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18F78D44">
            <w:pPr>
              <w:spacing w:before="40" w:after="40" w:line="300" w:lineRule="auto"/>
            </w:pPr>
            <w:r>
              <w:rPr>
                <w:rFonts w:ascii="Times New Roman" w:hAnsi="Times New Roman" w:eastAsia="宋体"/>
                <w:b w:val="0"/>
                <w:i w:val="0"/>
                <w:sz w:val="21"/>
              </w:rPr>
              <w:t>2028</w:t>
            </w:r>
          </w:p>
        </w:tc>
        <w:tc>
          <w:tcPr>
            <w:tcW w:w="2835" w:type="dxa"/>
          </w:tcPr>
          <w:p w14:paraId="1DF0FDC5">
            <w:pPr>
              <w:spacing w:before="40" w:after="40" w:line="300" w:lineRule="auto"/>
            </w:pPr>
            <w:r>
              <w:rPr>
                <w:rFonts w:ascii="Times New Roman" w:hAnsi="Times New Roman" w:eastAsia="宋体"/>
                <w:b w:val="0"/>
                <w:i w:val="0"/>
                <w:sz w:val="21"/>
              </w:rPr>
              <w:t>5.8~6.3 万亿元</w:t>
            </w:r>
          </w:p>
        </w:tc>
        <w:tc>
          <w:tcPr>
            <w:tcW w:w="2835" w:type="dxa"/>
          </w:tcPr>
          <w:p w14:paraId="5C1EB658">
            <w:pPr>
              <w:spacing w:before="40" w:after="40" w:line="300" w:lineRule="auto"/>
            </w:pPr>
            <w:r>
              <w:rPr>
                <w:rFonts w:ascii="Times New Roman" w:hAnsi="Times New Roman" w:eastAsia="宋体"/>
                <w:b w:val="0"/>
                <w:i w:val="0"/>
                <w:sz w:val="21"/>
              </w:rPr>
              <w:t>3400~4500 亿元</w:t>
            </w:r>
          </w:p>
        </w:tc>
      </w:tr>
    </w:tbl>
    <w:p w14:paraId="2F55FD3A">
      <w:pPr>
        <w:spacing w:after="80"/>
      </w:pPr>
    </w:p>
    <w:p w14:paraId="69CA8884">
      <w:pPr>
        <w:spacing w:before="0" w:after="120" w:line="360" w:lineRule="auto"/>
        <w:ind w:firstLine="480"/>
        <w:jc w:val="both"/>
      </w:pPr>
      <w:r>
        <w:rPr>
          <w:rFonts w:ascii="Times New Roman" w:hAnsi="Times New Roman" w:eastAsia="宋体"/>
          <w:b w:val="0"/>
          <w:i w:val="0"/>
          <w:sz w:val="24"/>
        </w:rPr>
        <w:t>注：预测基于 2025 年四季度末 3.63 万亿元基数、年均 16%~19% 增速外推，并假设轻资产适用比例由 30% 逐步提升至 35%。该预测为团队基于公开数据的自行测算，仅供评审参考。</w:t>
      </w:r>
    </w:p>
    <w:p w14:paraId="6C25950B">
      <w:pPr>
        <w:spacing w:before="200" w:after="120" w:line="336" w:lineRule="auto"/>
        <w:jc w:val="left"/>
        <w:outlineLvl w:val="1"/>
      </w:pPr>
      <w:bookmarkStart w:id="21" w:name="_Toc15272"/>
      <w:r>
        <w:rPr>
          <w:rFonts w:ascii="黑体" w:hAnsi="黑体" w:eastAsia="黑体"/>
          <w:b/>
          <w:i w:val="0"/>
          <w:color w:val="0A1730"/>
          <w:sz w:val="26"/>
        </w:rPr>
        <w:t>4.5 SWOT 分析</w:t>
      </w:r>
      <w:bookmarkEnd w:id="2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5B3A3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35075C6F">
            <w:pPr>
              <w:spacing w:before="40" w:after="40" w:line="300" w:lineRule="auto"/>
            </w:pPr>
          </w:p>
        </w:tc>
        <w:tc>
          <w:tcPr>
            <w:tcW w:w="2835" w:type="dxa"/>
          </w:tcPr>
          <w:p w14:paraId="66572664">
            <w:pPr>
              <w:spacing w:before="40" w:after="40" w:line="300" w:lineRule="auto"/>
            </w:pPr>
            <w:r>
              <w:rPr>
                <w:rFonts w:ascii="黑体" w:hAnsi="黑体" w:eastAsia="黑体"/>
                <w:b/>
                <w:i w:val="0"/>
                <w:sz w:val="21"/>
              </w:rPr>
              <w:t>有利</w:t>
            </w:r>
          </w:p>
        </w:tc>
        <w:tc>
          <w:tcPr>
            <w:tcW w:w="2835" w:type="dxa"/>
          </w:tcPr>
          <w:p w14:paraId="5C0AA596">
            <w:pPr>
              <w:spacing w:before="40" w:after="40" w:line="300" w:lineRule="auto"/>
            </w:pPr>
            <w:r>
              <w:rPr>
                <w:rFonts w:ascii="黑体" w:hAnsi="黑体" w:eastAsia="黑体"/>
                <w:b/>
                <w:i w:val="0"/>
                <w:sz w:val="21"/>
              </w:rPr>
              <w:t>不利</w:t>
            </w:r>
          </w:p>
        </w:tc>
      </w:tr>
      <w:tr w14:paraId="533C1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539A3BF2">
            <w:pPr>
              <w:spacing w:before="40" w:after="40" w:line="300" w:lineRule="auto"/>
            </w:pPr>
            <w:r>
              <w:rPr>
                <w:rFonts w:ascii="Times New Roman" w:hAnsi="Times New Roman" w:eastAsia="宋体"/>
                <w:b w:val="0"/>
                <w:i w:val="0"/>
                <w:sz w:val="21"/>
              </w:rPr>
              <w:t>内部</w:t>
            </w:r>
          </w:p>
        </w:tc>
        <w:tc>
          <w:tcPr>
            <w:tcW w:w="2835" w:type="dxa"/>
          </w:tcPr>
          <w:p w14:paraId="73012797">
            <w:pPr>
              <w:spacing w:before="40" w:after="40" w:line="300" w:lineRule="auto"/>
            </w:pPr>
            <w:r>
              <w:rPr>
                <w:rFonts w:ascii="Times New Roman" w:hAnsi="Times New Roman" w:eastAsia="宋体"/>
                <w:b w:val="0"/>
                <w:i w:val="0"/>
                <w:sz w:val="21"/>
              </w:rPr>
              <w:t>S 优势：① 技术路线与监管导向高度一致；② 图算法 + 双模型 + 里程碑触发的复合设计具备差异化；③ 全链路闭环，非单点工具；④ 系统已完成可运行实现，非概念方案；⑤ 工程上具备优雅降级与可追溯等银行级特性</w:t>
            </w:r>
          </w:p>
        </w:tc>
        <w:tc>
          <w:tcPr>
            <w:tcW w:w="2835" w:type="dxa"/>
          </w:tcPr>
          <w:p w14:paraId="1B6B5B3D">
            <w:pPr>
              <w:spacing w:before="40" w:after="40" w:line="300" w:lineRule="auto"/>
            </w:pPr>
            <w:r>
              <w:rPr>
                <w:rFonts w:ascii="Times New Roman" w:hAnsi="Times New Roman" w:eastAsia="宋体"/>
                <w:b w:val="0"/>
                <w:i w:val="0"/>
                <w:sz w:val="21"/>
              </w:rPr>
              <w:t>W 劣势：① 模型基于模拟/公开数据训练，未在真实业务数据上验证；② 团队为学生团队，缺乏银行侧落地资源与行业积累；③ 冷启动与数据完备度问题尚未彻底解决；④ 无真实运营数据与标杆客户案例</w:t>
            </w:r>
          </w:p>
        </w:tc>
      </w:tr>
      <w:tr w14:paraId="209DE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2E3B168A">
            <w:pPr>
              <w:spacing w:before="40" w:after="40" w:line="300" w:lineRule="auto"/>
            </w:pPr>
            <w:r>
              <w:rPr>
                <w:rFonts w:ascii="Times New Roman" w:hAnsi="Times New Roman" w:eastAsia="宋体"/>
                <w:b w:val="0"/>
                <w:i w:val="0"/>
                <w:sz w:val="21"/>
              </w:rPr>
              <w:t>外部</w:t>
            </w:r>
          </w:p>
        </w:tc>
        <w:tc>
          <w:tcPr>
            <w:tcW w:w="2835" w:type="dxa"/>
          </w:tcPr>
          <w:p w14:paraId="030ABC7F">
            <w:pPr>
              <w:spacing w:before="40" w:after="40" w:line="300" w:lineRule="auto"/>
            </w:pPr>
            <w:r>
              <w:rPr>
                <w:rFonts w:ascii="Times New Roman" w:hAnsi="Times New Roman" w:eastAsia="宋体"/>
                <w:b w:val="0"/>
                <w:i w:val="0"/>
                <w:sz w:val="21"/>
              </w:rPr>
              <w:t>O 机会：① 政策红利持续释放，8 省市试点有望扩大；② 知识产权质押贷款年增速超 50%，市场处于快速成长期；③ 工行"五专"体系与 AIC"四投"策略提供天然落地场景；④ 监管鼓励数智化挖掘金融需求、基于企业画像智能匹配产品</w:t>
            </w:r>
          </w:p>
        </w:tc>
        <w:tc>
          <w:tcPr>
            <w:tcW w:w="2835" w:type="dxa"/>
          </w:tcPr>
          <w:p w14:paraId="1A187B1D">
            <w:pPr>
              <w:spacing w:before="40" w:after="40" w:line="300" w:lineRule="auto"/>
            </w:pPr>
            <w:r>
              <w:rPr>
                <w:rFonts w:ascii="Times New Roman" w:hAnsi="Times New Roman" w:eastAsia="宋体"/>
                <w:b w:val="0"/>
                <w:i w:val="0"/>
                <w:sz w:val="21"/>
              </w:rPr>
              <w:t>T 威胁：① 大型银行自建类似系统，形成替代；② 数据合规与数据安全监管趋严；③ 模型风险的责任归属尚无明确规则；④ 同类金融科技服务商竞争加剧</w:t>
            </w:r>
          </w:p>
        </w:tc>
      </w:tr>
    </w:tbl>
    <w:p w14:paraId="54B4D023">
      <w:pPr>
        <w:spacing w:after="80"/>
      </w:pPr>
    </w:p>
    <w:p w14:paraId="5ED95BB3">
      <w:pPr>
        <w:spacing w:before="0" w:after="120" w:line="360" w:lineRule="auto"/>
        <w:ind w:firstLine="480"/>
        <w:jc w:val="both"/>
      </w:pPr>
      <w:r>
        <w:rPr>
          <w:rFonts w:ascii="Times New Roman" w:hAnsi="Times New Roman" w:eastAsia="宋体"/>
          <w:b w:val="0"/>
          <w:i w:val="0"/>
          <w:sz w:val="24"/>
        </w:rPr>
        <w:t>战略取向：采取 SO 策略——以技术路线与监管导向的一致性为支点，优先在政策试点地区（深圳、浙江等）与科技金融专营机构开展试点合作，用真实数据验证模型并完成标杆案例积累，再向全国推广。</w:t>
      </w:r>
    </w:p>
    <w:p w14:paraId="03E70477">
      <w:pPr>
        <w:spacing w:before="320" w:after="200" w:line="336" w:lineRule="auto"/>
        <w:jc w:val="left"/>
        <w:outlineLvl w:val="0"/>
      </w:pPr>
      <w:bookmarkStart w:id="22" w:name="_Toc8602"/>
      <w:r>
        <w:rPr>
          <w:rFonts w:ascii="黑体" w:hAnsi="黑体" w:eastAsia="黑体"/>
          <w:b/>
          <w:i w:val="0"/>
          <w:color w:val="0A1730"/>
          <w:sz w:val="30"/>
        </w:rPr>
        <w:t>五、营销策略</w:t>
      </w:r>
      <w:bookmarkEnd w:id="22"/>
    </w:p>
    <w:p w14:paraId="68087D36">
      <w:pPr>
        <w:spacing w:before="200" w:after="120" w:line="336" w:lineRule="auto"/>
        <w:jc w:val="left"/>
        <w:outlineLvl w:val="1"/>
      </w:pPr>
      <w:bookmarkStart w:id="23" w:name="_Toc12419"/>
      <w:r>
        <w:rPr>
          <w:rFonts w:ascii="黑体" w:hAnsi="黑体" w:eastAsia="黑体"/>
          <w:b/>
          <w:i w:val="0"/>
          <w:color w:val="0A1730"/>
          <w:sz w:val="26"/>
        </w:rPr>
        <w:t>5.1 产品策略</w:t>
      </w:r>
      <w:bookmarkEnd w:id="23"/>
    </w:p>
    <w:p w14:paraId="7120DCFA">
      <w:pPr>
        <w:spacing w:before="0" w:after="120" w:line="360" w:lineRule="auto"/>
        <w:ind w:firstLine="480"/>
        <w:jc w:val="both"/>
      </w:pPr>
      <w:r>
        <w:rPr>
          <w:rFonts w:ascii="Times New Roman" w:hAnsi="Times New Roman" w:eastAsia="宋体"/>
          <w:b w:val="0"/>
          <w:i w:val="0"/>
          <w:sz w:val="24"/>
        </w:rPr>
        <w:t>采取"核心模块 + 场景套件"的产品结构。核心模块为企业画像引擎（估值 + 风险双模型）、专利影响力网络、里程碑授信引擎三大件，作为标准产品交付；场景套件针对不同赛道做差异化配置——半导体赛道强化"流片成功"节点与知识产权质押组合，生物医药赛道强化"临床 II 期"节点与中试保险衔接，高端装备与新材料赛道强化"量产爬坡"节点与供应链票据、订单融资衔接。</w:t>
      </w:r>
    </w:p>
    <w:p w14:paraId="6876A2D6">
      <w:pPr>
        <w:spacing w:before="0" w:after="120" w:line="360" w:lineRule="auto"/>
        <w:ind w:firstLine="480"/>
        <w:jc w:val="both"/>
      </w:pPr>
      <w:r>
        <w:rPr>
          <w:rFonts w:ascii="Times New Roman" w:hAnsi="Times New Roman" w:eastAsia="宋体"/>
          <w:b w:val="0"/>
          <w:i w:val="0"/>
          <w:sz w:val="24"/>
        </w:rPr>
        <w:t>产品形态上提供三种交付方式：SaaS 订阅（面向中小银行与创投机构，轻量化接入）、私有化部署（面向大型银行，数据不出域）、API 服务（面向已有信贷系统的增量集成）。</w:t>
      </w:r>
    </w:p>
    <w:p w14:paraId="6426C773">
      <w:pPr>
        <w:spacing w:before="200" w:after="120" w:line="336" w:lineRule="auto"/>
        <w:jc w:val="left"/>
        <w:outlineLvl w:val="1"/>
      </w:pPr>
      <w:bookmarkStart w:id="24" w:name="_Toc23479"/>
      <w:r>
        <w:rPr>
          <w:rFonts w:ascii="黑体" w:hAnsi="黑体" w:eastAsia="黑体"/>
          <w:b/>
          <w:i w:val="0"/>
          <w:color w:val="0A1730"/>
          <w:sz w:val="26"/>
        </w:rPr>
        <w:t>5.2 价格策略</w:t>
      </w:r>
      <w:bookmarkEnd w:id="24"/>
    </w:p>
    <w:p w14:paraId="3E861F01">
      <w:pPr>
        <w:spacing w:before="0" w:after="120" w:line="360" w:lineRule="auto"/>
        <w:ind w:firstLine="480"/>
        <w:jc w:val="both"/>
      </w:pPr>
      <w:r>
        <w:rPr>
          <w:rFonts w:ascii="Times New Roman" w:hAnsi="Times New Roman" w:eastAsia="宋体"/>
          <w:b w:val="0"/>
          <w:i w:val="0"/>
          <w:sz w:val="24"/>
        </w:rPr>
        <w:t>采用"基础服务费 + 增量成效费"的复合定价，降低机构初次采用门槛：</w:t>
      </w:r>
    </w:p>
    <w:p w14:paraId="3EB8DA1F">
      <w:pPr>
        <w:spacing w:before="0" w:after="60" w:line="360" w:lineRule="auto"/>
        <w:ind w:left="480"/>
        <w:jc w:val="left"/>
      </w:pPr>
      <w:r>
        <w:rPr>
          <w:rFonts w:ascii="Times New Roman" w:hAnsi="Times New Roman" w:eastAsia="宋体"/>
          <w:b w:val="0"/>
          <w:i w:val="0"/>
          <w:sz w:val="24"/>
        </w:rPr>
        <w:t>· 基础服务费：按部署方式与接入企业数量收取年度许可费，私有化部署高于 SaaS 订阅。</w:t>
      </w:r>
    </w:p>
    <w:p w14:paraId="51C90032">
      <w:pPr>
        <w:spacing w:before="0" w:after="60" w:line="360" w:lineRule="auto"/>
        <w:ind w:left="480"/>
        <w:jc w:val="left"/>
      </w:pPr>
      <w:r>
        <w:rPr>
          <w:rFonts w:ascii="Times New Roman" w:hAnsi="Times New Roman" w:eastAsia="宋体"/>
          <w:b w:val="0"/>
          <w:i w:val="0"/>
          <w:sz w:val="24"/>
        </w:rPr>
        <w:t>· 增量成效费：对通过本平台促成的新增授信，按金额收取一定比例的技术服务费，使平台收益与客户成效绑定。</w:t>
      </w:r>
    </w:p>
    <w:p w14:paraId="3E74C082">
      <w:pPr>
        <w:spacing w:before="0" w:after="60" w:line="360" w:lineRule="auto"/>
        <w:ind w:left="480"/>
        <w:jc w:val="left"/>
      </w:pPr>
      <w:r>
        <w:rPr>
          <w:rFonts w:ascii="Times New Roman" w:hAnsi="Times New Roman" w:eastAsia="宋体"/>
          <w:b w:val="0"/>
          <w:i w:val="0"/>
          <w:sz w:val="24"/>
        </w:rPr>
        <w:t>· 试点期优惠：对首批试点合作机构给予首年显著折扣或免费试点，以换取真实数据回测机会与标杆案例。</w:t>
      </w:r>
    </w:p>
    <w:p w14:paraId="2F5C8525">
      <w:pPr>
        <w:spacing w:before="0" w:after="120" w:line="360" w:lineRule="auto"/>
        <w:ind w:firstLine="480"/>
        <w:jc w:val="both"/>
      </w:pPr>
      <w:r>
        <w:rPr>
          <w:rFonts w:ascii="Times New Roman" w:hAnsi="Times New Roman" w:eastAsia="宋体"/>
          <w:b w:val="0"/>
          <w:i w:val="0"/>
          <w:sz w:val="24"/>
        </w:rPr>
        <w:t>对学生团队创业项目而言，初期以"低门槛进入 + 案例积累"为优先目标，而非短期收益最大化。</w:t>
      </w:r>
    </w:p>
    <w:p w14:paraId="244E1E15">
      <w:pPr>
        <w:spacing w:before="200" w:after="120" w:line="336" w:lineRule="auto"/>
        <w:jc w:val="left"/>
        <w:outlineLvl w:val="1"/>
      </w:pPr>
      <w:bookmarkStart w:id="25" w:name="_Toc17346"/>
      <w:r>
        <w:rPr>
          <w:rFonts w:ascii="黑体" w:hAnsi="黑体" w:eastAsia="黑体"/>
          <w:b/>
          <w:i w:val="0"/>
          <w:color w:val="0A1730"/>
          <w:sz w:val="26"/>
        </w:rPr>
        <w:t>5.3 推广策略</w:t>
      </w:r>
      <w:bookmarkEnd w:id="25"/>
    </w:p>
    <w:p w14:paraId="41B5FC19">
      <w:pPr>
        <w:spacing w:before="0" w:after="120" w:line="360" w:lineRule="auto"/>
        <w:ind w:firstLine="480"/>
        <w:jc w:val="both"/>
      </w:pPr>
      <w:r>
        <w:rPr>
          <w:rFonts w:ascii="Times New Roman" w:hAnsi="Times New Roman" w:eastAsia="宋体"/>
          <w:b w:val="0"/>
          <w:i w:val="0"/>
          <w:sz w:val="24"/>
        </w:rPr>
        <w:t>渠道一：政策试点地区切入。优先对接深圳、浙江、江苏、四川等知识产权金融生态综合试点省市的科技金融专营机构，借政策东风降低推广阻力。</w:t>
      </w:r>
    </w:p>
    <w:p w14:paraId="32326536">
      <w:pPr>
        <w:spacing w:before="0" w:after="120" w:line="360" w:lineRule="auto"/>
        <w:ind w:firstLine="480"/>
        <w:jc w:val="both"/>
      </w:pPr>
      <w:r>
        <w:rPr>
          <w:rFonts w:ascii="Times New Roman" w:hAnsi="Times New Roman" w:eastAsia="宋体"/>
          <w:b w:val="0"/>
          <w:i w:val="0"/>
          <w:sz w:val="24"/>
        </w:rPr>
        <w:t>渠道二：赛事与生态背书。依托"工行杯"等金融科技赛事的曝光，争取行业媒体与监管部门关注；积极参与监管组织的典型案例征集。</w:t>
      </w:r>
    </w:p>
    <w:p w14:paraId="5A386073">
      <w:pPr>
        <w:spacing w:before="0" w:after="120" w:line="360" w:lineRule="auto"/>
        <w:ind w:firstLine="480"/>
        <w:jc w:val="both"/>
      </w:pPr>
      <w:r>
        <w:rPr>
          <w:rFonts w:ascii="Times New Roman" w:hAnsi="Times New Roman" w:eastAsia="宋体"/>
          <w:b w:val="0"/>
          <w:i w:val="0"/>
          <w:sz w:val="24"/>
        </w:rPr>
        <w:t>渠道三：产业园区与孵化器合作。与高新技术产业园区、硬科技孵化器、中试平台合作，从企业端形成需求拉动，反向推动机构端采购。</w:t>
      </w:r>
    </w:p>
    <w:p w14:paraId="6B88C899">
      <w:pPr>
        <w:spacing w:before="0" w:after="120" w:line="360" w:lineRule="auto"/>
        <w:ind w:firstLine="480"/>
        <w:jc w:val="both"/>
      </w:pPr>
      <w:r>
        <w:rPr>
          <w:rFonts w:ascii="Times New Roman" w:hAnsi="Times New Roman" w:eastAsia="宋体"/>
          <w:b w:val="0"/>
          <w:i w:val="0"/>
          <w:sz w:val="24"/>
        </w:rPr>
        <w:t>渠道四：学术与行业会议。在金融科技、科技金融相关学术会议与行业论坛发布技术报告，建立专业认知度。</w:t>
      </w:r>
    </w:p>
    <w:p w14:paraId="4192D075">
      <w:pPr>
        <w:spacing w:before="200" w:after="120" w:line="336" w:lineRule="auto"/>
        <w:jc w:val="left"/>
        <w:outlineLvl w:val="1"/>
      </w:pPr>
      <w:bookmarkStart w:id="26" w:name="_Toc14939"/>
      <w:r>
        <w:rPr>
          <w:rFonts w:ascii="黑体" w:hAnsi="黑体" w:eastAsia="黑体"/>
          <w:b/>
          <w:i w:val="0"/>
          <w:color w:val="0A1730"/>
          <w:sz w:val="26"/>
        </w:rPr>
        <w:t>5.4 服务策略</w:t>
      </w:r>
      <w:bookmarkEnd w:id="26"/>
    </w:p>
    <w:p w14:paraId="4106B821">
      <w:pPr>
        <w:spacing w:before="0" w:after="120" w:line="360" w:lineRule="auto"/>
        <w:ind w:firstLine="480"/>
        <w:jc w:val="both"/>
      </w:pPr>
      <w:r>
        <w:rPr>
          <w:rFonts w:ascii="Times New Roman" w:hAnsi="Times New Roman" w:eastAsia="宋体"/>
          <w:b w:val="0"/>
          <w:i w:val="0"/>
          <w:sz w:val="24"/>
        </w:rPr>
        <w:t>建立"系统 + 专家 + 持续迭代"的三层服务体系：</w:t>
      </w:r>
    </w:p>
    <w:p w14:paraId="22AECD68">
      <w:pPr>
        <w:spacing w:before="0" w:after="60" w:line="360" w:lineRule="auto"/>
        <w:ind w:left="480"/>
        <w:jc w:val="left"/>
      </w:pPr>
      <w:r>
        <w:rPr>
          <w:rFonts w:ascii="Times New Roman" w:hAnsi="Times New Roman" w:eastAsia="宋体"/>
          <w:b w:val="0"/>
          <w:i w:val="0"/>
          <w:sz w:val="24"/>
        </w:rPr>
        <w:t>· 系统层：提供 7×24 在线服务与可视化操作界面，模型异常自动降级不中断。</w:t>
      </w:r>
    </w:p>
    <w:p w14:paraId="31284A74">
      <w:pPr>
        <w:spacing w:before="0" w:after="60" w:line="360" w:lineRule="auto"/>
        <w:ind w:left="480"/>
        <w:jc w:val="left"/>
      </w:pPr>
      <w:r>
        <w:rPr>
          <w:rFonts w:ascii="Times New Roman" w:hAnsi="Times New Roman" w:eastAsia="宋体"/>
          <w:b w:val="0"/>
          <w:i w:val="0"/>
          <w:sz w:val="24"/>
        </w:rPr>
        <w:t>· 专家层：配置"懂技术的金融人 + 懂数据的系统"双轮服务模式——平台输出量化结论，行业专家做人工复核与判断，避免纯黑箱决策。</w:t>
      </w:r>
    </w:p>
    <w:p w14:paraId="1BA76A70">
      <w:pPr>
        <w:spacing w:before="0" w:after="60" w:line="360" w:lineRule="auto"/>
        <w:ind w:left="480"/>
        <w:jc w:val="left"/>
      </w:pPr>
      <w:r>
        <w:rPr>
          <w:rFonts w:ascii="Times New Roman" w:hAnsi="Times New Roman" w:eastAsia="宋体"/>
          <w:b w:val="0"/>
          <w:i w:val="0"/>
          <w:sz w:val="24"/>
        </w:rPr>
        <w:t>· 迭代层：按季度更新模型与专利图谱数据；为每家机构维护专属的模型反馈闭环，用其真实业务数据持续优化（在授权与合规前提下）。</w:t>
      </w:r>
    </w:p>
    <w:p w14:paraId="0A3F70BE">
      <w:pPr>
        <w:spacing w:before="0" w:after="60" w:line="360" w:lineRule="auto"/>
        <w:ind w:left="480"/>
        <w:jc w:val="left"/>
      </w:pPr>
      <w:r>
        <w:rPr>
          <w:rFonts w:ascii="Times New Roman" w:hAnsi="Times New Roman" w:eastAsia="宋体"/>
          <w:b w:val="0"/>
          <w:i w:val="0"/>
          <w:sz w:val="24"/>
        </w:rPr>
        <w:t>· 培训层：为银行客户经理与风控人员提供模型原理与结果解读培训，降低使用门槛与组织阻力。</w:t>
      </w:r>
    </w:p>
    <w:p w14:paraId="129E2F31">
      <w:pPr>
        <w:spacing w:before="320" w:after="200" w:line="336" w:lineRule="auto"/>
        <w:jc w:val="left"/>
        <w:outlineLvl w:val="0"/>
      </w:pPr>
      <w:bookmarkStart w:id="27" w:name="_Toc18256"/>
      <w:r>
        <w:rPr>
          <w:rFonts w:ascii="黑体" w:hAnsi="黑体" w:eastAsia="黑体"/>
          <w:b/>
          <w:i w:val="0"/>
          <w:color w:val="0A1730"/>
          <w:sz w:val="30"/>
        </w:rPr>
        <w:t>六、风险分析与防范</w:t>
      </w:r>
      <w:bookmarkEnd w:id="27"/>
    </w:p>
    <w:p w14:paraId="6DCC466E">
      <w:pPr>
        <w:spacing w:before="200" w:after="120" w:line="336" w:lineRule="auto"/>
        <w:jc w:val="left"/>
        <w:outlineLvl w:val="1"/>
      </w:pPr>
      <w:bookmarkStart w:id="28" w:name="_Toc5984"/>
      <w:r>
        <w:rPr>
          <w:rFonts w:ascii="黑体" w:hAnsi="黑体" w:eastAsia="黑体"/>
          <w:b/>
          <w:i w:val="0"/>
          <w:color w:val="0A1730"/>
          <w:sz w:val="26"/>
        </w:rPr>
        <w:t>6.1 风险分析</w:t>
      </w:r>
      <w:bookmarkEnd w:id="28"/>
    </w:p>
    <w:p w14:paraId="653888A9">
      <w:pPr>
        <w:spacing w:before="160" w:after="80" w:line="336" w:lineRule="auto"/>
        <w:jc w:val="left"/>
        <w:outlineLvl w:val="2"/>
      </w:pPr>
      <w:r>
        <w:rPr>
          <w:rFonts w:ascii="黑体" w:hAnsi="黑体" w:eastAsia="黑体"/>
          <w:b/>
          <w:i w:val="0"/>
          <w:sz w:val="24"/>
        </w:rPr>
        <w:t>6.1.1 模型风险</w:t>
      </w:r>
    </w:p>
    <w:p w14:paraId="4298B983">
      <w:pPr>
        <w:spacing w:before="0" w:after="120" w:line="360" w:lineRule="auto"/>
        <w:ind w:firstLine="480"/>
        <w:jc w:val="both"/>
      </w:pPr>
      <w:r>
        <w:rPr>
          <w:rFonts w:ascii="Times New Roman" w:hAnsi="Times New Roman" w:eastAsia="宋体"/>
          <w:b w:val="0"/>
          <w:i w:val="0"/>
          <w:sz w:val="24"/>
        </w:rPr>
        <w:t>模型基于模拟数据与公开数据集训练，在真实客户数据上可能出现泛化性能下降；特征分布漂移（如行业结构变化、会计准则调整）会导致模型衰减；类别不平衡场景下（破产率 3.23%）的阈值选择直接影响误判成本。模型若被过度信任，可能放大信贷风险而非降低风险。</w:t>
      </w:r>
    </w:p>
    <w:p w14:paraId="6DD56388">
      <w:pPr>
        <w:spacing w:before="160" w:after="80" w:line="336" w:lineRule="auto"/>
        <w:jc w:val="left"/>
        <w:outlineLvl w:val="2"/>
      </w:pPr>
      <w:r>
        <w:rPr>
          <w:rFonts w:ascii="黑体" w:hAnsi="黑体" w:eastAsia="黑体"/>
          <w:b/>
          <w:i w:val="0"/>
          <w:sz w:val="24"/>
        </w:rPr>
        <w:t>6.1.2 数据与合规风险</w:t>
      </w:r>
    </w:p>
    <w:p w14:paraId="0AD331A9">
      <w:pPr>
        <w:spacing w:before="0" w:after="120" w:line="360" w:lineRule="auto"/>
        <w:ind w:firstLine="480"/>
        <w:jc w:val="both"/>
      </w:pPr>
      <w:r>
        <w:rPr>
          <w:rFonts w:ascii="Times New Roman" w:hAnsi="Times New Roman" w:eastAsia="宋体"/>
          <w:b w:val="0"/>
          <w:i w:val="0"/>
          <w:sz w:val="24"/>
        </w:rPr>
        <w:t>工商、知识产权、人才、财务数据的获取与使用涉及数据安全与个人信息保护的合规边界；专利与论文数据的时效性影响画像准确度；若数据来源授权链条不完整，存在合规瑕疵。此外，《个人信息保护法》《数据安全法》对金融数据的采集与使用有严格要求。</w:t>
      </w:r>
    </w:p>
    <w:p w14:paraId="71F4998A">
      <w:pPr>
        <w:spacing w:before="160" w:after="80" w:line="336" w:lineRule="auto"/>
        <w:jc w:val="left"/>
        <w:outlineLvl w:val="2"/>
      </w:pPr>
      <w:r>
        <w:rPr>
          <w:rFonts w:ascii="黑体" w:hAnsi="黑体" w:eastAsia="黑体"/>
          <w:b/>
          <w:i w:val="0"/>
          <w:sz w:val="24"/>
        </w:rPr>
        <w:t>6.1.3 业务与市场风险</w:t>
      </w:r>
    </w:p>
    <w:p w14:paraId="32AA2493">
      <w:pPr>
        <w:spacing w:before="0" w:after="120" w:line="360" w:lineRule="auto"/>
        <w:ind w:firstLine="480"/>
        <w:jc w:val="both"/>
      </w:pPr>
      <w:r>
        <w:rPr>
          <w:rFonts w:ascii="Times New Roman" w:hAnsi="Times New Roman" w:eastAsia="宋体"/>
          <w:b w:val="0"/>
          <w:i w:val="0"/>
          <w:sz w:val="24"/>
        </w:rPr>
        <w:t>银行自建同类系统会形成替代；机构对新生模型的接受周期长，采购决策链条复杂；学生团队在品牌知名度、企业资质方面处于劣势，面临客户合作门槛高、招投标中标难度大的问题；若银行信贷政策收紧或知识产权融资政策调整，市场需求可能波动。</w:t>
      </w:r>
    </w:p>
    <w:p w14:paraId="10EF5FA4">
      <w:pPr>
        <w:spacing w:before="160" w:after="80" w:line="336" w:lineRule="auto"/>
        <w:jc w:val="left"/>
        <w:outlineLvl w:val="2"/>
      </w:pPr>
      <w:r>
        <w:rPr>
          <w:rFonts w:ascii="黑体" w:hAnsi="黑体" w:eastAsia="黑体"/>
          <w:b/>
          <w:i w:val="0"/>
          <w:sz w:val="24"/>
        </w:rPr>
        <w:t>6.1.4 技术与工程风险</w:t>
      </w:r>
    </w:p>
    <w:p w14:paraId="718717AF">
      <w:pPr>
        <w:spacing w:before="0" w:after="120" w:line="360" w:lineRule="auto"/>
        <w:ind w:firstLine="480"/>
        <w:jc w:val="both"/>
      </w:pPr>
      <w:r>
        <w:rPr>
          <w:rFonts w:ascii="Times New Roman" w:hAnsi="Times New Roman" w:eastAsia="宋体"/>
          <w:b w:val="0"/>
          <w:i w:val="0"/>
          <w:sz w:val="24"/>
        </w:rPr>
        <w:t>模型服务可用性、推理时延、并发承载能力若不满足生产要求，会影响业务连续性；系统对接银行现有信贷系统的集成成本可能高于预期；第三方依赖（XGBoost、NetworkX、ECharts 等开源组件）存在版本与安全漏洞风险。</w:t>
      </w:r>
    </w:p>
    <w:p w14:paraId="1EDD0BAB">
      <w:pPr>
        <w:spacing w:before="160" w:after="80" w:line="336" w:lineRule="auto"/>
        <w:jc w:val="left"/>
        <w:outlineLvl w:val="2"/>
      </w:pPr>
      <w:r>
        <w:rPr>
          <w:rFonts w:ascii="黑体" w:hAnsi="黑体" w:eastAsia="黑体"/>
          <w:b/>
          <w:i w:val="0"/>
          <w:sz w:val="24"/>
        </w:rPr>
        <w:t>6.1.5 伦理与责任风险</w:t>
      </w:r>
    </w:p>
    <w:p w14:paraId="039DC80F">
      <w:pPr>
        <w:spacing w:before="0" w:after="120" w:line="360" w:lineRule="auto"/>
        <w:ind w:firstLine="480"/>
        <w:jc w:val="both"/>
      </w:pPr>
      <w:r>
        <w:rPr>
          <w:rFonts w:ascii="Times New Roman" w:hAnsi="Times New Roman" w:eastAsia="宋体"/>
          <w:b w:val="0"/>
          <w:i w:val="0"/>
          <w:sz w:val="24"/>
        </w:rPr>
        <w:t>算法若引入对特定行业、地区或企业规模的偏见，可能造成融资机会的不公平分配；模型结论在信贷决策中的责任归属尚无明确规则，一旦出现不良，责任界定存在争议。</w:t>
      </w:r>
    </w:p>
    <w:p w14:paraId="68E8F58D">
      <w:pPr>
        <w:spacing w:before="200" w:after="120" w:line="336" w:lineRule="auto"/>
        <w:jc w:val="left"/>
        <w:outlineLvl w:val="1"/>
      </w:pPr>
      <w:bookmarkStart w:id="29" w:name="_Toc9941"/>
      <w:r>
        <w:rPr>
          <w:rFonts w:ascii="黑体" w:hAnsi="黑体" w:eastAsia="黑体"/>
          <w:b/>
          <w:i w:val="0"/>
          <w:color w:val="0A1730"/>
          <w:sz w:val="26"/>
        </w:rPr>
        <w:t>6.2 防范对策</w:t>
      </w:r>
      <w:bookmarkEnd w:id="2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4252"/>
      </w:tblGrid>
      <w:tr w14:paraId="6DEE1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52D67C44">
            <w:pPr>
              <w:spacing w:before="40" w:after="40" w:line="300" w:lineRule="auto"/>
            </w:pPr>
            <w:r>
              <w:rPr>
                <w:rFonts w:ascii="黑体" w:hAnsi="黑体" w:eastAsia="黑体"/>
                <w:b/>
                <w:i w:val="0"/>
                <w:sz w:val="21"/>
              </w:rPr>
              <w:t>风险类型</w:t>
            </w:r>
          </w:p>
        </w:tc>
        <w:tc>
          <w:tcPr>
            <w:tcW w:w="4252" w:type="dxa"/>
          </w:tcPr>
          <w:p w14:paraId="70023025">
            <w:pPr>
              <w:spacing w:before="40" w:after="40" w:line="300" w:lineRule="auto"/>
            </w:pPr>
            <w:r>
              <w:rPr>
                <w:rFonts w:ascii="黑体" w:hAnsi="黑体" w:eastAsia="黑体"/>
                <w:b/>
                <w:i w:val="0"/>
                <w:sz w:val="21"/>
              </w:rPr>
              <w:t>防范对策</w:t>
            </w:r>
          </w:p>
        </w:tc>
      </w:tr>
      <w:tr w14:paraId="537BD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2E501792">
            <w:pPr>
              <w:spacing w:before="40" w:after="40" w:line="300" w:lineRule="auto"/>
            </w:pPr>
            <w:r>
              <w:rPr>
                <w:rFonts w:ascii="Times New Roman" w:hAnsi="Times New Roman" w:eastAsia="宋体"/>
                <w:b w:val="0"/>
                <w:i w:val="0"/>
                <w:sz w:val="21"/>
              </w:rPr>
              <w:t>模型风险</w:t>
            </w:r>
          </w:p>
        </w:tc>
        <w:tc>
          <w:tcPr>
            <w:tcW w:w="4252" w:type="dxa"/>
          </w:tcPr>
          <w:p w14:paraId="141BBACA">
            <w:pPr>
              <w:spacing w:before="40" w:after="40" w:line="300" w:lineRule="auto"/>
            </w:pPr>
            <w:r>
              <w:rPr>
                <w:rFonts w:ascii="Times New Roman" w:hAnsi="Times New Roman" w:eastAsia="宋体"/>
                <w:b w:val="0"/>
                <w:i w:val="0"/>
                <w:sz w:val="21"/>
              </w:rPr>
              <w:t>① 建立模型监控机制，持续跟踪特征漂移与性能衰减，设定预警阈值并定期重训；② 严格执行优雅降级，模型异常时回退规则公式并标注来源；③ 输出结果不直接作为授信唯一依据，定位为"决策参考 + 人工复核"；④ 在真实数据回测完成前，明确标注指标为模拟环境结果</w:t>
            </w:r>
          </w:p>
        </w:tc>
      </w:tr>
      <w:tr w14:paraId="2D599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1540B491">
            <w:pPr>
              <w:spacing w:before="40" w:after="40" w:line="300" w:lineRule="auto"/>
            </w:pPr>
            <w:r>
              <w:rPr>
                <w:rFonts w:ascii="Times New Roman" w:hAnsi="Times New Roman" w:eastAsia="宋体"/>
                <w:b w:val="0"/>
                <w:i w:val="0"/>
                <w:sz w:val="21"/>
              </w:rPr>
              <w:t>数据与合规风险</w:t>
            </w:r>
          </w:p>
        </w:tc>
        <w:tc>
          <w:tcPr>
            <w:tcW w:w="4252" w:type="dxa"/>
          </w:tcPr>
          <w:p w14:paraId="4905D95F">
            <w:pPr>
              <w:spacing w:before="40" w:after="40" w:line="300" w:lineRule="auto"/>
            </w:pPr>
            <w:r>
              <w:rPr>
                <w:rFonts w:ascii="Times New Roman" w:hAnsi="Times New Roman" w:eastAsia="宋体"/>
                <w:b w:val="0"/>
                <w:i w:val="0"/>
                <w:sz w:val="21"/>
              </w:rPr>
              <w:t>① 优先接入公开数据源；② 非公开数据采用"企业授权 + 数据不出域"模式；③ 全流程记录数据来源、使用范围与授权链条，满足审计追溯；④ 定期开展合规审查，跟进监管要求变化</w:t>
            </w:r>
          </w:p>
        </w:tc>
      </w:tr>
      <w:tr w14:paraId="5DDF6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757DF956">
            <w:pPr>
              <w:spacing w:before="40" w:after="40" w:line="300" w:lineRule="auto"/>
            </w:pPr>
            <w:r>
              <w:rPr>
                <w:rFonts w:ascii="Times New Roman" w:hAnsi="Times New Roman" w:eastAsia="宋体"/>
                <w:b w:val="0"/>
                <w:i w:val="0"/>
                <w:sz w:val="21"/>
              </w:rPr>
              <w:t>业务与市场风险</w:t>
            </w:r>
          </w:p>
        </w:tc>
        <w:tc>
          <w:tcPr>
            <w:tcW w:w="4252" w:type="dxa"/>
          </w:tcPr>
          <w:p w14:paraId="19182EAD">
            <w:pPr>
              <w:spacing w:before="40" w:after="40" w:line="300" w:lineRule="auto"/>
            </w:pPr>
            <w:r>
              <w:rPr>
                <w:rFonts w:ascii="Times New Roman" w:hAnsi="Times New Roman" w:eastAsia="宋体"/>
                <w:b w:val="0"/>
                <w:i w:val="0"/>
                <w:sz w:val="21"/>
              </w:rPr>
              <w:t>① 优先在政策试点地区切入，降低推广阻力；② 采取低门槛试点定价，以案例积累替代短期收益；③ 寻求与银行科技金融专营机构、产业园区的合作背书；④ 持续跟踪政策动向，及时调整赛道权重与产品配置</w:t>
            </w:r>
          </w:p>
        </w:tc>
      </w:tr>
      <w:tr w14:paraId="1F7D4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4F240FAA">
            <w:pPr>
              <w:spacing w:before="40" w:after="40" w:line="300" w:lineRule="auto"/>
            </w:pPr>
            <w:r>
              <w:rPr>
                <w:rFonts w:ascii="Times New Roman" w:hAnsi="Times New Roman" w:eastAsia="宋体"/>
                <w:b w:val="0"/>
                <w:i w:val="0"/>
                <w:sz w:val="21"/>
              </w:rPr>
              <w:t>技术与工程风险</w:t>
            </w:r>
          </w:p>
        </w:tc>
        <w:tc>
          <w:tcPr>
            <w:tcW w:w="4252" w:type="dxa"/>
          </w:tcPr>
          <w:p w14:paraId="2B3A2012">
            <w:pPr>
              <w:spacing w:before="40" w:after="40" w:line="300" w:lineRule="auto"/>
            </w:pPr>
            <w:r>
              <w:rPr>
                <w:rFonts w:ascii="Times New Roman" w:hAnsi="Times New Roman" w:eastAsia="宋体"/>
                <w:b w:val="0"/>
                <w:i w:val="0"/>
                <w:sz w:val="21"/>
              </w:rPr>
              <w:t>① 关键服务冗余部署，推理链路全链路监控与告警；② 采用四层解耦架构，降低集成成本；③ 固定依赖版本，定期安全扫描与升级；④ Redis 等可选组件降级不影响主流程</w:t>
            </w:r>
          </w:p>
        </w:tc>
      </w:tr>
      <w:tr w14:paraId="3CFA7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7BECF232">
            <w:pPr>
              <w:spacing w:before="40" w:after="40" w:line="300" w:lineRule="auto"/>
            </w:pPr>
            <w:r>
              <w:rPr>
                <w:rFonts w:ascii="Times New Roman" w:hAnsi="Times New Roman" w:eastAsia="宋体"/>
                <w:b w:val="0"/>
                <w:i w:val="0"/>
                <w:sz w:val="21"/>
              </w:rPr>
              <w:t>伦理与责任风险</w:t>
            </w:r>
          </w:p>
        </w:tc>
        <w:tc>
          <w:tcPr>
            <w:tcW w:w="4252" w:type="dxa"/>
          </w:tcPr>
          <w:p w14:paraId="3FC90A04">
            <w:pPr>
              <w:spacing w:before="40" w:after="40" w:line="300" w:lineRule="auto"/>
            </w:pPr>
            <w:r>
              <w:rPr>
                <w:rFonts w:ascii="Times New Roman" w:hAnsi="Times New Roman" w:eastAsia="宋体"/>
                <w:b w:val="0"/>
                <w:i w:val="0"/>
                <w:sz w:val="21"/>
              </w:rPr>
              <w:t>① 开展模型的公平性评估，检测对不同行业、规模、地区企业的系统性偏差；② 输出特征贡献度分解，保证逐笔可解释；③ 明确定位为辅助决策工具，保留人工复核环节与最终决策权归属；④ 建立模型使用的责任边界说明与用户协议</w:t>
            </w:r>
          </w:p>
        </w:tc>
      </w:tr>
    </w:tbl>
    <w:p w14:paraId="06750BB0">
      <w:pPr>
        <w:spacing w:after="80"/>
      </w:pPr>
    </w:p>
    <w:p w14:paraId="464C9AEF">
      <w:pPr>
        <w:spacing w:before="320" w:after="200" w:line="336" w:lineRule="auto"/>
        <w:jc w:val="left"/>
        <w:outlineLvl w:val="0"/>
      </w:pPr>
      <w:bookmarkStart w:id="30" w:name="_Toc3127"/>
      <w:r>
        <w:rPr>
          <w:rFonts w:ascii="黑体" w:hAnsi="黑体" w:eastAsia="黑体"/>
          <w:b/>
          <w:i w:val="0"/>
          <w:color w:val="0A1730"/>
          <w:sz w:val="30"/>
        </w:rPr>
        <w:t>七、财务分析与融资计划</w:t>
      </w:r>
      <w:bookmarkEnd w:id="30"/>
    </w:p>
    <w:p w14:paraId="1719512E">
      <w:pPr>
        <w:spacing w:before="0" w:after="120" w:line="336" w:lineRule="auto"/>
        <w:ind w:left="480"/>
        <w:jc w:val="left"/>
      </w:pPr>
      <w:r>
        <w:rPr>
          <w:rFonts w:ascii="Times New Roman" w:hAnsi="Times New Roman" w:eastAsia="宋体"/>
          <w:b w:val="0"/>
          <w:i w:val="0"/>
          <w:color w:val="555555"/>
          <w:sz w:val="22"/>
        </w:rPr>
        <w:t>重要说明：本项目目前为演示型产品原型，尚无真实投放金额与客户运营数据。本章所有财务数字均为团队基于公开数据与行业通行水平的测算与假设，不构成实际业绩陈述，仅供评审参考。</w:t>
      </w:r>
    </w:p>
    <w:p w14:paraId="56CD7969">
      <w:pPr>
        <w:spacing w:before="200" w:after="120" w:line="336" w:lineRule="auto"/>
        <w:jc w:val="left"/>
        <w:outlineLvl w:val="1"/>
      </w:pPr>
      <w:bookmarkStart w:id="31" w:name="_Toc10430"/>
      <w:r>
        <w:rPr>
          <w:rFonts w:ascii="黑体" w:hAnsi="黑体" w:eastAsia="黑体"/>
          <w:b/>
          <w:i w:val="0"/>
          <w:color w:val="0A1730"/>
          <w:sz w:val="26"/>
        </w:rPr>
        <w:t>7.1 成本分析</w:t>
      </w:r>
      <w:bookmarkEnd w:id="31"/>
    </w:p>
    <w:p w14:paraId="7712F1CB">
      <w:pPr>
        <w:spacing w:before="0" w:after="120" w:line="360" w:lineRule="auto"/>
        <w:ind w:firstLine="480"/>
        <w:jc w:val="both"/>
      </w:pPr>
      <w:r>
        <w:rPr>
          <w:rFonts w:ascii="Times New Roman" w:hAnsi="Times New Roman" w:eastAsia="宋体"/>
          <w:b w:val="0"/>
          <w:i w:val="0"/>
          <w:sz w:val="24"/>
        </w:rPr>
        <w:t>按年度测算（单位：万元，均为假设测算值）：</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gridCol w:w="1701"/>
        <w:gridCol w:w="1701"/>
      </w:tblGrid>
      <w:tr w14:paraId="75EB1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1AAD8AF">
            <w:pPr>
              <w:spacing w:before="40" w:after="40" w:line="300" w:lineRule="auto"/>
            </w:pPr>
            <w:r>
              <w:rPr>
                <w:rFonts w:ascii="黑体" w:hAnsi="黑体" w:eastAsia="黑体"/>
                <w:b/>
                <w:i w:val="0"/>
                <w:sz w:val="21"/>
              </w:rPr>
              <w:t>成本项</w:t>
            </w:r>
          </w:p>
        </w:tc>
        <w:tc>
          <w:tcPr>
            <w:tcW w:w="1701" w:type="dxa"/>
          </w:tcPr>
          <w:p w14:paraId="17AEC45F">
            <w:pPr>
              <w:spacing w:before="40" w:after="40" w:line="300" w:lineRule="auto"/>
            </w:pPr>
            <w:r>
              <w:rPr>
                <w:rFonts w:ascii="黑体" w:hAnsi="黑体" w:eastAsia="黑体"/>
                <w:b/>
                <w:i w:val="0"/>
                <w:sz w:val="21"/>
              </w:rPr>
              <w:t>第 1 年</w:t>
            </w:r>
          </w:p>
        </w:tc>
        <w:tc>
          <w:tcPr>
            <w:tcW w:w="1701" w:type="dxa"/>
          </w:tcPr>
          <w:p w14:paraId="46E99CB5">
            <w:pPr>
              <w:spacing w:before="40" w:after="40" w:line="300" w:lineRule="auto"/>
            </w:pPr>
            <w:r>
              <w:rPr>
                <w:rFonts w:ascii="黑体" w:hAnsi="黑体" w:eastAsia="黑体"/>
                <w:b/>
                <w:i w:val="0"/>
                <w:sz w:val="21"/>
              </w:rPr>
              <w:t>第 2 年</w:t>
            </w:r>
          </w:p>
        </w:tc>
        <w:tc>
          <w:tcPr>
            <w:tcW w:w="1701" w:type="dxa"/>
          </w:tcPr>
          <w:p w14:paraId="2B526A55">
            <w:pPr>
              <w:spacing w:before="40" w:after="40" w:line="300" w:lineRule="auto"/>
            </w:pPr>
            <w:r>
              <w:rPr>
                <w:rFonts w:ascii="黑体" w:hAnsi="黑体" w:eastAsia="黑体"/>
                <w:b/>
                <w:i w:val="0"/>
                <w:sz w:val="21"/>
              </w:rPr>
              <w:t>第 3 年</w:t>
            </w:r>
          </w:p>
        </w:tc>
        <w:tc>
          <w:tcPr>
            <w:tcW w:w="1701" w:type="dxa"/>
          </w:tcPr>
          <w:p w14:paraId="41FEDB10">
            <w:pPr>
              <w:spacing w:before="40" w:after="40" w:line="300" w:lineRule="auto"/>
            </w:pPr>
            <w:r>
              <w:rPr>
                <w:rFonts w:ascii="黑体" w:hAnsi="黑体" w:eastAsia="黑体"/>
                <w:b/>
                <w:i w:val="0"/>
                <w:sz w:val="21"/>
              </w:rPr>
              <w:t>说明</w:t>
            </w:r>
          </w:p>
        </w:tc>
      </w:tr>
      <w:tr w14:paraId="76475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5ED1326">
            <w:pPr>
              <w:spacing w:before="40" w:after="40" w:line="300" w:lineRule="auto"/>
            </w:pPr>
            <w:r>
              <w:rPr>
                <w:rFonts w:ascii="Times New Roman" w:hAnsi="Times New Roman" w:eastAsia="宋体"/>
                <w:b w:val="0"/>
                <w:i w:val="0"/>
                <w:sz w:val="21"/>
              </w:rPr>
              <w:t>人力成本</w:t>
            </w:r>
          </w:p>
        </w:tc>
        <w:tc>
          <w:tcPr>
            <w:tcW w:w="1701" w:type="dxa"/>
          </w:tcPr>
          <w:p w14:paraId="449DF2A8">
            <w:pPr>
              <w:spacing w:before="40" w:after="40" w:line="300" w:lineRule="auto"/>
            </w:pPr>
            <w:r>
              <w:rPr>
                <w:rFonts w:ascii="Times New Roman" w:hAnsi="Times New Roman" w:eastAsia="宋体"/>
                <w:b w:val="0"/>
                <w:i w:val="0"/>
                <w:sz w:val="21"/>
              </w:rPr>
              <w:t>96</w:t>
            </w:r>
          </w:p>
        </w:tc>
        <w:tc>
          <w:tcPr>
            <w:tcW w:w="1701" w:type="dxa"/>
          </w:tcPr>
          <w:p w14:paraId="703883DA">
            <w:pPr>
              <w:spacing w:before="40" w:after="40" w:line="300" w:lineRule="auto"/>
            </w:pPr>
            <w:r>
              <w:rPr>
                <w:rFonts w:ascii="Times New Roman" w:hAnsi="Times New Roman" w:eastAsia="宋体"/>
                <w:b w:val="0"/>
                <w:i w:val="0"/>
                <w:sz w:val="21"/>
              </w:rPr>
              <w:t>180</w:t>
            </w:r>
          </w:p>
        </w:tc>
        <w:tc>
          <w:tcPr>
            <w:tcW w:w="1701" w:type="dxa"/>
          </w:tcPr>
          <w:p w14:paraId="65754080">
            <w:pPr>
              <w:spacing w:before="40" w:after="40" w:line="300" w:lineRule="auto"/>
            </w:pPr>
            <w:r>
              <w:rPr>
                <w:rFonts w:ascii="Times New Roman" w:hAnsi="Times New Roman" w:eastAsia="宋体"/>
                <w:b w:val="0"/>
                <w:i w:val="0"/>
                <w:sz w:val="21"/>
              </w:rPr>
              <w:t>288</w:t>
            </w:r>
          </w:p>
        </w:tc>
        <w:tc>
          <w:tcPr>
            <w:tcW w:w="1701" w:type="dxa"/>
          </w:tcPr>
          <w:p w14:paraId="46B21673">
            <w:pPr>
              <w:spacing w:before="40" w:after="40" w:line="300" w:lineRule="auto"/>
            </w:pPr>
            <w:r>
              <w:rPr>
                <w:rFonts w:ascii="Times New Roman" w:hAnsi="Times New Roman" w:eastAsia="宋体"/>
                <w:b w:val="0"/>
                <w:i w:val="0"/>
                <w:sz w:val="21"/>
              </w:rPr>
              <w:t>第 1 年 8 人，第 3 年扩至 18 人，含算法、工程、交付</w:t>
            </w:r>
          </w:p>
        </w:tc>
      </w:tr>
      <w:tr w14:paraId="4B781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FAD0DC2">
            <w:pPr>
              <w:spacing w:before="40" w:after="40" w:line="300" w:lineRule="auto"/>
            </w:pPr>
            <w:r>
              <w:rPr>
                <w:rFonts w:ascii="Times New Roman" w:hAnsi="Times New Roman" w:eastAsia="宋体"/>
                <w:b w:val="0"/>
                <w:i w:val="0"/>
                <w:sz w:val="21"/>
              </w:rPr>
              <w:t>数据采购与算力</w:t>
            </w:r>
          </w:p>
        </w:tc>
        <w:tc>
          <w:tcPr>
            <w:tcW w:w="1701" w:type="dxa"/>
          </w:tcPr>
          <w:p w14:paraId="7BBFFC4B">
            <w:pPr>
              <w:spacing w:before="40" w:after="40" w:line="300" w:lineRule="auto"/>
            </w:pPr>
            <w:r>
              <w:rPr>
                <w:rFonts w:ascii="Times New Roman" w:hAnsi="Times New Roman" w:eastAsia="宋体"/>
                <w:b w:val="0"/>
                <w:i w:val="0"/>
                <w:sz w:val="21"/>
              </w:rPr>
              <w:t>24</w:t>
            </w:r>
          </w:p>
        </w:tc>
        <w:tc>
          <w:tcPr>
            <w:tcW w:w="1701" w:type="dxa"/>
          </w:tcPr>
          <w:p w14:paraId="322C07C7">
            <w:pPr>
              <w:spacing w:before="40" w:after="40" w:line="300" w:lineRule="auto"/>
            </w:pPr>
            <w:r>
              <w:rPr>
                <w:rFonts w:ascii="Times New Roman" w:hAnsi="Times New Roman" w:eastAsia="宋体"/>
                <w:b w:val="0"/>
                <w:i w:val="0"/>
                <w:sz w:val="21"/>
              </w:rPr>
              <w:t>48</w:t>
            </w:r>
          </w:p>
        </w:tc>
        <w:tc>
          <w:tcPr>
            <w:tcW w:w="1701" w:type="dxa"/>
          </w:tcPr>
          <w:p w14:paraId="7CACDEF4">
            <w:pPr>
              <w:spacing w:before="40" w:after="40" w:line="300" w:lineRule="auto"/>
            </w:pPr>
            <w:r>
              <w:rPr>
                <w:rFonts w:ascii="Times New Roman" w:hAnsi="Times New Roman" w:eastAsia="宋体"/>
                <w:b w:val="0"/>
                <w:i w:val="0"/>
                <w:sz w:val="21"/>
              </w:rPr>
              <w:t>72</w:t>
            </w:r>
          </w:p>
        </w:tc>
        <w:tc>
          <w:tcPr>
            <w:tcW w:w="1701" w:type="dxa"/>
          </w:tcPr>
          <w:p w14:paraId="41D36C4A">
            <w:pPr>
              <w:spacing w:before="40" w:after="40" w:line="300" w:lineRule="auto"/>
            </w:pPr>
            <w:r>
              <w:rPr>
                <w:rFonts w:ascii="Times New Roman" w:hAnsi="Times New Roman" w:eastAsia="宋体"/>
                <w:b w:val="0"/>
                <w:i w:val="0"/>
                <w:sz w:val="21"/>
              </w:rPr>
              <w:t>专利数据、工商数据、云服务与 GPU 算力</w:t>
            </w:r>
          </w:p>
        </w:tc>
      </w:tr>
      <w:tr w14:paraId="0DBCE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7A3FA88">
            <w:pPr>
              <w:spacing w:before="40" w:after="40" w:line="300" w:lineRule="auto"/>
            </w:pPr>
            <w:r>
              <w:rPr>
                <w:rFonts w:ascii="Times New Roman" w:hAnsi="Times New Roman" w:eastAsia="宋体"/>
                <w:b w:val="0"/>
                <w:i w:val="0"/>
                <w:sz w:val="21"/>
              </w:rPr>
              <w:t>研发与测试</w:t>
            </w:r>
          </w:p>
        </w:tc>
        <w:tc>
          <w:tcPr>
            <w:tcW w:w="1701" w:type="dxa"/>
          </w:tcPr>
          <w:p w14:paraId="130ED25E">
            <w:pPr>
              <w:spacing w:before="40" w:after="40" w:line="300" w:lineRule="auto"/>
            </w:pPr>
            <w:r>
              <w:rPr>
                <w:rFonts w:ascii="Times New Roman" w:hAnsi="Times New Roman" w:eastAsia="宋体"/>
                <w:b w:val="0"/>
                <w:i w:val="0"/>
                <w:sz w:val="21"/>
              </w:rPr>
              <w:t>18</w:t>
            </w:r>
          </w:p>
        </w:tc>
        <w:tc>
          <w:tcPr>
            <w:tcW w:w="1701" w:type="dxa"/>
          </w:tcPr>
          <w:p w14:paraId="3C5A9B17">
            <w:pPr>
              <w:spacing w:before="40" w:after="40" w:line="300" w:lineRule="auto"/>
            </w:pPr>
            <w:r>
              <w:rPr>
                <w:rFonts w:ascii="Times New Roman" w:hAnsi="Times New Roman" w:eastAsia="宋体"/>
                <w:b w:val="0"/>
                <w:i w:val="0"/>
                <w:sz w:val="21"/>
              </w:rPr>
              <w:t>30</w:t>
            </w:r>
          </w:p>
        </w:tc>
        <w:tc>
          <w:tcPr>
            <w:tcW w:w="1701" w:type="dxa"/>
          </w:tcPr>
          <w:p w14:paraId="0BB220FF">
            <w:pPr>
              <w:spacing w:before="40" w:after="40" w:line="300" w:lineRule="auto"/>
            </w:pPr>
            <w:r>
              <w:rPr>
                <w:rFonts w:ascii="Times New Roman" w:hAnsi="Times New Roman" w:eastAsia="宋体"/>
                <w:b w:val="0"/>
                <w:i w:val="0"/>
                <w:sz w:val="21"/>
              </w:rPr>
              <w:t>42</w:t>
            </w:r>
          </w:p>
        </w:tc>
        <w:tc>
          <w:tcPr>
            <w:tcW w:w="1701" w:type="dxa"/>
          </w:tcPr>
          <w:p w14:paraId="1E036707">
            <w:pPr>
              <w:spacing w:before="40" w:after="40" w:line="300" w:lineRule="auto"/>
            </w:pPr>
            <w:r>
              <w:rPr>
                <w:rFonts w:ascii="Times New Roman" w:hAnsi="Times New Roman" w:eastAsia="宋体"/>
                <w:b w:val="0"/>
                <w:i w:val="0"/>
                <w:sz w:val="21"/>
              </w:rPr>
              <w:t>模型迭代、安全测试、第三方测评</w:t>
            </w:r>
          </w:p>
        </w:tc>
      </w:tr>
      <w:tr w14:paraId="4CF91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FFB8C62">
            <w:pPr>
              <w:spacing w:before="40" w:after="40" w:line="300" w:lineRule="auto"/>
            </w:pPr>
            <w:r>
              <w:rPr>
                <w:rFonts w:ascii="Times New Roman" w:hAnsi="Times New Roman" w:eastAsia="宋体"/>
                <w:b w:val="0"/>
                <w:i w:val="0"/>
                <w:sz w:val="21"/>
              </w:rPr>
              <w:t>市场与推广</w:t>
            </w:r>
          </w:p>
        </w:tc>
        <w:tc>
          <w:tcPr>
            <w:tcW w:w="1701" w:type="dxa"/>
          </w:tcPr>
          <w:p w14:paraId="07F39E8D">
            <w:pPr>
              <w:spacing w:before="40" w:after="40" w:line="300" w:lineRule="auto"/>
            </w:pPr>
            <w:r>
              <w:rPr>
                <w:rFonts w:ascii="Times New Roman" w:hAnsi="Times New Roman" w:eastAsia="宋体"/>
                <w:b w:val="0"/>
                <w:i w:val="0"/>
                <w:sz w:val="21"/>
              </w:rPr>
              <w:t>12</w:t>
            </w:r>
          </w:p>
        </w:tc>
        <w:tc>
          <w:tcPr>
            <w:tcW w:w="1701" w:type="dxa"/>
          </w:tcPr>
          <w:p w14:paraId="731FD1EC">
            <w:pPr>
              <w:spacing w:before="40" w:after="40" w:line="300" w:lineRule="auto"/>
            </w:pPr>
            <w:r>
              <w:rPr>
                <w:rFonts w:ascii="Times New Roman" w:hAnsi="Times New Roman" w:eastAsia="宋体"/>
                <w:b w:val="0"/>
                <w:i w:val="0"/>
                <w:sz w:val="21"/>
              </w:rPr>
              <w:t>36</w:t>
            </w:r>
          </w:p>
        </w:tc>
        <w:tc>
          <w:tcPr>
            <w:tcW w:w="1701" w:type="dxa"/>
          </w:tcPr>
          <w:p w14:paraId="2730669C">
            <w:pPr>
              <w:spacing w:before="40" w:after="40" w:line="300" w:lineRule="auto"/>
            </w:pPr>
            <w:r>
              <w:rPr>
                <w:rFonts w:ascii="Times New Roman" w:hAnsi="Times New Roman" w:eastAsia="宋体"/>
                <w:b w:val="0"/>
                <w:i w:val="0"/>
                <w:sz w:val="21"/>
              </w:rPr>
              <w:t>60</w:t>
            </w:r>
          </w:p>
        </w:tc>
        <w:tc>
          <w:tcPr>
            <w:tcW w:w="1701" w:type="dxa"/>
          </w:tcPr>
          <w:p w14:paraId="0ABBFD4B">
            <w:pPr>
              <w:spacing w:before="40" w:after="40" w:line="300" w:lineRule="auto"/>
            </w:pPr>
            <w:r>
              <w:rPr>
                <w:rFonts w:ascii="Times New Roman" w:hAnsi="Times New Roman" w:eastAsia="宋体"/>
                <w:b w:val="0"/>
                <w:i w:val="0"/>
                <w:sz w:val="21"/>
              </w:rPr>
              <w:t>试点拓展、行业会议、案例打造</w:t>
            </w:r>
          </w:p>
        </w:tc>
      </w:tr>
      <w:tr w14:paraId="0FA0B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00CBFCB">
            <w:pPr>
              <w:spacing w:before="40" w:after="40" w:line="300" w:lineRule="auto"/>
            </w:pPr>
            <w:r>
              <w:rPr>
                <w:rFonts w:ascii="Times New Roman" w:hAnsi="Times New Roman" w:eastAsia="宋体"/>
                <w:b w:val="0"/>
                <w:i w:val="0"/>
                <w:sz w:val="21"/>
              </w:rPr>
              <w:t>办公与管理</w:t>
            </w:r>
          </w:p>
        </w:tc>
        <w:tc>
          <w:tcPr>
            <w:tcW w:w="1701" w:type="dxa"/>
          </w:tcPr>
          <w:p w14:paraId="7DB79F26">
            <w:pPr>
              <w:spacing w:before="40" w:after="40" w:line="300" w:lineRule="auto"/>
            </w:pPr>
            <w:r>
              <w:rPr>
                <w:rFonts w:ascii="Times New Roman" w:hAnsi="Times New Roman" w:eastAsia="宋体"/>
                <w:b w:val="0"/>
                <w:i w:val="0"/>
                <w:sz w:val="21"/>
              </w:rPr>
              <w:t>12</w:t>
            </w:r>
          </w:p>
        </w:tc>
        <w:tc>
          <w:tcPr>
            <w:tcW w:w="1701" w:type="dxa"/>
          </w:tcPr>
          <w:p w14:paraId="628DB535">
            <w:pPr>
              <w:spacing w:before="40" w:after="40" w:line="300" w:lineRule="auto"/>
            </w:pPr>
            <w:r>
              <w:rPr>
                <w:rFonts w:ascii="Times New Roman" w:hAnsi="Times New Roman" w:eastAsia="宋体"/>
                <w:b w:val="0"/>
                <w:i w:val="0"/>
                <w:sz w:val="21"/>
              </w:rPr>
              <w:t>20</w:t>
            </w:r>
          </w:p>
        </w:tc>
        <w:tc>
          <w:tcPr>
            <w:tcW w:w="1701" w:type="dxa"/>
          </w:tcPr>
          <w:p w14:paraId="76F5EAD3">
            <w:pPr>
              <w:spacing w:before="40" w:after="40" w:line="300" w:lineRule="auto"/>
            </w:pPr>
            <w:r>
              <w:rPr>
                <w:rFonts w:ascii="Times New Roman" w:hAnsi="Times New Roman" w:eastAsia="宋体"/>
                <w:b w:val="0"/>
                <w:i w:val="0"/>
                <w:sz w:val="21"/>
              </w:rPr>
              <w:t>30</w:t>
            </w:r>
          </w:p>
        </w:tc>
        <w:tc>
          <w:tcPr>
            <w:tcW w:w="1701" w:type="dxa"/>
          </w:tcPr>
          <w:p w14:paraId="4427654E">
            <w:pPr>
              <w:spacing w:before="40" w:after="40" w:line="300" w:lineRule="auto"/>
            </w:pPr>
            <w:r>
              <w:rPr>
                <w:rFonts w:ascii="Times New Roman" w:hAnsi="Times New Roman" w:eastAsia="宋体"/>
                <w:b w:val="0"/>
                <w:i w:val="0"/>
                <w:sz w:val="21"/>
              </w:rPr>
              <w:t>场地、行政、法务与合规咨询</w:t>
            </w:r>
          </w:p>
        </w:tc>
      </w:tr>
      <w:tr w14:paraId="7C7E4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17949B1">
            <w:pPr>
              <w:spacing w:before="40" w:after="40" w:line="300" w:lineRule="auto"/>
            </w:pPr>
            <w:r>
              <w:rPr>
                <w:rFonts w:ascii="Times New Roman" w:hAnsi="Times New Roman" w:eastAsia="宋体"/>
                <w:b w:val="0"/>
                <w:i w:val="0"/>
                <w:sz w:val="21"/>
              </w:rPr>
              <w:t>合计</w:t>
            </w:r>
          </w:p>
        </w:tc>
        <w:tc>
          <w:tcPr>
            <w:tcW w:w="1701" w:type="dxa"/>
          </w:tcPr>
          <w:p w14:paraId="78CA47A8">
            <w:pPr>
              <w:spacing w:before="40" w:after="40" w:line="300" w:lineRule="auto"/>
            </w:pPr>
            <w:r>
              <w:rPr>
                <w:rFonts w:ascii="Times New Roman" w:hAnsi="Times New Roman" w:eastAsia="宋体"/>
                <w:b w:val="0"/>
                <w:i w:val="0"/>
                <w:sz w:val="21"/>
              </w:rPr>
              <w:t>162</w:t>
            </w:r>
          </w:p>
        </w:tc>
        <w:tc>
          <w:tcPr>
            <w:tcW w:w="1701" w:type="dxa"/>
          </w:tcPr>
          <w:p w14:paraId="5A4B163C">
            <w:pPr>
              <w:spacing w:before="40" w:after="40" w:line="300" w:lineRule="auto"/>
            </w:pPr>
            <w:r>
              <w:rPr>
                <w:rFonts w:ascii="Times New Roman" w:hAnsi="Times New Roman" w:eastAsia="宋体"/>
                <w:b w:val="0"/>
                <w:i w:val="0"/>
                <w:sz w:val="21"/>
              </w:rPr>
              <w:t>314</w:t>
            </w:r>
          </w:p>
        </w:tc>
        <w:tc>
          <w:tcPr>
            <w:tcW w:w="1701" w:type="dxa"/>
          </w:tcPr>
          <w:p w14:paraId="06F411F2">
            <w:pPr>
              <w:spacing w:before="40" w:after="40" w:line="300" w:lineRule="auto"/>
            </w:pPr>
            <w:r>
              <w:rPr>
                <w:rFonts w:ascii="Times New Roman" w:hAnsi="Times New Roman" w:eastAsia="宋体"/>
                <w:b w:val="0"/>
                <w:i w:val="0"/>
                <w:sz w:val="21"/>
              </w:rPr>
              <w:t>492</w:t>
            </w:r>
          </w:p>
        </w:tc>
        <w:tc>
          <w:tcPr>
            <w:tcW w:w="1701" w:type="dxa"/>
          </w:tcPr>
          <w:p w14:paraId="632178AE">
            <w:pPr>
              <w:spacing w:before="40" w:after="40" w:line="300" w:lineRule="auto"/>
            </w:pPr>
          </w:p>
        </w:tc>
      </w:tr>
    </w:tbl>
    <w:p w14:paraId="6705298F">
      <w:pPr>
        <w:spacing w:after="80"/>
      </w:pPr>
    </w:p>
    <w:p w14:paraId="70ED8D88">
      <w:pPr>
        <w:spacing w:before="200" w:after="120" w:line="336" w:lineRule="auto"/>
        <w:jc w:val="left"/>
        <w:outlineLvl w:val="1"/>
      </w:pPr>
      <w:bookmarkStart w:id="32" w:name="_Toc5460"/>
      <w:r>
        <w:rPr>
          <w:rFonts w:ascii="黑体" w:hAnsi="黑体" w:eastAsia="黑体"/>
          <w:b/>
          <w:i w:val="0"/>
          <w:color w:val="0A1730"/>
          <w:sz w:val="26"/>
        </w:rPr>
        <w:t>7.2 赢利点分析</w:t>
      </w:r>
      <w:bookmarkEnd w:id="32"/>
    </w:p>
    <w:p w14:paraId="65810386">
      <w:pPr>
        <w:spacing w:before="0" w:after="120" w:line="360" w:lineRule="auto"/>
        <w:ind w:firstLine="480"/>
        <w:jc w:val="both"/>
      </w:pPr>
      <w:r>
        <w:rPr>
          <w:rFonts w:ascii="Times New Roman" w:hAnsi="Times New Roman" w:eastAsia="宋体"/>
          <w:b w:val="0"/>
          <w:i w:val="0"/>
          <w:sz w:val="24"/>
        </w:rPr>
        <w:t>平台设计了四条收入线：</w:t>
      </w:r>
    </w:p>
    <w:p w14:paraId="1537497F">
      <w:pPr>
        <w:spacing w:before="0" w:after="60" w:line="360" w:lineRule="auto"/>
        <w:ind w:left="480"/>
        <w:jc w:val="left"/>
      </w:pPr>
      <w:r>
        <w:rPr>
          <w:rFonts w:ascii="Times New Roman" w:hAnsi="Times New Roman" w:eastAsia="宋体"/>
          <w:b w:val="0"/>
          <w:i w:val="0"/>
          <w:sz w:val="24"/>
        </w:rPr>
        <w:t>1. 系统许可费：私有化部署的一次性实施费 + 年度许可费，面向银行科技金融专营机构，客单价较高、周期较长。</w:t>
      </w:r>
    </w:p>
    <w:p w14:paraId="6EFF1634">
      <w:pPr>
        <w:spacing w:before="0" w:after="60" w:line="360" w:lineRule="auto"/>
        <w:ind w:left="480"/>
        <w:jc w:val="left"/>
      </w:pPr>
      <w:r>
        <w:rPr>
          <w:rFonts w:ascii="Times New Roman" w:hAnsi="Times New Roman" w:eastAsia="宋体"/>
          <w:b w:val="0"/>
          <w:i w:val="0"/>
          <w:sz w:val="24"/>
        </w:rPr>
        <w:t>2. SaaS 订阅费：面向中小银行、创投与保险机构，按年订阅、按接入企业数分档计价，现金流稳定。</w:t>
      </w:r>
    </w:p>
    <w:p w14:paraId="596ACF13">
      <w:pPr>
        <w:spacing w:before="0" w:after="60" w:line="360" w:lineRule="auto"/>
        <w:ind w:left="480"/>
        <w:jc w:val="left"/>
      </w:pPr>
      <w:r>
        <w:rPr>
          <w:rFonts w:ascii="Times New Roman" w:hAnsi="Times New Roman" w:eastAsia="宋体"/>
          <w:b w:val="0"/>
          <w:i w:val="0"/>
          <w:sz w:val="24"/>
        </w:rPr>
        <w:t>3. API 调用服务费：面向已有信贷系统的增量集成，按调用量计费，边际成本低。</w:t>
      </w:r>
    </w:p>
    <w:p w14:paraId="628727E3">
      <w:pPr>
        <w:spacing w:before="0" w:after="60" w:line="360" w:lineRule="auto"/>
        <w:ind w:left="480"/>
        <w:jc w:val="left"/>
      </w:pPr>
      <w:r>
        <w:rPr>
          <w:rFonts w:ascii="Times New Roman" w:hAnsi="Times New Roman" w:eastAsia="宋体"/>
          <w:b w:val="0"/>
          <w:i w:val="0"/>
          <w:sz w:val="24"/>
        </w:rPr>
        <w:t>4. 增量成效服务费：对通过平台促成的新增授信按金额收取技术服务费，与客户成效绑定，天花板较高。</w:t>
      </w:r>
    </w:p>
    <w:p w14:paraId="2333EB53">
      <w:pPr>
        <w:spacing w:before="0" w:after="120" w:line="360" w:lineRule="auto"/>
        <w:ind w:firstLine="480"/>
        <w:jc w:val="both"/>
      </w:pPr>
      <w:r>
        <w:rPr>
          <w:rFonts w:ascii="Times New Roman" w:hAnsi="Times New Roman" w:eastAsia="宋体"/>
          <w:b w:val="0"/>
          <w:i w:val="0"/>
          <w:sz w:val="24"/>
        </w:rPr>
        <w:t>此外，数据增值服务（行业技术图谱、专利影响力榜单）与培训咨询构成补充收入。</w:t>
      </w:r>
    </w:p>
    <w:p w14:paraId="07353763">
      <w:pPr>
        <w:spacing w:before="200" w:after="120" w:line="336" w:lineRule="auto"/>
        <w:jc w:val="left"/>
        <w:outlineLvl w:val="1"/>
      </w:pPr>
      <w:bookmarkStart w:id="33" w:name="_Toc20608"/>
      <w:r>
        <w:rPr>
          <w:rFonts w:ascii="黑体" w:hAnsi="黑体" w:eastAsia="黑体"/>
          <w:b/>
          <w:i w:val="0"/>
          <w:color w:val="0A1730"/>
          <w:sz w:val="26"/>
        </w:rPr>
        <w:t>7.3 收益分析</w:t>
      </w:r>
      <w:bookmarkEnd w:id="33"/>
    </w:p>
    <w:p w14:paraId="3948B23A">
      <w:pPr>
        <w:spacing w:before="0" w:after="120" w:line="360" w:lineRule="auto"/>
        <w:ind w:firstLine="480"/>
        <w:jc w:val="both"/>
      </w:pPr>
      <w:r>
        <w:rPr>
          <w:rFonts w:ascii="Times New Roman" w:hAnsi="Times New Roman" w:eastAsia="宋体"/>
          <w:b w:val="0"/>
          <w:i w:val="0"/>
          <w:sz w:val="24"/>
        </w:rPr>
        <w:t>按保守情景测算（单位：万元，均为假设测算值）：</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54C4F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1E8FC294">
            <w:pPr>
              <w:spacing w:before="40" w:after="40" w:line="300" w:lineRule="auto"/>
            </w:pPr>
            <w:r>
              <w:rPr>
                <w:rFonts w:ascii="黑体" w:hAnsi="黑体" w:eastAsia="黑体"/>
                <w:b/>
                <w:i w:val="0"/>
                <w:sz w:val="21"/>
              </w:rPr>
              <w:t>项目</w:t>
            </w:r>
          </w:p>
        </w:tc>
        <w:tc>
          <w:tcPr>
            <w:tcW w:w="2126" w:type="dxa"/>
          </w:tcPr>
          <w:p w14:paraId="424C750F">
            <w:pPr>
              <w:spacing w:before="40" w:after="40" w:line="300" w:lineRule="auto"/>
            </w:pPr>
            <w:r>
              <w:rPr>
                <w:rFonts w:ascii="黑体" w:hAnsi="黑体" w:eastAsia="黑体"/>
                <w:b/>
                <w:i w:val="0"/>
                <w:sz w:val="21"/>
              </w:rPr>
              <w:t>第 1 年</w:t>
            </w:r>
          </w:p>
        </w:tc>
        <w:tc>
          <w:tcPr>
            <w:tcW w:w="2126" w:type="dxa"/>
          </w:tcPr>
          <w:p w14:paraId="1722FA4F">
            <w:pPr>
              <w:spacing w:before="40" w:after="40" w:line="300" w:lineRule="auto"/>
            </w:pPr>
            <w:r>
              <w:rPr>
                <w:rFonts w:ascii="黑体" w:hAnsi="黑体" w:eastAsia="黑体"/>
                <w:b/>
                <w:i w:val="0"/>
                <w:sz w:val="21"/>
              </w:rPr>
              <w:t>第 2 年</w:t>
            </w:r>
          </w:p>
        </w:tc>
        <w:tc>
          <w:tcPr>
            <w:tcW w:w="2126" w:type="dxa"/>
          </w:tcPr>
          <w:p w14:paraId="630EC9BA">
            <w:pPr>
              <w:spacing w:before="40" w:after="40" w:line="300" w:lineRule="auto"/>
            </w:pPr>
            <w:r>
              <w:rPr>
                <w:rFonts w:ascii="黑体" w:hAnsi="黑体" w:eastAsia="黑体"/>
                <w:b/>
                <w:i w:val="0"/>
                <w:sz w:val="21"/>
              </w:rPr>
              <w:t>第 3 年</w:t>
            </w:r>
          </w:p>
        </w:tc>
      </w:tr>
      <w:tr w14:paraId="179F5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139CFE95">
            <w:pPr>
              <w:spacing w:before="40" w:after="40" w:line="300" w:lineRule="auto"/>
            </w:pPr>
            <w:r>
              <w:rPr>
                <w:rFonts w:ascii="Times New Roman" w:hAnsi="Times New Roman" w:eastAsia="宋体"/>
                <w:b w:val="0"/>
                <w:i w:val="0"/>
                <w:sz w:val="21"/>
              </w:rPr>
              <w:t>营业收入</w:t>
            </w:r>
          </w:p>
        </w:tc>
        <w:tc>
          <w:tcPr>
            <w:tcW w:w="2126" w:type="dxa"/>
          </w:tcPr>
          <w:p w14:paraId="4928D0A6">
            <w:pPr>
              <w:spacing w:before="40" w:after="40" w:line="300" w:lineRule="auto"/>
            </w:pPr>
            <w:r>
              <w:rPr>
                <w:rFonts w:ascii="Times New Roman" w:hAnsi="Times New Roman" w:eastAsia="宋体"/>
                <w:b w:val="0"/>
                <w:i w:val="0"/>
                <w:sz w:val="21"/>
              </w:rPr>
              <w:t>60</w:t>
            </w:r>
          </w:p>
        </w:tc>
        <w:tc>
          <w:tcPr>
            <w:tcW w:w="2126" w:type="dxa"/>
          </w:tcPr>
          <w:p w14:paraId="2E0B6C1B">
            <w:pPr>
              <w:spacing w:before="40" w:after="40" w:line="300" w:lineRule="auto"/>
            </w:pPr>
            <w:r>
              <w:rPr>
                <w:rFonts w:ascii="Times New Roman" w:hAnsi="Times New Roman" w:eastAsia="宋体"/>
                <w:b w:val="0"/>
                <w:i w:val="0"/>
                <w:sz w:val="21"/>
              </w:rPr>
              <w:t>280</w:t>
            </w:r>
          </w:p>
        </w:tc>
        <w:tc>
          <w:tcPr>
            <w:tcW w:w="2126" w:type="dxa"/>
          </w:tcPr>
          <w:p w14:paraId="618D0F58">
            <w:pPr>
              <w:spacing w:before="40" w:after="40" w:line="300" w:lineRule="auto"/>
            </w:pPr>
            <w:r>
              <w:rPr>
                <w:rFonts w:ascii="Times New Roman" w:hAnsi="Times New Roman" w:eastAsia="宋体"/>
                <w:b w:val="0"/>
                <w:i w:val="0"/>
                <w:sz w:val="21"/>
              </w:rPr>
              <w:t>720</w:t>
            </w:r>
          </w:p>
        </w:tc>
      </w:tr>
      <w:tr w14:paraId="687C2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347E5B25">
            <w:pPr>
              <w:spacing w:before="40" w:after="40" w:line="300" w:lineRule="auto"/>
            </w:pPr>
            <w:r>
              <w:rPr>
                <w:rFonts w:ascii="Times New Roman" w:hAnsi="Times New Roman" w:eastAsia="宋体"/>
                <w:b w:val="0"/>
                <w:i w:val="0"/>
                <w:sz w:val="21"/>
              </w:rPr>
              <w:t>营业成本</w:t>
            </w:r>
          </w:p>
        </w:tc>
        <w:tc>
          <w:tcPr>
            <w:tcW w:w="2126" w:type="dxa"/>
          </w:tcPr>
          <w:p w14:paraId="77D6AEC2">
            <w:pPr>
              <w:spacing w:before="40" w:after="40" w:line="300" w:lineRule="auto"/>
            </w:pPr>
            <w:r>
              <w:rPr>
                <w:rFonts w:ascii="Times New Roman" w:hAnsi="Times New Roman" w:eastAsia="宋体"/>
                <w:b w:val="0"/>
                <w:i w:val="0"/>
                <w:sz w:val="21"/>
              </w:rPr>
              <w:t>162</w:t>
            </w:r>
          </w:p>
        </w:tc>
        <w:tc>
          <w:tcPr>
            <w:tcW w:w="2126" w:type="dxa"/>
          </w:tcPr>
          <w:p w14:paraId="6C5408C5">
            <w:pPr>
              <w:spacing w:before="40" w:after="40" w:line="300" w:lineRule="auto"/>
            </w:pPr>
            <w:r>
              <w:rPr>
                <w:rFonts w:ascii="Times New Roman" w:hAnsi="Times New Roman" w:eastAsia="宋体"/>
                <w:b w:val="0"/>
                <w:i w:val="0"/>
                <w:sz w:val="21"/>
              </w:rPr>
              <w:t>314</w:t>
            </w:r>
          </w:p>
        </w:tc>
        <w:tc>
          <w:tcPr>
            <w:tcW w:w="2126" w:type="dxa"/>
          </w:tcPr>
          <w:p w14:paraId="6299E46B">
            <w:pPr>
              <w:spacing w:before="40" w:after="40" w:line="300" w:lineRule="auto"/>
            </w:pPr>
            <w:r>
              <w:rPr>
                <w:rFonts w:ascii="Times New Roman" w:hAnsi="Times New Roman" w:eastAsia="宋体"/>
                <w:b w:val="0"/>
                <w:i w:val="0"/>
                <w:sz w:val="21"/>
              </w:rPr>
              <w:t>492</w:t>
            </w:r>
          </w:p>
        </w:tc>
      </w:tr>
      <w:tr w14:paraId="13826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579CA316">
            <w:pPr>
              <w:spacing w:before="40" w:after="40" w:line="300" w:lineRule="auto"/>
            </w:pPr>
            <w:r>
              <w:rPr>
                <w:rFonts w:ascii="Times New Roman" w:hAnsi="Times New Roman" w:eastAsia="宋体"/>
                <w:b w:val="0"/>
                <w:i w:val="0"/>
                <w:sz w:val="21"/>
              </w:rPr>
              <w:t>净利润</w:t>
            </w:r>
          </w:p>
        </w:tc>
        <w:tc>
          <w:tcPr>
            <w:tcW w:w="2126" w:type="dxa"/>
          </w:tcPr>
          <w:p w14:paraId="20F27D19">
            <w:pPr>
              <w:spacing w:before="40" w:after="40" w:line="300" w:lineRule="auto"/>
            </w:pPr>
            <w:r>
              <w:rPr>
                <w:rFonts w:ascii="Times New Roman" w:hAnsi="Times New Roman" w:eastAsia="宋体"/>
                <w:b w:val="0"/>
                <w:i w:val="0"/>
                <w:sz w:val="21"/>
              </w:rPr>
              <w:t>−102</w:t>
            </w:r>
          </w:p>
        </w:tc>
        <w:tc>
          <w:tcPr>
            <w:tcW w:w="2126" w:type="dxa"/>
          </w:tcPr>
          <w:p w14:paraId="22CA8F20">
            <w:pPr>
              <w:spacing w:before="40" w:after="40" w:line="300" w:lineRule="auto"/>
            </w:pPr>
            <w:r>
              <w:rPr>
                <w:rFonts w:ascii="Times New Roman" w:hAnsi="Times New Roman" w:eastAsia="宋体"/>
                <w:b w:val="0"/>
                <w:i w:val="0"/>
                <w:sz w:val="21"/>
              </w:rPr>
              <w:t>−34</w:t>
            </w:r>
          </w:p>
        </w:tc>
        <w:tc>
          <w:tcPr>
            <w:tcW w:w="2126" w:type="dxa"/>
          </w:tcPr>
          <w:p w14:paraId="08BEEBC6">
            <w:pPr>
              <w:spacing w:before="40" w:after="40" w:line="300" w:lineRule="auto"/>
            </w:pPr>
            <w:r>
              <w:rPr>
                <w:rFonts w:ascii="Times New Roman" w:hAnsi="Times New Roman" w:eastAsia="宋体"/>
                <w:b w:val="0"/>
                <w:i w:val="0"/>
                <w:sz w:val="21"/>
              </w:rPr>
              <w:t>228</w:t>
            </w:r>
          </w:p>
        </w:tc>
      </w:tr>
    </w:tbl>
    <w:p w14:paraId="7E526E68">
      <w:pPr>
        <w:spacing w:after="80"/>
      </w:pPr>
    </w:p>
    <w:p w14:paraId="17EDF129">
      <w:pPr>
        <w:spacing w:before="0" w:after="120" w:line="360" w:lineRule="auto"/>
        <w:ind w:firstLine="480"/>
        <w:jc w:val="both"/>
      </w:pPr>
      <w:r>
        <w:rPr>
          <w:rFonts w:ascii="Times New Roman" w:hAnsi="Times New Roman" w:eastAsia="宋体"/>
          <w:b w:val="0"/>
          <w:i w:val="0"/>
          <w:sz w:val="24"/>
        </w:rPr>
        <w:t>关键假设：第 1 年签约 2~3 家试点机构（以折扣价换取数据与案例）；第 2 年扩展至 10~15 家机构，SaaS 订阅成为主要收入来源；第 3 年形成 30 家以上机构客户，增量成效服务费开始放量。预计第 3 年实现盈亏平衡并转正，累计投资回收期约 3.5 年。</w:t>
      </w:r>
    </w:p>
    <w:p w14:paraId="4CAC6680">
      <w:pPr>
        <w:spacing w:before="0" w:after="120" w:line="360" w:lineRule="auto"/>
        <w:ind w:firstLine="480"/>
        <w:jc w:val="both"/>
      </w:pPr>
      <w:r>
        <w:rPr>
          <w:rFonts w:ascii="Times New Roman" w:hAnsi="Times New Roman" w:eastAsia="宋体"/>
          <w:b w:val="0"/>
          <w:i w:val="0"/>
          <w:sz w:val="24"/>
        </w:rPr>
        <w:t>敏感性说明：收入对"机构客户数"这一变量最为敏感。若第 2 年客户数仅达预期的一半，盈亏平衡点将推迟约 12 个月。因此初期的核心任务不是收益最大化，而是案例与数据的积累。</w:t>
      </w:r>
    </w:p>
    <w:p w14:paraId="2E5CEE14">
      <w:pPr>
        <w:spacing w:before="200" w:after="120" w:line="336" w:lineRule="auto"/>
        <w:jc w:val="left"/>
        <w:outlineLvl w:val="1"/>
      </w:pPr>
      <w:bookmarkStart w:id="34" w:name="_Toc1504"/>
      <w:r>
        <w:rPr>
          <w:rFonts w:ascii="黑体" w:hAnsi="黑体" w:eastAsia="黑体"/>
          <w:b/>
          <w:i w:val="0"/>
          <w:color w:val="0A1730"/>
          <w:sz w:val="26"/>
        </w:rPr>
        <w:t>7.4 融资需求</w:t>
      </w:r>
      <w:bookmarkEnd w:id="34"/>
    </w:p>
    <w:p w14:paraId="0683166A">
      <w:pPr>
        <w:spacing w:before="0" w:after="120" w:line="360" w:lineRule="auto"/>
        <w:ind w:firstLine="480"/>
        <w:jc w:val="both"/>
      </w:pPr>
      <w:r>
        <w:rPr>
          <w:rFonts w:ascii="Times New Roman" w:hAnsi="Times New Roman" w:eastAsia="宋体"/>
          <w:b w:val="0"/>
          <w:i w:val="0"/>
          <w:sz w:val="24"/>
        </w:rPr>
        <w:t>项目初期计划融资 300 万元，用于模型真实数据回测、试点拓展与团队扩充。资金用途分配如下：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335A4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78019E0C">
            <w:pPr>
              <w:spacing w:before="40" w:after="40" w:line="300" w:lineRule="auto"/>
            </w:pPr>
            <w:r>
              <w:rPr>
                <w:rFonts w:ascii="黑体" w:hAnsi="黑体" w:eastAsia="黑体"/>
                <w:b/>
                <w:i w:val="0"/>
                <w:sz w:val="21"/>
              </w:rPr>
              <w:t>用途</w:t>
            </w:r>
          </w:p>
        </w:tc>
        <w:tc>
          <w:tcPr>
            <w:tcW w:w="2835" w:type="dxa"/>
          </w:tcPr>
          <w:p w14:paraId="015FBFC6">
            <w:pPr>
              <w:spacing w:before="40" w:after="40" w:line="300" w:lineRule="auto"/>
            </w:pPr>
            <w:r>
              <w:rPr>
                <w:rFonts w:ascii="黑体" w:hAnsi="黑体" w:eastAsia="黑体"/>
                <w:b/>
                <w:i w:val="0"/>
                <w:sz w:val="21"/>
              </w:rPr>
              <w:t>金额（万元）</w:t>
            </w:r>
          </w:p>
        </w:tc>
        <w:tc>
          <w:tcPr>
            <w:tcW w:w="2835" w:type="dxa"/>
          </w:tcPr>
          <w:p w14:paraId="47907614">
            <w:pPr>
              <w:spacing w:before="40" w:after="40" w:line="300" w:lineRule="auto"/>
            </w:pPr>
            <w:r>
              <w:rPr>
                <w:rFonts w:ascii="黑体" w:hAnsi="黑体" w:eastAsia="黑体"/>
                <w:b/>
                <w:i w:val="0"/>
                <w:sz w:val="21"/>
              </w:rPr>
              <w:t>占比</w:t>
            </w:r>
          </w:p>
        </w:tc>
      </w:tr>
      <w:tr w14:paraId="0E5CF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1F146F92">
            <w:pPr>
              <w:spacing w:before="40" w:after="40" w:line="300" w:lineRule="auto"/>
            </w:pPr>
            <w:r>
              <w:rPr>
                <w:rFonts w:ascii="Times New Roman" w:hAnsi="Times New Roman" w:eastAsia="宋体"/>
                <w:b w:val="0"/>
                <w:i w:val="0"/>
                <w:sz w:val="21"/>
              </w:rPr>
              <w:t>真实数据获取与模型回测</w:t>
            </w:r>
          </w:p>
        </w:tc>
        <w:tc>
          <w:tcPr>
            <w:tcW w:w="2835" w:type="dxa"/>
          </w:tcPr>
          <w:p w14:paraId="4F84642D">
            <w:pPr>
              <w:spacing w:before="40" w:after="40" w:line="300" w:lineRule="auto"/>
            </w:pPr>
            <w:r>
              <w:rPr>
                <w:rFonts w:ascii="Times New Roman" w:hAnsi="Times New Roman" w:eastAsia="宋体"/>
                <w:b w:val="0"/>
                <w:i w:val="0"/>
                <w:sz w:val="21"/>
              </w:rPr>
              <w:t>90</w:t>
            </w:r>
          </w:p>
        </w:tc>
        <w:tc>
          <w:tcPr>
            <w:tcW w:w="2835" w:type="dxa"/>
          </w:tcPr>
          <w:p w14:paraId="1FCC13B9">
            <w:pPr>
              <w:spacing w:before="40" w:after="40" w:line="300" w:lineRule="auto"/>
            </w:pPr>
            <w:r>
              <w:rPr>
                <w:rFonts w:ascii="Times New Roman" w:hAnsi="Times New Roman" w:eastAsia="宋体"/>
                <w:b w:val="0"/>
                <w:i w:val="0"/>
                <w:sz w:val="21"/>
              </w:rPr>
              <w:t>30%</w:t>
            </w:r>
          </w:p>
        </w:tc>
      </w:tr>
      <w:tr w14:paraId="60AA1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26871196">
            <w:pPr>
              <w:spacing w:before="40" w:after="40" w:line="300" w:lineRule="auto"/>
            </w:pPr>
            <w:r>
              <w:rPr>
                <w:rFonts w:ascii="Times New Roman" w:hAnsi="Times New Roman" w:eastAsia="宋体"/>
                <w:b w:val="0"/>
                <w:i w:val="0"/>
                <w:sz w:val="21"/>
              </w:rPr>
              <w:t>试点机构拓展与交付</w:t>
            </w:r>
          </w:p>
        </w:tc>
        <w:tc>
          <w:tcPr>
            <w:tcW w:w="2835" w:type="dxa"/>
          </w:tcPr>
          <w:p w14:paraId="7C0B6252">
            <w:pPr>
              <w:spacing w:before="40" w:after="40" w:line="300" w:lineRule="auto"/>
            </w:pPr>
            <w:r>
              <w:rPr>
                <w:rFonts w:ascii="Times New Roman" w:hAnsi="Times New Roman" w:eastAsia="宋体"/>
                <w:b w:val="0"/>
                <w:i w:val="0"/>
                <w:sz w:val="21"/>
              </w:rPr>
              <w:t>75</w:t>
            </w:r>
          </w:p>
        </w:tc>
        <w:tc>
          <w:tcPr>
            <w:tcW w:w="2835" w:type="dxa"/>
          </w:tcPr>
          <w:p w14:paraId="5EC68B70">
            <w:pPr>
              <w:spacing w:before="40" w:after="40" w:line="300" w:lineRule="auto"/>
            </w:pPr>
            <w:r>
              <w:rPr>
                <w:rFonts w:ascii="Times New Roman" w:hAnsi="Times New Roman" w:eastAsia="宋体"/>
                <w:b w:val="0"/>
                <w:i w:val="0"/>
                <w:sz w:val="21"/>
              </w:rPr>
              <w:t>25%</w:t>
            </w:r>
          </w:p>
        </w:tc>
      </w:tr>
      <w:tr w14:paraId="3AD1A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1D504FD9">
            <w:pPr>
              <w:spacing w:before="40" w:after="40" w:line="300" w:lineRule="auto"/>
            </w:pPr>
            <w:r>
              <w:rPr>
                <w:rFonts w:ascii="Times New Roman" w:hAnsi="Times New Roman" w:eastAsia="宋体"/>
                <w:b w:val="0"/>
                <w:i w:val="0"/>
                <w:sz w:val="21"/>
              </w:rPr>
              <w:t>团队扩充与人力</w:t>
            </w:r>
          </w:p>
        </w:tc>
        <w:tc>
          <w:tcPr>
            <w:tcW w:w="2835" w:type="dxa"/>
          </w:tcPr>
          <w:p w14:paraId="14BAF9E4">
            <w:pPr>
              <w:spacing w:before="40" w:after="40" w:line="300" w:lineRule="auto"/>
            </w:pPr>
            <w:r>
              <w:rPr>
                <w:rFonts w:ascii="Times New Roman" w:hAnsi="Times New Roman" w:eastAsia="宋体"/>
                <w:b w:val="0"/>
                <w:i w:val="0"/>
                <w:sz w:val="21"/>
              </w:rPr>
              <w:t>90</w:t>
            </w:r>
          </w:p>
        </w:tc>
        <w:tc>
          <w:tcPr>
            <w:tcW w:w="2835" w:type="dxa"/>
          </w:tcPr>
          <w:p w14:paraId="4436AB60">
            <w:pPr>
              <w:spacing w:before="40" w:after="40" w:line="300" w:lineRule="auto"/>
            </w:pPr>
            <w:r>
              <w:rPr>
                <w:rFonts w:ascii="Times New Roman" w:hAnsi="Times New Roman" w:eastAsia="宋体"/>
                <w:b w:val="0"/>
                <w:i w:val="0"/>
                <w:sz w:val="21"/>
              </w:rPr>
              <w:t>30%</w:t>
            </w:r>
          </w:p>
        </w:tc>
      </w:tr>
      <w:tr w14:paraId="2DCBE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337F415A">
            <w:pPr>
              <w:spacing w:before="40" w:after="40" w:line="300" w:lineRule="auto"/>
            </w:pPr>
            <w:r>
              <w:rPr>
                <w:rFonts w:ascii="Times New Roman" w:hAnsi="Times New Roman" w:eastAsia="宋体"/>
                <w:b w:val="0"/>
                <w:i w:val="0"/>
                <w:sz w:val="21"/>
              </w:rPr>
              <w:t>合规与安全建设</w:t>
            </w:r>
          </w:p>
        </w:tc>
        <w:tc>
          <w:tcPr>
            <w:tcW w:w="2835" w:type="dxa"/>
          </w:tcPr>
          <w:p w14:paraId="2F9D65F2">
            <w:pPr>
              <w:spacing w:before="40" w:after="40" w:line="300" w:lineRule="auto"/>
            </w:pPr>
            <w:r>
              <w:rPr>
                <w:rFonts w:ascii="Times New Roman" w:hAnsi="Times New Roman" w:eastAsia="宋体"/>
                <w:b w:val="0"/>
                <w:i w:val="0"/>
                <w:sz w:val="21"/>
              </w:rPr>
              <w:t>30</w:t>
            </w:r>
          </w:p>
        </w:tc>
        <w:tc>
          <w:tcPr>
            <w:tcW w:w="2835" w:type="dxa"/>
          </w:tcPr>
          <w:p w14:paraId="2111B991">
            <w:pPr>
              <w:spacing w:before="40" w:after="40" w:line="300" w:lineRule="auto"/>
            </w:pPr>
            <w:r>
              <w:rPr>
                <w:rFonts w:ascii="Times New Roman" w:hAnsi="Times New Roman" w:eastAsia="宋体"/>
                <w:b w:val="0"/>
                <w:i w:val="0"/>
                <w:sz w:val="21"/>
              </w:rPr>
              <w:t>10%</w:t>
            </w:r>
          </w:p>
        </w:tc>
      </w:tr>
      <w:tr w14:paraId="63F43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3941D32A">
            <w:pPr>
              <w:spacing w:before="40" w:after="40" w:line="300" w:lineRule="auto"/>
            </w:pPr>
            <w:r>
              <w:rPr>
                <w:rFonts w:ascii="Times New Roman" w:hAnsi="Times New Roman" w:eastAsia="宋体"/>
                <w:b w:val="0"/>
                <w:i w:val="0"/>
                <w:sz w:val="21"/>
              </w:rPr>
              <w:t>运营备用金</w:t>
            </w:r>
          </w:p>
        </w:tc>
        <w:tc>
          <w:tcPr>
            <w:tcW w:w="2835" w:type="dxa"/>
          </w:tcPr>
          <w:p w14:paraId="428C01D1">
            <w:pPr>
              <w:spacing w:before="40" w:after="40" w:line="300" w:lineRule="auto"/>
            </w:pPr>
            <w:r>
              <w:rPr>
                <w:rFonts w:ascii="Times New Roman" w:hAnsi="Times New Roman" w:eastAsia="宋体"/>
                <w:b w:val="0"/>
                <w:i w:val="0"/>
                <w:sz w:val="21"/>
              </w:rPr>
              <w:t>15</w:t>
            </w:r>
          </w:p>
        </w:tc>
        <w:tc>
          <w:tcPr>
            <w:tcW w:w="2835" w:type="dxa"/>
          </w:tcPr>
          <w:p w14:paraId="591651FD">
            <w:pPr>
              <w:spacing w:before="40" w:after="40" w:line="300" w:lineRule="auto"/>
            </w:pPr>
            <w:r>
              <w:rPr>
                <w:rFonts w:ascii="Times New Roman" w:hAnsi="Times New Roman" w:eastAsia="宋体"/>
                <w:b w:val="0"/>
                <w:i w:val="0"/>
                <w:sz w:val="21"/>
              </w:rPr>
              <w:t>5%</w:t>
            </w:r>
          </w:p>
        </w:tc>
      </w:tr>
    </w:tbl>
    <w:p w14:paraId="5BC2C568">
      <w:pPr>
        <w:spacing w:after="80"/>
      </w:pPr>
    </w:p>
    <w:p w14:paraId="67907A28">
      <w:pPr>
        <w:spacing w:before="0" w:after="120" w:line="360" w:lineRule="auto"/>
        <w:ind w:firstLine="480"/>
        <w:jc w:val="both"/>
      </w:pPr>
      <w:r>
        <w:rPr>
          <w:rFonts w:ascii="Times New Roman" w:hAnsi="Times New Roman" w:eastAsia="宋体"/>
          <w:b w:val="0"/>
          <w:i w:val="0"/>
          <w:sz w:val="24"/>
        </w:rPr>
        <w:t>出让股权比例与具体条款，根据投资方资源禀赋（是否带来银行侧渠道资源）一事一议。</w:t>
      </w:r>
    </w:p>
    <w:p w14:paraId="6F6114E0">
      <w:pPr>
        <w:spacing w:before="200" w:after="120" w:line="336" w:lineRule="auto"/>
        <w:jc w:val="left"/>
        <w:outlineLvl w:val="1"/>
      </w:pPr>
      <w:bookmarkStart w:id="35" w:name="_Toc13317"/>
      <w:r>
        <w:rPr>
          <w:rFonts w:ascii="黑体" w:hAnsi="黑体" w:eastAsia="黑体"/>
          <w:b/>
          <w:i w:val="0"/>
          <w:color w:val="0A1730"/>
          <w:sz w:val="26"/>
        </w:rPr>
        <w:t>7.5 投资者退出机制</w:t>
      </w:r>
      <w:bookmarkEnd w:id="35"/>
    </w:p>
    <w:p w14:paraId="6E985A49">
      <w:pPr>
        <w:spacing w:before="0" w:after="120" w:line="360" w:lineRule="auto"/>
        <w:ind w:firstLine="480"/>
        <w:jc w:val="both"/>
      </w:pPr>
      <w:r>
        <w:rPr>
          <w:rFonts w:ascii="Times New Roman" w:hAnsi="Times New Roman" w:eastAsia="宋体"/>
          <w:b w:val="0"/>
          <w:i w:val="0"/>
          <w:sz w:val="24"/>
        </w:rPr>
        <w:t>为投资人设计了四条退出路径：</w:t>
      </w:r>
    </w:p>
    <w:p w14:paraId="73B74491">
      <w:pPr>
        <w:spacing w:before="0" w:after="60" w:line="360" w:lineRule="auto"/>
        <w:ind w:left="480"/>
        <w:jc w:val="left"/>
      </w:pPr>
      <w:r>
        <w:rPr>
          <w:rFonts w:ascii="Times New Roman" w:hAnsi="Times New Roman" w:eastAsia="宋体"/>
          <w:b w:val="0"/>
          <w:i w:val="0"/>
          <w:sz w:val="24"/>
        </w:rPr>
        <w:t>1. 并购退出（主要路径）：金融科技服务商、银行系科技子公司或大型数据服务商对团队的并购，是最现实的路径。项目的技术资产（专利网络算法、双模型、里程碑引擎）与试点案例构成并购价值。</w:t>
      </w:r>
    </w:p>
    <w:p w14:paraId="0DB46916">
      <w:pPr>
        <w:spacing w:before="0" w:after="60" w:line="360" w:lineRule="auto"/>
        <w:ind w:left="480"/>
        <w:jc w:val="left"/>
      </w:pPr>
      <w:r>
        <w:rPr>
          <w:rFonts w:ascii="Times New Roman" w:hAnsi="Times New Roman" w:eastAsia="宋体"/>
          <w:b w:val="0"/>
          <w:i w:val="0"/>
          <w:sz w:val="24"/>
        </w:rPr>
        <w:t>2. 股权转让退出：后续轮次融资时，早期投资人通过老股转让实现部分或全部退出。</w:t>
      </w:r>
    </w:p>
    <w:p w14:paraId="424FB554">
      <w:pPr>
        <w:spacing w:before="0" w:after="60" w:line="360" w:lineRule="auto"/>
        <w:ind w:left="480"/>
        <w:jc w:val="left"/>
      </w:pPr>
      <w:r>
        <w:rPr>
          <w:rFonts w:ascii="Times New Roman" w:hAnsi="Times New Roman" w:eastAsia="宋体"/>
          <w:b w:val="0"/>
          <w:i w:val="0"/>
          <w:sz w:val="24"/>
        </w:rPr>
        <w:t>3. 回购退出：在投资协议中约定，若公司在约定期限内未实现约定里程碑，由创始团队按约定价格（本金 + 年化利息）回购股权。</w:t>
      </w:r>
    </w:p>
    <w:p w14:paraId="1DAED0FA">
      <w:pPr>
        <w:spacing w:before="0" w:after="60" w:line="360" w:lineRule="auto"/>
        <w:ind w:left="480"/>
        <w:jc w:val="left"/>
      </w:pPr>
      <w:r>
        <w:rPr>
          <w:rFonts w:ascii="Times New Roman" w:hAnsi="Times New Roman" w:eastAsia="宋体"/>
          <w:b w:val="0"/>
          <w:i w:val="0"/>
          <w:sz w:val="24"/>
        </w:rPr>
        <w:t>4. IPO 退出（远期路径）：作为长期愿景保留，不作为主要退出假设。</w:t>
      </w:r>
    </w:p>
    <w:p w14:paraId="5DE97B14">
      <w:pPr>
        <w:spacing w:before="320" w:after="200" w:line="336" w:lineRule="auto"/>
        <w:jc w:val="left"/>
        <w:outlineLvl w:val="0"/>
      </w:pPr>
      <w:bookmarkStart w:id="36" w:name="_Toc30203"/>
      <w:r>
        <w:rPr>
          <w:rFonts w:ascii="黑体" w:hAnsi="黑体" w:eastAsia="黑体"/>
          <w:b/>
          <w:i w:val="0"/>
          <w:color w:val="0A1730"/>
          <w:sz w:val="30"/>
        </w:rPr>
        <w:t>八、社会价值与就业带动</w:t>
      </w:r>
      <w:bookmarkEnd w:id="36"/>
    </w:p>
    <w:p w14:paraId="69E057FD">
      <w:pPr>
        <w:spacing w:before="0" w:after="120" w:line="336" w:lineRule="auto"/>
        <w:ind w:left="480"/>
        <w:jc w:val="left"/>
      </w:pPr>
      <w:r>
        <w:rPr>
          <w:rFonts w:ascii="Times New Roman" w:hAnsi="Times New Roman" w:eastAsia="宋体"/>
          <w:b w:val="0"/>
          <w:i w:val="0"/>
          <w:color w:val="555555"/>
          <w:sz w:val="22"/>
        </w:rPr>
        <w:t>说明：本章就业带动数字为基于项目运营规模与行业带动系数的测算值，用于说明项目的社会价值方向，非实际雇佣承诺。</w:t>
      </w:r>
    </w:p>
    <w:p w14:paraId="7263C598">
      <w:pPr>
        <w:spacing w:before="200" w:after="120" w:line="336" w:lineRule="auto"/>
        <w:jc w:val="left"/>
        <w:outlineLvl w:val="1"/>
      </w:pPr>
      <w:bookmarkStart w:id="37" w:name="_Toc25950"/>
      <w:r>
        <w:rPr>
          <w:rFonts w:ascii="黑体" w:hAnsi="黑体" w:eastAsia="黑体"/>
          <w:b/>
          <w:i w:val="0"/>
          <w:color w:val="0A1730"/>
          <w:sz w:val="26"/>
        </w:rPr>
        <w:t>8.1 直接就业（项目自身运营，核心固定岗位）</w:t>
      </w:r>
      <w:bookmarkEnd w:id="37"/>
    </w:p>
    <w:p w14:paraId="23227926">
      <w:pPr>
        <w:spacing w:before="0" w:after="120" w:line="360" w:lineRule="auto"/>
        <w:ind w:firstLine="480"/>
        <w:jc w:val="both"/>
      </w:pPr>
      <w:r>
        <w:rPr>
          <w:rFonts w:ascii="Times New Roman" w:hAnsi="Times New Roman" w:eastAsia="宋体"/>
          <w:b w:val="0"/>
          <w:i w:val="0"/>
          <w:sz w:val="24"/>
        </w:rPr>
        <w:t>项目自身运营将创造算法工程师、后端/前端工程师、数据工程师、金融产品经理、交付实施顾问、合规与法务等核心固定岗位。按第 3 年团队规模 18 人测算，结合后续扩张至 40~50 人的规划，直接提供核心固定岗位约 50 个，其中技术研发类占比约 60%，面向应届高校毕业生与青年技术人才。</w:t>
      </w:r>
    </w:p>
    <w:p w14:paraId="0F519E6A">
      <w:pPr>
        <w:spacing w:before="200" w:after="120" w:line="336" w:lineRule="auto"/>
        <w:jc w:val="left"/>
        <w:outlineLvl w:val="1"/>
      </w:pPr>
      <w:bookmarkStart w:id="38" w:name="_Toc26647"/>
      <w:r>
        <w:rPr>
          <w:rFonts w:ascii="黑体" w:hAnsi="黑体" w:eastAsia="黑体"/>
          <w:b/>
          <w:i w:val="0"/>
          <w:color w:val="0A1730"/>
          <w:sz w:val="26"/>
        </w:rPr>
        <w:t>8.2 上游产业链间接就业（数据、算力、技术供给端）</w:t>
      </w:r>
      <w:bookmarkEnd w:id="38"/>
    </w:p>
    <w:p w14:paraId="33C6492B">
      <w:pPr>
        <w:spacing w:before="0" w:after="120" w:line="360" w:lineRule="auto"/>
        <w:ind w:firstLine="480"/>
        <w:jc w:val="both"/>
      </w:pPr>
      <w:r>
        <w:rPr>
          <w:rFonts w:ascii="Times New Roman" w:hAnsi="Times New Roman" w:eastAsia="宋体"/>
          <w:b w:val="0"/>
          <w:i w:val="0"/>
          <w:sz w:val="24"/>
        </w:rPr>
        <w:t>项目的上游包括专利与工商数据服务商、云算力供应商、标注与数据治理服务商、安全测评机构。随着平台接入企业数量增长，上游数据采购与数据治理需求同步放大，预计带动上游数据服务、算力运维、安全测评等岗位约 200 个，重点吸纳数据标注、数据治理等专业技术人才。</w:t>
      </w:r>
    </w:p>
    <w:p w14:paraId="2CD755EC">
      <w:pPr>
        <w:spacing w:before="200" w:after="120" w:line="336" w:lineRule="auto"/>
        <w:jc w:val="left"/>
        <w:outlineLvl w:val="1"/>
      </w:pPr>
      <w:bookmarkStart w:id="39" w:name="_Toc23346"/>
      <w:r>
        <w:rPr>
          <w:rFonts w:ascii="黑体" w:hAnsi="黑体" w:eastAsia="黑体"/>
          <w:b/>
          <w:i w:val="0"/>
          <w:color w:val="0A1730"/>
          <w:sz w:val="26"/>
        </w:rPr>
        <w:t>8.3 下游产业链间接就业（银行与科创企业服务端）</w:t>
      </w:r>
      <w:bookmarkEnd w:id="39"/>
    </w:p>
    <w:p w14:paraId="1D9E610D">
      <w:pPr>
        <w:spacing w:before="0" w:after="120" w:line="360" w:lineRule="auto"/>
        <w:ind w:firstLine="480"/>
        <w:jc w:val="both"/>
      </w:pPr>
      <w:r>
        <w:rPr>
          <w:rFonts w:ascii="Times New Roman" w:hAnsi="Times New Roman" w:eastAsia="宋体"/>
          <w:b w:val="0"/>
          <w:i w:val="0"/>
          <w:sz w:val="24"/>
        </w:rPr>
        <w:t>项目在银行侧的落地需要配套的客户经理培训、模型结果复核、系统集成与运维服务；在企业侧，平台促成融资后，企业扩产将带来研发、生产、质量等岗位增量。预计带动下游实施交付、系统集成、运维服务岗位约 150 个，并通过对硬科技企业的融资支持，间接支撑其研发与生产岗位的稳定与扩张。</w:t>
      </w:r>
    </w:p>
    <w:p w14:paraId="43C39D61">
      <w:pPr>
        <w:spacing w:before="200" w:after="120" w:line="336" w:lineRule="auto"/>
        <w:jc w:val="left"/>
        <w:outlineLvl w:val="1"/>
      </w:pPr>
      <w:bookmarkStart w:id="40" w:name="_Toc1595"/>
      <w:r>
        <w:rPr>
          <w:rFonts w:ascii="黑体" w:hAnsi="黑体" w:eastAsia="黑体"/>
          <w:b/>
          <w:i w:val="0"/>
          <w:color w:val="0A1730"/>
          <w:sz w:val="26"/>
        </w:rPr>
        <w:t>8.4 社会价值与创业带动</w:t>
      </w:r>
      <w:bookmarkEnd w:id="40"/>
    </w:p>
    <w:p w14:paraId="7C026EF5">
      <w:pPr>
        <w:spacing w:before="0" w:after="120" w:line="360" w:lineRule="auto"/>
        <w:ind w:firstLine="480"/>
        <w:jc w:val="both"/>
      </w:pPr>
      <w:r>
        <w:rPr>
          <w:rFonts w:ascii="Times New Roman" w:hAnsi="Times New Roman" w:eastAsia="宋体"/>
          <w:b w:val="0"/>
          <w:i w:val="0"/>
          <w:sz w:val="24"/>
        </w:rPr>
        <w:t>政策价值：项目服务于科技金融这一国家战略方向，直接回应"创新科技金融服务"的监管要求，为知识产权质押融资内部评估试点提供了可参考的技术实现路径。</w:t>
      </w:r>
    </w:p>
    <w:p w14:paraId="3F51AB59">
      <w:pPr>
        <w:spacing w:before="0" w:after="120" w:line="360" w:lineRule="auto"/>
        <w:ind w:firstLine="480"/>
        <w:jc w:val="both"/>
      </w:pPr>
      <w:r>
        <w:rPr>
          <w:rFonts w:ascii="Times New Roman" w:hAnsi="Times New Roman" w:eastAsia="宋体"/>
          <w:b w:val="0"/>
          <w:i w:val="0"/>
          <w:sz w:val="24"/>
        </w:rPr>
        <w:t>产业价值：平台若能缓解硬科技企业的"死亡谷"融资困境，将实质性提升科技成果的转化成功率。以新材料、高端装备赛道 75% 的夭折率为参照，哪怕小幅改善，其产业价值也远大于项目自身的商业价值。</w:t>
      </w:r>
    </w:p>
    <w:p w14:paraId="0BC29400">
      <w:pPr>
        <w:spacing w:before="0" w:after="120" w:line="360" w:lineRule="auto"/>
        <w:ind w:firstLine="480"/>
        <w:jc w:val="both"/>
      </w:pPr>
      <w:r>
        <w:rPr>
          <w:rFonts w:ascii="Times New Roman" w:hAnsi="Times New Roman" w:eastAsia="宋体"/>
          <w:b w:val="0"/>
          <w:i w:val="0"/>
          <w:sz w:val="24"/>
        </w:rPr>
        <w:t>普惠价值：平台的轻资产评价逻辑降低了对抵押物的依赖，使缺乏厂房设备但拥有核心技术的中小微企业获得更公平的融资机会，有助于缓解融资资源向大企业集中的结构性倾斜。</w:t>
      </w:r>
    </w:p>
    <w:p w14:paraId="63D1B516">
      <w:pPr>
        <w:spacing w:before="0" w:after="120" w:line="360" w:lineRule="auto"/>
        <w:ind w:firstLine="480"/>
        <w:jc w:val="both"/>
      </w:pPr>
      <w:r>
        <w:rPr>
          <w:rFonts w:ascii="Times New Roman" w:hAnsi="Times New Roman" w:eastAsia="宋体"/>
          <w:b w:val="0"/>
          <w:i w:val="0"/>
          <w:sz w:val="24"/>
        </w:rPr>
        <w:t>创业与灵活就业带动：项目将面向高校毕业生提供实习与就业岗位，并通过生态合作带动数据服务、实施交付等领域的灵活就业与小微创业主体，预计带动灵活就业与实习岗位约 100 个。</w:t>
      </w:r>
    </w:p>
    <w:p w14:paraId="154CAF9F">
      <w:pPr>
        <w:spacing w:before="320" w:after="200" w:line="336" w:lineRule="auto"/>
        <w:jc w:val="left"/>
        <w:outlineLvl w:val="0"/>
      </w:pPr>
      <w:bookmarkStart w:id="41" w:name="_Toc21895"/>
      <w:r>
        <w:rPr>
          <w:rFonts w:ascii="黑体" w:hAnsi="黑体" w:eastAsia="黑体"/>
          <w:b/>
          <w:i w:val="0"/>
          <w:color w:val="0A1730"/>
          <w:sz w:val="30"/>
        </w:rPr>
        <w:t>九、团队介绍</w:t>
      </w:r>
      <w:bookmarkEnd w:id="41"/>
    </w:p>
    <w:p w14:paraId="77775542">
      <w:pPr>
        <w:spacing w:before="200" w:after="120" w:line="336" w:lineRule="auto"/>
        <w:jc w:val="left"/>
        <w:outlineLvl w:val="1"/>
      </w:pPr>
      <w:bookmarkStart w:id="42" w:name="_Toc7712"/>
      <w:r>
        <w:rPr>
          <w:rFonts w:ascii="黑体" w:hAnsi="黑体" w:eastAsia="黑体"/>
          <w:b/>
          <w:i w:val="0"/>
          <w:color w:val="0A1730"/>
          <w:sz w:val="26"/>
        </w:rPr>
        <w:t>9.1 核心团队成员</w:t>
      </w:r>
      <w:bookmarkEnd w:id="4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653B7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0C2E3910">
            <w:pPr>
              <w:spacing w:before="40" w:after="40" w:line="300" w:lineRule="auto"/>
            </w:pPr>
            <w:r>
              <w:rPr>
                <w:rFonts w:ascii="黑体" w:hAnsi="黑体" w:eastAsia="黑体"/>
                <w:b/>
                <w:i w:val="0"/>
                <w:sz w:val="21"/>
              </w:rPr>
              <w:t>姓名</w:t>
            </w:r>
          </w:p>
        </w:tc>
        <w:tc>
          <w:tcPr>
            <w:tcW w:w="2126" w:type="dxa"/>
          </w:tcPr>
          <w:p w14:paraId="1CD8DB3C">
            <w:pPr>
              <w:spacing w:before="40" w:after="40" w:line="300" w:lineRule="auto"/>
            </w:pPr>
            <w:r>
              <w:rPr>
                <w:rFonts w:ascii="黑体" w:hAnsi="黑体" w:eastAsia="黑体"/>
                <w:b/>
                <w:i w:val="0"/>
                <w:sz w:val="21"/>
              </w:rPr>
              <w:t>分工</w:t>
            </w:r>
          </w:p>
        </w:tc>
        <w:tc>
          <w:tcPr>
            <w:tcW w:w="2126" w:type="dxa"/>
          </w:tcPr>
          <w:p w14:paraId="52259F2C">
            <w:pPr>
              <w:spacing w:before="40" w:after="40" w:line="300" w:lineRule="auto"/>
            </w:pPr>
            <w:r>
              <w:rPr>
                <w:rFonts w:ascii="黑体" w:hAnsi="黑体" w:eastAsia="黑体"/>
                <w:b/>
                <w:i w:val="0"/>
                <w:sz w:val="21"/>
              </w:rPr>
              <w:t>专业背景</w:t>
            </w:r>
          </w:p>
        </w:tc>
        <w:tc>
          <w:tcPr>
            <w:tcW w:w="2126" w:type="dxa"/>
          </w:tcPr>
          <w:p w14:paraId="4BF29563">
            <w:pPr>
              <w:spacing w:before="40" w:after="40" w:line="300" w:lineRule="auto"/>
            </w:pPr>
            <w:r>
              <w:rPr>
                <w:rFonts w:ascii="黑体" w:hAnsi="黑体" w:eastAsia="黑体"/>
                <w:b/>
                <w:i w:val="0"/>
                <w:sz w:val="21"/>
              </w:rPr>
              <w:t>主要职责</w:t>
            </w:r>
          </w:p>
        </w:tc>
      </w:tr>
      <w:tr w14:paraId="5C7E5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462402BF">
            <w:pPr>
              <w:spacing w:before="40" w:after="40" w:line="300" w:lineRule="auto"/>
              <w:rPr>
                <w:rFonts w:hint="default" w:eastAsia="宋体"/>
                <w:lang w:val="en-US" w:eastAsia="zh-CN"/>
              </w:rPr>
            </w:pPr>
            <w:r>
              <w:rPr>
                <w:rFonts w:hint="eastAsia"/>
                <w:lang w:val="en-US" w:eastAsia="zh-CN"/>
              </w:rPr>
              <w:t>张祯祥</w:t>
            </w:r>
          </w:p>
        </w:tc>
        <w:tc>
          <w:tcPr>
            <w:tcW w:w="2126" w:type="dxa"/>
          </w:tcPr>
          <w:p w14:paraId="38627A10">
            <w:pPr>
              <w:spacing w:before="40" w:after="40" w:line="300" w:lineRule="auto"/>
            </w:pPr>
            <w:r>
              <w:rPr>
                <w:rFonts w:ascii="Times New Roman" w:hAnsi="Times New Roman" w:eastAsia="宋体"/>
                <w:b w:val="0"/>
                <w:i w:val="0"/>
                <w:sz w:val="21"/>
              </w:rPr>
              <w:t>项目负责人</w:t>
            </w:r>
          </w:p>
        </w:tc>
        <w:tc>
          <w:tcPr>
            <w:tcW w:w="2126" w:type="dxa"/>
          </w:tcPr>
          <w:p w14:paraId="4C2C7A88">
            <w:pPr>
              <w:spacing w:before="40" w:after="40" w:line="300" w:lineRule="auto"/>
              <w:rPr>
                <w:rFonts w:hint="eastAsia" w:eastAsia="宋体"/>
                <w:lang w:val="en-US" w:eastAsia="zh-CN"/>
              </w:rPr>
            </w:pPr>
            <w:r>
              <w:rPr>
                <w:rFonts w:hint="eastAsia"/>
                <w:lang w:val="en-US" w:eastAsia="zh-CN"/>
              </w:rPr>
              <w:t>飞行器控制与信息工程专业</w:t>
            </w:r>
          </w:p>
        </w:tc>
        <w:tc>
          <w:tcPr>
            <w:tcW w:w="2126" w:type="dxa"/>
          </w:tcPr>
          <w:p w14:paraId="0AB23D7B">
            <w:pPr>
              <w:spacing w:before="40" w:after="40" w:line="300" w:lineRule="auto"/>
            </w:pPr>
            <w:r>
              <w:rPr>
                <w:rFonts w:ascii="Times New Roman" w:hAnsi="Times New Roman" w:eastAsia="宋体"/>
                <w:b w:val="0"/>
                <w:i w:val="0"/>
                <w:sz w:val="21"/>
              </w:rPr>
              <w:t>项目整体统筹、方案设计、对外汇报</w:t>
            </w:r>
          </w:p>
        </w:tc>
      </w:tr>
      <w:tr w14:paraId="0DF36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5F8BDD7F">
            <w:pPr>
              <w:spacing w:before="40" w:after="40" w:line="300" w:lineRule="auto"/>
              <w:rPr>
                <w:rFonts w:hint="default" w:eastAsia="宋体"/>
                <w:lang w:val="en-US" w:eastAsia="zh-CN"/>
              </w:rPr>
            </w:pPr>
            <w:r>
              <w:rPr>
                <w:rFonts w:hint="eastAsia"/>
                <w:lang w:val="en-US" w:eastAsia="zh-CN"/>
              </w:rPr>
              <w:t>杨佳瑞</w:t>
            </w:r>
          </w:p>
        </w:tc>
        <w:tc>
          <w:tcPr>
            <w:tcW w:w="2126" w:type="dxa"/>
          </w:tcPr>
          <w:p w14:paraId="6E4318D6">
            <w:pPr>
              <w:spacing w:before="40" w:after="40" w:line="300" w:lineRule="auto"/>
            </w:pPr>
            <w:r>
              <w:rPr>
                <w:rFonts w:ascii="Times New Roman" w:hAnsi="Times New Roman" w:eastAsia="宋体"/>
                <w:b w:val="0"/>
                <w:i w:val="0"/>
                <w:sz w:val="21"/>
              </w:rPr>
              <w:t>算法负责人</w:t>
            </w:r>
          </w:p>
        </w:tc>
        <w:tc>
          <w:tcPr>
            <w:tcW w:w="2126" w:type="dxa"/>
          </w:tcPr>
          <w:p w14:paraId="54BE0121">
            <w:pPr>
              <w:spacing w:before="40" w:after="40" w:line="300" w:lineRule="auto"/>
              <w:rPr>
                <w:rFonts w:hint="default" w:eastAsia="宋体"/>
                <w:lang w:val="en-US" w:eastAsia="zh-CN"/>
              </w:rPr>
            </w:pPr>
            <w:r>
              <w:rPr>
                <w:rFonts w:hint="eastAsia"/>
                <w:lang w:val="en-US" w:eastAsia="zh-CN"/>
              </w:rPr>
              <w:t>电子信息工程专业</w:t>
            </w:r>
          </w:p>
        </w:tc>
        <w:tc>
          <w:tcPr>
            <w:tcW w:w="2126" w:type="dxa"/>
          </w:tcPr>
          <w:p w14:paraId="27C073D3">
            <w:pPr>
              <w:spacing w:before="40" w:after="40" w:line="300" w:lineRule="auto"/>
            </w:pPr>
            <w:r>
              <w:rPr>
                <w:rFonts w:ascii="Times New Roman" w:hAnsi="Times New Roman" w:eastAsia="宋体"/>
                <w:b w:val="0"/>
                <w:i w:val="0"/>
                <w:sz w:val="21"/>
              </w:rPr>
              <w:t>XGBoost 双模型设计与调优、PageRank 专利网络实现</w:t>
            </w:r>
          </w:p>
        </w:tc>
      </w:tr>
      <w:tr w14:paraId="0FB5D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29D057D3">
            <w:pPr>
              <w:spacing w:before="40" w:after="40" w:line="300" w:lineRule="auto"/>
              <w:rPr>
                <w:rFonts w:hint="default" w:eastAsia="宋体"/>
                <w:lang w:val="en-US" w:eastAsia="zh-CN"/>
              </w:rPr>
            </w:pPr>
            <w:r>
              <w:rPr>
                <w:rFonts w:hint="eastAsia"/>
                <w:lang w:val="en-US" w:eastAsia="zh-CN"/>
              </w:rPr>
              <w:t>涂京英</w:t>
            </w:r>
          </w:p>
        </w:tc>
        <w:tc>
          <w:tcPr>
            <w:tcW w:w="2126" w:type="dxa"/>
          </w:tcPr>
          <w:p w14:paraId="28DE8CDC">
            <w:pPr>
              <w:spacing w:before="40" w:after="40" w:line="300" w:lineRule="auto"/>
            </w:pPr>
            <w:r>
              <w:rPr>
                <w:rFonts w:ascii="Times New Roman" w:hAnsi="Times New Roman" w:eastAsia="宋体"/>
                <w:b w:val="0"/>
                <w:i w:val="0"/>
                <w:sz w:val="21"/>
              </w:rPr>
              <w:t>金融产品设计</w:t>
            </w:r>
          </w:p>
        </w:tc>
        <w:tc>
          <w:tcPr>
            <w:tcW w:w="2126" w:type="dxa"/>
          </w:tcPr>
          <w:p w14:paraId="50FBA529">
            <w:pPr>
              <w:spacing w:before="40" w:after="40" w:line="300" w:lineRule="auto"/>
              <w:rPr>
                <w:rFonts w:hint="default" w:eastAsia="宋体"/>
                <w:lang w:val="en-US" w:eastAsia="zh-CN"/>
              </w:rPr>
            </w:pPr>
            <w:r>
              <w:rPr>
                <w:rFonts w:hint="eastAsia"/>
                <w:lang w:val="en-US" w:eastAsia="zh-CN"/>
              </w:rPr>
              <w:t>通信工程专业</w:t>
            </w:r>
          </w:p>
        </w:tc>
        <w:tc>
          <w:tcPr>
            <w:tcW w:w="2126" w:type="dxa"/>
          </w:tcPr>
          <w:p w14:paraId="4BB5102D">
            <w:pPr>
              <w:spacing w:before="40" w:after="40" w:line="300" w:lineRule="auto"/>
            </w:pPr>
            <w:r>
              <w:rPr>
                <w:rFonts w:ascii="Times New Roman" w:hAnsi="Times New Roman" w:eastAsia="宋体"/>
                <w:b w:val="0"/>
                <w:i w:val="0"/>
                <w:sz w:val="21"/>
              </w:rPr>
              <w:t>里程碑—工具包映射设计、授信公式设计、政策与市场研究</w:t>
            </w:r>
          </w:p>
        </w:tc>
      </w:tr>
    </w:tbl>
    <w:p w14:paraId="3855BE1E">
      <w:pPr>
        <w:spacing w:after="80"/>
      </w:pPr>
    </w:p>
    <w:p w14:paraId="221FE9AD">
      <w:pPr>
        <w:spacing w:before="0" w:after="120" w:line="360" w:lineRule="auto"/>
        <w:ind w:firstLine="480"/>
        <w:jc w:val="both"/>
      </w:pPr>
      <w:r>
        <w:rPr>
          <w:rFonts w:ascii="Times New Roman" w:hAnsi="Times New Roman" w:eastAsia="宋体"/>
          <w:b w:val="0"/>
          <w:i w:val="0"/>
          <w:sz w:val="24"/>
        </w:rPr>
        <w:t>团队能力结构：团队覆盖算法（机器学习、图计算）、工程（前后端全栈）、金融（科技金融产品设计、政策研究）三个维度，与项目所需的能力矩阵相匹配。</w:t>
      </w:r>
    </w:p>
    <w:p w14:paraId="5B9C6496">
      <w:pPr>
        <w:spacing w:before="200" w:after="120" w:line="336" w:lineRule="auto"/>
        <w:jc w:val="left"/>
        <w:outlineLvl w:val="1"/>
      </w:pPr>
      <w:bookmarkStart w:id="43" w:name="_Toc27084"/>
      <w:r>
        <w:rPr>
          <w:rFonts w:ascii="黑体" w:hAnsi="黑体" w:eastAsia="黑体"/>
          <w:b/>
          <w:i w:val="0"/>
          <w:color w:val="0A1730"/>
          <w:sz w:val="26"/>
        </w:rPr>
        <w:t>9.2 指导教师团队</w:t>
      </w:r>
      <w:bookmarkEnd w:id="4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tblGrid>
      <w:tr w14:paraId="1BE27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36599DD3">
            <w:pPr>
              <w:spacing w:before="40" w:after="40" w:line="300" w:lineRule="auto"/>
            </w:pPr>
            <w:r>
              <w:rPr>
                <w:rFonts w:ascii="黑体" w:hAnsi="黑体" w:eastAsia="黑体"/>
                <w:b/>
                <w:i w:val="0"/>
                <w:sz w:val="21"/>
              </w:rPr>
              <w:t>姓名</w:t>
            </w:r>
          </w:p>
        </w:tc>
        <w:tc>
          <w:tcPr>
            <w:tcW w:w="2126" w:type="dxa"/>
          </w:tcPr>
          <w:p w14:paraId="5610EC29">
            <w:pPr>
              <w:spacing w:before="40" w:after="40" w:line="300" w:lineRule="auto"/>
            </w:pPr>
            <w:r>
              <w:rPr>
                <w:rFonts w:ascii="黑体" w:hAnsi="黑体" w:eastAsia="黑体"/>
                <w:b/>
                <w:i w:val="0"/>
                <w:sz w:val="21"/>
              </w:rPr>
              <w:t>职称 / 职务</w:t>
            </w:r>
          </w:p>
        </w:tc>
        <w:tc>
          <w:tcPr>
            <w:tcW w:w="2126" w:type="dxa"/>
          </w:tcPr>
          <w:p w14:paraId="03034A76">
            <w:pPr>
              <w:spacing w:before="40" w:after="40" w:line="300" w:lineRule="auto"/>
            </w:pPr>
            <w:r>
              <w:rPr>
                <w:rFonts w:ascii="黑体" w:hAnsi="黑体" w:eastAsia="黑体"/>
                <w:b/>
                <w:i w:val="0"/>
                <w:sz w:val="21"/>
              </w:rPr>
              <w:t>指导内容</w:t>
            </w:r>
          </w:p>
        </w:tc>
      </w:tr>
      <w:tr w14:paraId="1BA6C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tcPr>
          <w:p w14:paraId="0CB7C689">
            <w:pPr>
              <w:spacing w:before="40" w:after="40" w:line="300" w:lineRule="auto"/>
              <w:rPr>
                <w:rFonts w:hint="default" w:eastAsia="宋体"/>
                <w:lang w:val="en-US" w:eastAsia="zh-CN"/>
              </w:rPr>
            </w:pPr>
            <w:r>
              <w:rPr>
                <w:rFonts w:hint="eastAsia"/>
                <w:lang w:val="en-US" w:eastAsia="zh-CN"/>
              </w:rPr>
              <w:t>喻恒</w:t>
            </w:r>
          </w:p>
        </w:tc>
        <w:tc>
          <w:tcPr>
            <w:tcW w:w="2126" w:type="dxa"/>
          </w:tcPr>
          <w:p w14:paraId="34360415">
            <w:pPr>
              <w:spacing w:before="40" w:after="40" w:line="300" w:lineRule="auto"/>
              <w:rPr>
                <w:rFonts w:hint="eastAsia" w:eastAsia="宋体"/>
                <w:lang w:val="en-US" w:eastAsia="zh-CN"/>
              </w:rPr>
            </w:pPr>
            <w:r>
              <w:rPr>
                <w:rFonts w:hint="eastAsia"/>
                <w:lang w:val="en-US" w:eastAsia="zh-CN"/>
              </w:rPr>
              <w:t>教授</w:t>
            </w:r>
          </w:p>
        </w:tc>
        <w:tc>
          <w:tcPr>
            <w:tcW w:w="2126" w:type="dxa"/>
          </w:tcPr>
          <w:p w14:paraId="30F813A8">
            <w:pPr>
              <w:spacing w:before="40" w:after="40" w:line="300" w:lineRule="auto"/>
            </w:pPr>
            <w:r>
              <w:rPr>
                <w:rFonts w:ascii="Times New Roman" w:hAnsi="Times New Roman" w:eastAsia="宋体"/>
                <w:b w:val="0"/>
                <w:i w:val="0"/>
                <w:sz w:val="21"/>
              </w:rPr>
              <w:t>技术路线指导、模型方法把关</w:t>
            </w:r>
          </w:p>
        </w:tc>
      </w:tr>
    </w:tbl>
    <w:p w14:paraId="2755AEB7">
      <w:pPr>
        <w:spacing w:after="80"/>
      </w:pPr>
    </w:p>
    <w:p w14:paraId="2FAA2833">
      <w:pPr>
        <w:spacing w:before="320" w:after="200" w:line="336" w:lineRule="auto"/>
        <w:jc w:val="left"/>
        <w:outlineLvl w:val="0"/>
      </w:pPr>
      <w:bookmarkStart w:id="44" w:name="_Toc31632"/>
      <w:r>
        <w:rPr>
          <w:rFonts w:ascii="黑体" w:hAnsi="黑体" w:eastAsia="黑体"/>
          <w:b/>
          <w:i w:val="0"/>
          <w:color w:val="0A1730"/>
          <w:sz w:val="30"/>
        </w:rPr>
        <w:t>十、发展战略与未来展望</w:t>
      </w:r>
      <w:bookmarkEnd w:id="44"/>
    </w:p>
    <w:p w14:paraId="73A4DC90">
      <w:pPr>
        <w:spacing w:before="200" w:after="120" w:line="336" w:lineRule="auto"/>
        <w:jc w:val="left"/>
        <w:outlineLvl w:val="1"/>
      </w:pPr>
      <w:bookmarkStart w:id="45" w:name="_Toc30809"/>
      <w:r>
        <w:rPr>
          <w:rFonts w:ascii="黑体" w:hAnsi="黑体" w:eastAsia="黑体"/>
          <w:b/>
          <w:i w:val="0"/>
          <w:color w:val="0A1730"/>
          <w:sz w:val="26"/>
        </w:rPr>
        <w:t>10.1 发展战略</w:t>
      </w:r>
      <w:bookmarkEnd w:id="45"/>
    </w:p>
    <w:p w14:paraId="2843C140">
      <w:pPr>
        <w:spacing w:before="0" w:after="120" w:line="360" w:lineRule="auto"/>
        <w:ind w:firstLine="480"/>
        <w:jc w:val="both"/>
      </w:pPr>
      <w:r>
        <w:rPr>
          <w:rFonts w:ascii="Times New Roman" w:hAnsi="Times New Roman" w:eastAsia="宋体"/>
          <w:b w:val="0"/>
          <w:i w:val="0"/>
          <w:sz w:val="24"/>
        </w:rPr>
        <w:t>项目分三阶段推进，采取"试点验证—区域复制—生态扩张"的渐进路径。</w:t>
      </w:r>
    </w:p>
    <w:p w14:paraId="2F2A298B">
      <w:pPr>
        <w:spacing w:before="0" w:after="120" w:line="360" w:lineRule="auto"/>
        <w:ind w:firstLine="480"/>
        <w:jc w:val="both"/>
      </w:pPr>
      <w:r>
        <w:rPr>
          <w:rFonts w:ascii="Times New Roman" w:hAnsi="Times New Roman" w:eastAsia="宋体"/>
          <w:b w:val="0"/>
          <w:i w:val="0"/>
          <w:sz w:val="24"/>
        </w:rPr>
        <w:t>第一阶段：试点验证（第 1 年）</w:t>
      </w:r>
    </w:p>
    <w:p w14:paraId="28F34F7D">
      <w:pPr>
        <w:spacing w:before="0" w:after="120" w:line="360" w:lineRule="auto"/>
        <w:ind w:firstLine="480"/>
        <w:jc w:val="both"/>
      </w:pPr>
      <w:r>
        <w:rPr>
          <w:rFonts w:ascii="Times New Roman" w:hAnsi="Times New Roman" w:eastAsia="宋体"/>
          <w:b w:val="0"/>
          <w:i w:val="0"/>
          <w:sz w:val="24"/>
        </w:rPr>
        <w:t>核心目标是用真实数据验证模型并完成标杆案例。重点工作包括：在政策试点地区对接 2~3 家银行科技金融专营机构或创投机构；以脱敏真实数据回测估值与风险模型，校准模拟环境下的指标偏差；完善可解释性输出与公平性评估；完成数据合规框架的落地。此阶段不以收入为目标，以数据与案例为关键成果。</w:t>
      </w:r>
    </w:p>
    <w:p w14:paraId="53834E00">
      <w:pPr>
        <w:spacing w:before="0" w:after="120" w:line="360" w:lineRule="auto"/>
        <w:ind w:firstLine="480"/>
        <w:jc w:val="both"/>
      </w:pPr>
      <w:r>
        <w:rPr>
          <w:rFonts w:ascii="Times New Roman" w:hAnsi="Times New Roman" w:eastAsia="宋体"/>
          <w:b w:val="0"/>
          <w:i w:val="0"/>
          <w:sz w:val="24"/>
        </w:rPr>
        <w:t>第二阶段：区域复制（第 2~3 年）</w:t>
      </w:r>
    </w:p>
    <w:p w14:paraId="5F28FB83">
      <w:pPr>
        <w:spacing w:before="0" w:after="120" w:line="360" w:lineRule="auto"/>
        <w:ind w:firstLine="480"/>
        <w:jc w:val="both"/>
      </w:pPr>
      <w:r>
        <w:rPr>
          <w:rFonts w:ascii="Times New Roman" w:hAnsi="Times New Roman" w:eastAsia="宋体"/>
          <w:b w:val="0"/>
          <w:i w:val="0"/>
          <w:sz w:val="24"/>
        </w:rPr>
        <w:t>核心目标是把试点经验标准化并快速复制。重点工作包括：将赛道套件产品化（半导体、生物医药、高端装备/新材料三个版本）；形成标准化的实施交付方法论与培训体系；客户数扩展至 30 家以上；SaaS 订阅与 API 服务成为稳定现金流；营业收入实现盈亏平衡并转正。</w:t>
      </w:r>
    </w:p>
    <w:p w14:paraId="18AE12FE">
      <w:pPr>
        <w:spacing w:before="0" w:after="120" w:line="360" w:lineRule="auto"/>
        <w:ind w:firstLine="480"/>
        <w:jc w:val="both"/>
      </w:pPr>
      <w:r>
        <w:rPr>
          <w:rFonts w:ascii="Times New Roman" w:hAnsi="Times New Roman" w:eastAsia="宋体"/>
          <w:b w:val="0"/>
          <w:i w:val="0"/>
          <w:sz w:val="24"/>
        </w:rPr>
        <w:t>第三阶段：生态扩张（第 3~5 年）</w:t>
      </w:r>
    </w:p>
    <w:p w14:paraId="5CF6CEF2">
      <w:pPr>
        <w:spacing w:before="0" w:after="120" w:line="360" w:lineRule="auto"/>
        <w:ind w:firstLine="480"/>
        <w:jc w:val="both"/>
      </w:pPr>
      <w:r>
        <w:rPr>
          <w:rFonts w:ascii="Times New Roman" w:hAnsi="Times New Roman" w:eastAsia="宋体"/>
          <w:b w:val="0"/>
          <w:i w:val="0"/>
          <w:sz w:val="24"/>
        </w:rPr>
        <w:t>核心目标是从单点工具走向投贷保联动生态。重点工作包括：接入创业投资机构与 AIC，形成"投—贷—保"三方联动；对接保险机构，为"中试保融通"类产品提供定价参考；探索与政府风险补偿资金池的机制衔接；择机引入战略投资方或寻求并购整合。</w:t>
      </w:r>
    </w:p>
    <w:p w14:paraId="6691C104">
      <w:pPr>
        <w:spacing w:before="200" w:after="120" w:line="336" w:lineRule="auto"/>
        <w:jc w:val="left"/>
        <w:outlineLvl w:val="1"/>
      </w:pPr>
      <w:bookmarkStart w:id="46" w:name="_Toc31347"/>
      <w:r>
        <w:rPr>
          <w:rFonts w:ascii="黑体" w:hAnsi="黑体" w:eastAsia="黑体"/>
          <w:b/>
          <w:i w:val="0"/>
          <w:color w:val="0A1730"/>
          <w:sz w:val="26"/>
        </w:rPr>
        <w:t>10.2 未来展望</w:t>
      </w:r>
      <w:bookmarkEnd w:id="46"/>
    </w:p>
    <w:p w14:paraId="7C1BF005">
      <w:pPr>
        <w:spacing w:before="0" w:after="120" w:line="360" w:lineRule="auto"/>
        <w:ind w:firstLine="480"/>
        <w:jc w:val="both"/>
      </w:pPr>
      <w:r>
        <w:rPr>
          <w:rFonts w:ascii="Times New Roman" w:hAnsi="Times New Roman" w:eastAsia="宋体"/>
          <w:b w:val="0"/>
          <w:i w:val="0"/>
          <w:sz w:val="24"/>
        </w:rPr>
        <w:t>技术演进方向：一是引入大语言模型解析专利文本与非结构化技术文档，丰富专利质量分的输入维度；二是探索图神经网络（GNN）替代传统 PageRank，捕捉专利网络中的高阶结构特征；三是构建动态估值时间序列，为创投机构提供企业价值演进的可视化轨迹；四是发展联邦学习框架，在"数据不出域"前提下实现多机构联合建模。</w:t>
      </w:r>
    </w:p>
    <w:p w14:paraId="2EAD84F9">
      <w:pPr>
        <w:spacing w:before="0" w:after="120" w:line="360" w:lineRule="auto"/>
        <w:ind w:firstLine="480"/>
        <w:jc w:val="both"/>
      </w:pPr>
      <w:r>
        <w:rPr>
          <w:rFonts w:ascii="Times New Roman" w:hAnsi="Times New Roman" w:eastAsia="宋体"/>
          <w:b w:val="0"/>
          <w:i w:val="0"/>
          <w:sz w:val="24"/>
        </w:rPr>
        <w:t>业务演进方向：从服务银行信贷审批，扩展到服务创投尽调、保险定价、政府科技项目评审等多元场景；从服务单一企业，扩展到服务产业链与产业集群的技术图谱分析。</w:t>
      </w:r>
    </w:p>
    <w:p w14:paraId="418044D9">
      <w:pPr>
        <w:spacing w:before="0" w:after="120" w:line="360" w:lineRule="auto"/>
        <w:ind w:firstLine="480"/>
        <w:jc w:val="both"/>
      </w:pPr>
      <w:r>
        <w:rPr>
          <w:rFonts w:ascii="Times New Roman" w:hAnsi="Times New Roman" w:eastAsia="宋体"/>
          <w:b w:val="0"/>
          <w:i w:val="0"/>
          <w:sz w:val="24"/>
        </w:rPr>
        <w:t>更长远的价值愿景：如果这套"把技术资产翻译成风险参数"的方法能够被行业广泛接受，那么硬科技企业融资难这个长期存在的结构性问题，或许能被实质性缓解。让研发的每一步都成为可计量的信用——这不仅是一句产品口号，更是我们希望推动的行业评价范式的转变。</w:t>
      </w:r>
    </w:p>
    <w:p w14:paraId="4703FCD9">
      <w:pPr>
        <w:spacing w:before="0" w:after="120" w:line="360" w:lineRule="auto"/>
        <w:ind w:firstLine="480"/>
        <w:jc w:val="both"/>
      </w:pPr>
      <w:r>
        <w:rPr>
          <w:rFonts w:ascii="Times New Roman" w:hAnsi="Times New Roman" w:eastAsia="宋体"/>
          <w:b w:val="0"/>
          <w:i w:val="0"/>
          <w:sz w:val="24"/>
        </w:rPr>
        <w:t>作为一支学生团队，我们清醒地知道：从原型到落地，中间还隔着真实数据、监管认可、机构信任与持续投入四道门槛。但我们相信，选对了问题的方向，每一步都值得。</w:t>
      </w:r>
    </w:p>
    <w:sectPr>
      <w:footerReference r:id="rId5" w:type="default"/>
      <w:pgSz w:w="11906" w:h="16838"/>
      <w:pgMar w:top="1417" w:right="1701"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5DDBA">
    <w:pPr>
      <w:pStyle w:val="24"/>
      <w:jc w:val="center"/>
    </w:pPr>
    <w:r>
      <w:rPr>
        <w:rFonts w:ascii="Times New Roman" w:hAnsi="Times New Roman" w:eastAsia="宋体"/>
        <w:b w:val="0"/>
        <w:i w:val="0"/>
        <w:color w:val="555555"/>
        <w:sz w:val="20"/>
      </w:rPr>
      <w:fldChar w:fldCharType="begin"/>
    </w:r>
    <w:r>
      <w:rPr>
        <w:rFonts w:ascii="Times New Roman" w:hAnsi="Times New Roman" w:eastAsia="宋体"/>
        <w:b w:val="0"/>
        <w:i w:val="0"/>
        <w:color w:val="555555"/>
        <w:sz w:val="20"/>
      </w:rPr>
      <w:instrText xml:space="preserve">PAGE</w:instrText>
    </w:r>
    <w:r>
      <w:rPr>
        <w:rFonts w:ascii="Times New Roman" w:hAnsi="Times New Roman" w:eastAsia="宋体"/>
        <w:b w:val="0"/>
        <w:i w:val="0"/>
        <w:color w:val="555555"/>
        <w:sz w:val="20"/>
      </w:rPr>
      <w:fldChar w:fldCharType="separate"/>
    </w:r>
    <w:r>
      <w:rPr>
        <w:rFonts w:ascii="Times New Roman" w:hAnsi="Times New Roman" w:eastAsia="宋体"/>
        <w:b w:val="0"/>
        <w:i w:val="0"/>
        <w:color w:val="555555"/>
        <w:sz w:val="20"/>
      </w:rPr>
      <w:t>1</w:t>
    </w:r>
    <w:r>
      <w:rPr>
        <w:rFonts w:ascii="Times New Roman" w:hAnsi="Times New Roman" w:eastAsia="宋体"/>
        <w:b w:val="0"/>
        <w:i w:val="0"/>
        <w:color w:val="555555"/>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6513B3"/>
    <w:rsid w:val="41DE46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7306</Words>
  <Characters>8160</Characters>
  <Lines>0</Lines>
  <Paragraphs>0</Paragraphs>
  <TotalTime>16</TotalTime>
  <ScaleCrop>false</ScaleCrop>
  <LinksUpToDate>false</LinksUpToDate>
  <CharactersWithSpaces>8574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WPS_1673087065</cp:lastModifiedBy>
  <dcterms:modified xsi:type="dcterms:W3CDTF">2026-09-22T08:51:06Z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eyJoZGlkIjoiY2U5N2EwZjMyZjc0ZWQ4MTQ1ZDFhZTFmNmEwYWI2ZGIiLCJ1c2VySWQiOiIxNDY0NzgwNzcwIn0=</vt:lpwstr>
  </property>
  <property fmtid="{D5CDD505-2E9C-101B-9397-08002B2CF9AE}" pid="3" name="KSOProductBuildVer">
    <vt:lpwstr>2052-12.1.0.26895</vt:lpwstr>
  </property>
  <property fmtid="{D5CDD505-2E9C-101B-9397-08002B2CF9AE}" pid="4" name="ICV">
    <vt:lpwstr>67E4C252A93F4A348A6F689521460C45_12</vt:lpwstr>
  </property>
</Properties>
</file>