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EC46F">
      <w:pPr>
        <w:pStyle w:val="16"/>
      </w:pPr>
      <w:r>
        <w:t>南湾街道经济赋能解决方案</w:t>
      </w:r>
    </w:p>
    <w:p w14:paraId="2AC2C2D2">
      <w:pPr>
        <w:rPr>
          <w:rFonts w:hint="eastAsia"/>
        </w:rPr>
      </w:pPr>
    </w:p>
    <w:p w14:paraId="0CB8CCBB">
      <w:pPr>
        <w:pStyle w:val="11"/>
      </w:pPr>
      <w:r>
        <w:rPr>
          <w:rFonts w:hint="eastAsia" w:ascii="仿宋_GB2312" w:hAnsi="仿宋_GB2312" w:eastAsia="仿宋_GB2312" w:cs="仿宋_GB2312"/>
        </w:rPr>
        <w:t>为全面赋能南湾街道经济高质量发展，依托集企业数据汇聚、数据挖掘、数据分析、产业知识库构建及资讯流转于一体的产业资讯服务体系，围绕企业培育、政策推送、空间推荐、产品推广、供需链接、资金撮合、人才招聘、外迁预警、固投监测、统计分析十大核心场景，构建全周期、精细化、智能化的经济赋能服务体系，助力街道夯实市场主体基础、挖掘产业发展潜力、优化营商环境、提升决策支撑能力，实现经济规模与质量双提升。</w:t>
      </w:r>
    </w:p>
    <w:p w14:paraId="2892DEA1">
      <w:pPr>
        <w:pStyle w:val="2"/>
        <w:numPr>
          <w:ilvl w:val="0"/>
          <w:numId w:val="3"/>
        </w:numPr>
        <w:topLinePunct w:val="0"/>
        <w:ind w:left="0" w:leftChars="0" w:firstLine="643" w:firstLineChars="0"/>
        <w:rPr>
          <w:b/>
        </w:rPr>
      </w:pPr>
      <w:r>
        <w:t>企业培育</w:t>
      </w:r>
    </w:p>
    <w:p w14:paraId="25737EE9">
      <w:pPr>
        <w:pStyle w:val="3"/>
        <w:numPr>
          <w:ilvl w:val="0"/>
          <w:numId w:val="4"/>
        </w:numPr>
        <w:topLinePunct w:val="0"/>
        <w:ind w:left="0" w:leftChars="0" w:firstLine="643" w:firstLineChars="0"/>
        <w:rPr>
          <w:b/>
        </w:rPr>
      </w:pPr>
      <w:r>
        <w:t>科创基础库</w:t>
      </w:r>
    </w:p>
    <w:p w14:paraId="5AD881DE">
      <w:pPr>
        <w:pStyle w:val="11"/>
        <w:rPr>
          <w:rFonts w:hint="eastAsia" w:ascii="仿宋_GB2312" w:hAnsi="仿宋_GB2312" w:eastAsia="仿宋_GB2312" w:cs="仿宋_GB2312"/>
        </w:rPr>
      </w:pPr>
      <w:r>
        <w:rPr>
          <w:rFonts w:hint="eastAsia" w:ascii="仿宋_GB2312" w:hAnsi="仿宋_GB2312" w:eastAsia="仿宋_GB2312" w:cs="仿宋_GB2312"/>
        </w:rPr>
        <w:t>系统汇聚南湾街道范围内国家高新技术企业（含准国高）、专精特新企业（含潜力）、国家级专精特新“小巨人”企业（含潜力）及其他创新型企业的多源数据，数据维度全面覆盖工商注册、股权结构、资本实力等基础信息；主营业务、核心产品、技术路线等业务信息；发明专利、软件著作权、研发投入等创新信息；经营业绩、中标情况、市场拓展等市场信息；人员规模、招聘动态、人才结构等人力信息；供应链、客户群、投资关系等合作生态信息及相关舆情动态，确保信息全面、准确、可追溯。</w:t>
      </w:r>
    </w:p>
    <w:p w14:paraId="3EFAF797">
      <w:pPr>
        <w:pStyle w:val="3"/>
        <w:numPr>
          <w:ilvl w:val="0"/>
          <w:numId w:val="4"/>
        </w:numPr>
        <w:topLinePunct w:val="0"/>
        <w:ind w:left="0" w:leftChars="0" w:firstLine="643" w:firstLineChars="0"/>
        <w:rPr>
          <w:b/>
        </w:rPr>
      </w:pPr>
      <w:r>
        <w:t>科创培育库</w:t>
      </w:r>
    </w:p>
    <w:p w14:paraId="3CF942CF">
      <w:pPr>
        <w:pStyle w:val="11"/>
        <w:rPr>
          <w:rFonts w:hint="eastAsia" w:ascii="仿宋_GB2312" w:hAnsi="仿宋_GB2312" w:eastAsia="仿宋_GB2312" w:cs="仿宋_GB2312"/>
        </w:rPr>
      </w:pPr>
      <w:r>
        <w:rPr>
          <w:rFonts w:hint="eastAsia" w:ascii="仿宋_GB2312" w:hAnsi="仿宋_GB2312" w:eastAsia="仿宋_GB2312" w:cs="仿宋_GB2312"/>
        </w:rPr>
        <w:t>基于科创基础库，运用成熟算法与综合评价模型，对准国高、潜力专精特新、潜力小巨人等群体进行量化评分与潜力识别，形成动态管理的重点培育库：</w:t>
      </w:r>
    </w:p>
    <w:p w14:paraId="4184C8B4">
      <w:pPr>
        <w:pStyle w:val="11"/>
        <w:numPr>
          <w:ilvl w:val="0"/>
          <w:numId w:val="5"/>
        </w:numPr>
        <w:ind w:left="0" w:leftChars="0" w:firstLine="640" w:firstLineChars="0"/>
        <w:rPr>
          <w:b w:val="0"/>
        </w:rPr>
      </w:pPr>
      <w:r>
        <w:rPr>
          <w:b/>
          <w:bCs/>
        </w:rPr>
        <w:t>优质初创及中小企业50家</w:t>
      </w:r>
      <w:r>
        <w:t>：筛选具备创新活力、市场潜力的初创及中小企业，重点关注其核心技术与商业模式创新。</w:t>
      </w:r>
    </w:p>
    <w:p w14:paraId="1E148280">
      <w:pPr>
        <w:pStyle w:val="11"/>
        <w:numPr>
          <w:ilvl w:val="0"/>
          <w:numId w:val="5"/>
        </w:numPr>
        <w:ind w:left="0" w:leftChars="0" w:firstLine="640" w:firstLineChars="0"/>
        <w:rPr>
          <w:b w:val="0"/>
        </w:rPr>
      </w:pPr>
      <w:r>
        <w:rPr>
          <w:b/>
          <w:bCs/>
        </w:rPr>
        <w:t>国高潜力企业30家</w:t>
      </w:r>
      <w:r>
        <w:t>：聚焦研发投入稳定、技术成果突出、符合国家高新技术企业认定标准的潜力企业。</w:t>
      </w:r>
    </w:p>
    <w:p w14:paraId="13DF2B90">
      <w:pPr>
        <w:pStyle w:val="11"/>
        <w:numPr>
          <w:ilvl w:val="0"/>
          <w:numId w:val="5"/>
        </w:numPr>
        <w:ind w:left="0" w:leftChars="0" w:firstLine="640" w:firstLineChars="0"/>
        <w:rPr>
          <w:b w:val="0"/>
        </w:rPr>
      </w:pPr>
      <w:r>
        <w:rPr>
          <w:b/>
          <w:bCs/>
        </w:rPr>
        <w:t>专精特新潜力企业30家</w:t>
      </w:r>
      <w:r>
        <w:t>：挖掘在细分市场具有竞争优势、专注细分领域、创新能力强、市场占有率高的潜力企业。</w:t>
      </w:r>
    </w:p>
    <w:p w14:paraId="7396FC97">
      <w:pPr>
        <w:pStyle w:val="3"/>
        <w:numPr>
          <w:ilvl w:val="0"/>
          <w:numId w:val="4"/>
        </w:numPr>
        <w:topLinePunct w:val="0"/>
        <w:ind w:left="0" w:leftChars="0" w:firstLine="643" w:firstLineChars="0"/>
        <w:rPr>
          <w:b/>
        </w:rPr>
      </w:pPr>
      <w:r>
        <w:t>科创培育榜</w:t>
      </w:r>
    </w:p>
    <w:p w14:paraId="02651F6D">
      <w:pPr>
        <w:pStyle w:val="11"/>
        <w:rPr>
          <w:rFonts w:hint="eastAsia" w:ascii="仿宋_GB2312" w:hAnsi="仿宋_GB2312" w:eastAsia="仿宋_GB2312" w:cs="仿宋_GB2312"/>
        </w:rPr>
      </w:pPr>
      <w:r>
        <w:rPr>
          <w:rFonts w:hint="eastAsia" w:ascii="仿宋_GB2312" w:hAnsi="仿宋_GB2312" w:eastAsia="仿宋_GB2312" w:cs="仿宋_GB2312"/>
        </w:rPr>
        <w:t>构建涵盖产品竞争力、技术创新力、市场成长性、人才储备力、合作生态健康度、战略发展动向等六大维度的综合评价模型，融合定量数据与定性指标，通过加权计算与趋势分析，对重点培育库企业进行评分。根据评分结果及潜力程度进行标星分级</w:t>
      </w:r>
      <w:r>
        <w:rPr>
          <w:rFonts w:hint="eastAsia" w:ascii="仿宋_GB2312" w:hAnsi="仿宋_GB2312" w:eastAsia="仿宋_GB2312" w:cs="仿宋_GB2312"/>
          <w:b/>
          <w:bCs/>
        </w:rPr>
        <w:t>（三星、二星、一星）</w:t>
      </w:r>
      <w:r>
        <w:rPr>
          <w:rFonts w:hint="eastAsia" w:ascii="仿宋_GB2312" w:hAnsi="仿宋_GB2312" w:eastAsia="仿宋_GB2312" w:cs="仿宋_GB2312"/>
        </w:rPr>
        <w:t>，三星为最高优先级培育企业，明确培育重点与方向，实施精准化、差异化培育。</w:t>
      </w:r>
    </w:p>
    <w:p w14:paraId="7C7341BB">
      <w:pPr>
        <w:pStyle w:val="3"/>
        <w:numPr>
          <w:ilvl w:val="0"/>
          <w:numId w:val="4"/>
        </w:numPr>
        <w:topLinePunct w:val="0"/>
        <w:ind w:left="0" w:leftChars="0" w:firstLine="643" w:firstLineChars="0"/>
        <w:rPr>
          <w:b/>
        </w:rPr>
      </w:pPr>
      <w:r>
        <w:t>科创培育画像</w:t>
      </w:r>
    </w:p>
    <w:p w14:paraId="6CAD986C">
      <w:pPr>
        <w:pStyle w:val="11"/>
      </w:pPr>
      <w:r>
        <w:t>针对科创重点培育企业，生成专项培育画像报告，聚焦资质提升关键维度，</w:t>
      </w:r>
      <w:r>
        <w:rPr>
          <w:b/>
          <w:bCs/>
        </w:rPr>
        <w:t>重点列明与企业资质（国高、专精特新、小巨人等）提升相关的核心信息，包括研发投入达标情况、专利储备数量与类型、营收增长趋势、细分市场占有率等</w:t>
      </w:r>
      <w:r>
        <w:t>，为针对性开展资质培育工作提供清晰依据。</w:t>
      </w:r>
    </w:p>
    <w:p w14:paraId="5ABD50F5">
      <w:pPr>
        <w:pStyle w:val="3"/>
        <w:numPr>
          <w:ilvl w:val="0"/>
          <w:numId w:val="4"/>
        </w:numPr>
        <w:topLinePunct w:val="0"/>
        <w:ind w:left="0" w:leftChars="0" w:firstLine="643" w:firstLineChars="0"/>
        <w:rPr>
          <w:b/>
        </w:rPr>
      </w:pPr>
      <w:r>
        <w:t>科创企业画像</w:t>
      </w:r>
    </w:p>
    <w:p w14:paraId="2BD7AC3C">
      <w:pPr>
        <w:pStyle w:val="11"/>
      </w:pPr>
      <w:r>
        <w:t>为所有科创企业生成立体画像报告，分为详细数据版与发展潜力版：</w:t>
      </w:r>
    </w:p>
    <w:p w14:paraId="0BF73C7D">
      <w:pPr>
        <w:pStyle w:val="11"/>
        <w:numPr>
          <w:ilvl w:val="0"/>
          <w:numId w:val="6"/>
        </w:numPr>
        <w:ind w:left="0" w:leftChars="0" w:firstLine="640" w:firstLineChars="0"/>
        <w:rPr>
          <w:b w:val="0"/>
        </w:rPr>
      </w:pPr>
      <w:r>
        <w:rPr>
          <w:b/>
          <w:bCs/>
        </w:rPr>
        <w:t>详细数据版：</w:t>
      </w:r>
      <w:r>
        <w:t>一键整合企业地址、所属行业等基本信息，股权结构与资本实力，业务布局与产品体系，技术创新与专利储备，市场经营与中标表现，人力资源与招聘动态，合作生态与关联企业，舆情动态等多维度数据资讯，提升企业数据获取效率。</w:t>
      </w:r>
    </w:p>
    <w:p w14:paraId="26D82DDA">
      <w:pPr>
        <w:pStyle w:val="11"/>
        <w:numPr>
          <w:ilvl w:val="0"/>
          <w:numId w:val="6"/>
        </w:numPr>
        <w:ind w:left="0" w:leftChars="0" w:firstLine="640" w:firstLineChars="0"/>
        <w:rPr>
          <w:b w:val="0"/>
        </w:rPr>
      </w:pPr>
      <w:r>
        <w:rPr>
          <w:b/>
          <w:bCs/>
        </w:rPr>
        <w:t>发展潜力版</w:t>
      </w:r>
      <w:r>
        <w:t>：从企业产品、创新、市场、人才、合作生态、发展动向等多维度综合评估企业发展潜能，为企业发展规划与街道培育策略制定提供参考。</w:t>
      </w:r>
    </w:p>
    <w:p w14:paraId="4E63BEA4">
      <w:pPr>
        <w:pStyle w:val="2"/>
        <w:numPr>
          <w:ilvl w:val="0"/>
          <w:numId w:val="3"/>
        </w:numPr>
        <w:topLinePunct w:val="0"/>
        <w:ind w:left="0" w:leftChars="0" w:firstLine="643" w:firstLineChars="0"/>
        <w:rPr>
          <w:b/>
        </w:rPr>
      </w:pPr>
      <w:r>
        <w:t>政策推送</w:t>
      </w:r>
    </w:p>
    <w:p w14:paraId="63956721">
      <w:pPr>
        <w:pStyle w:val="3"/>
        <w:numPr>
          <w:ilvl w:val="0"/>
          <w:numId w:val="7"/>
        </w:numPr>
        <w:topLinePunct w:val="0"/>
        <w:ind w:left="0" w:leftChars="0" w:firstLine="643" w:firstLineChars="0"/>
        <w:rPr>
          <w:b/>
        </w:rPr>
      </w:pPr>
      <w:r>
        <w:t>政策知识库</w:t>
      </w:r>
    </w:p>
    <w:p w14:paraId="75A236C0">
      <w:pPr>
        <w:pStyle w:val="11"/>
      </w:pPr>
      <w:r>
        <w:t>系统采集并结构化存储国家、省、市、区及街道各级适用于本地企业的产业、科技、人才、金融等各类政策，明确政策核心条款、申报条件、扶持方式、流程节点、材料清单等关键要素，形成分类清晰、检索便捷的政策知识库，确保政策信息规范管理。</w:t>
      </w:r>
    </w:p>
    <w:p w14:paraId="6B1B54D1">
      <w:pPr>
        <w:pStyle w:val="3"/>
        <w:numPr>
          <w:ilvl w:val="0"/>
          <w:numId w:val="7"/>
        </w:numPr>
        <w:topLinePunct w:val="0"/>
        <w:ind w:left="0" w:leftChars="0" w:firstLine="643" w:firstLineChars="0"/>
        <w:rPr>
          <w:b/>
        </w:rPr>
      </w:pPr>
      <w:r>
        <w:t>政策监测</w:t>
      </w:r>
    </w:p>
    <w:p w14:paraId="1291B384">
      <w:pPr>
        <w:pStyle w:val="11"/>
      </w:pPr>
      <w:r>
        <w:t>利用网络爬虫技术，对指定官方网站、政务平台等监测源进行动态监测，自动捕获最新政策资讯，实时更新政策知识库，确保政策信息的及时性与完整性，避免企业错过政策红利窗口期。</w:t>
      </w:r>
    </w:p>
    <w:p w14:paraId="7AA07D7B">
      <w:pPr>
        <w:pStyle w:val="3"/>
        <w:numPr>
          <w:ilvl w:val="0"/>
          <w:numId w:val="7"/>
        </w:numPr>
        <w:topLinePunct w:val="0"/>
        <w:ind w:left="0" w:leftChars="0" w:firstLine="643" w:firstLineChars="0"/>
        <w:rPr>
          <w:b/>
        </w:rPr>
      </w:pPr>
      <w:r>
        <w:t>政策匹配</w:t>
      </w:r>
    </w:p>
    <w:p w14:paraId="79FAD02A">
      <w:pPr>
        <w:pStyle w:val="11"/>
        <w:rPr>
          <w:rFonts w:hint="eastAsia" w:ascii="仿宋_GB2312" w:hAnsi="仿宋_GB2312" w:eastAsia="仿宋_GB2312" w:cs="仿宋_GB2312"/>
        </w:rPr>
      </w:pPr>
      <w:r>
        <w:rPr>
          <w:rFonts w:hint="eastAsia" w:ascii="仿宋_GB2312" w:hAnsi="仿宋_GB2312" w:eastAsia="仿宋_GB2312" w:cs="仿宋_GB2312"/>
        </w:rPr>
        <w:t>建立“政策-企业”双向匹配引擎，实现精准对接：</w:t>
      </w:r>
    </w:p>
    <w:p w14:paraId="2610DE76">
      <w:pPr>
        <w:pStyle w:val="11"/>
        <w:numPr>
          <w:ilvl w:val="0"/>
          <w:numId w:val="8"/>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政策匹配企业</w:t>
      </w:r>
      <w:r>
        <w:rPr>
          <w:rFonts w:hint="eastAsia" w:ascii="仿宋_GB2312" w:hAnsi="仿宋_GB2312" w:eastAsia="仿宋_GB2312" w:cs="仿宋_GB2312"/>
        </w:rPr>
        <w:t>：针对单条政策，快速筛选出街道内所有符合申报条件的企业，明确列出企业可申报的具体项目及匹配依据。</w:t>
      </w:r>
    </w:p>
    <w:p w14:paraId="70330A70">
      <w:pPr>
        <w:pStyle w:val="11"/>
        <w:numPr>
          <w:ilvl w:val="0"/>
          <w:numId w:val="8"/>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企业匹配政策</w:t>
      </w:r>
      <w:r>
        <w:rPr>
          <w:rFonts w:hint="eastAsia" w:ascii="仿宋_GB2312" w:hAnsi="仿宋_GB2312" w:eastAsia="仿宋_GB2312" w:cs="仿宋_GB2312"/>
        </w:rPr>
        <w:t>：输入企业名称，一键匹配其可能符合的所有政策清单，清晰呈现政策与企业的契合点。</w:t>
      </w:r>
    </w:p>
    <w:p w14:paraId="71246604">
      <w:pPr>
        <w:pStyle w:val="3"/>
        <w:numPr>
          <w:ilvl w:val="0"/>
          <w:numId w:val="7"/>
        </w:numPr>
        <w:topLinePunct w:val="0"/>
        <w:ind w:left="0" w:leftChars="0" w:firstLine="643" w:firstLineChars="0"/>
        <w:rPr>
          <w:b/>
        </w:rPr>
      </w:pPr>
      <w:r>
        <w:t>政策提醒</w:t>
      </w:r>
    </w:p>
    <w:p w14:paraId="1C6AA70F">
      <w:pPr>
        <w:pStyle w:val="11"/>
        <w:rPr>
          <w:rFonts w:hint="eastAsia" w:ascii="仿宋_GB2312" w:hAnsi="仿宋_GB2312" w:eastAsia="仿宋_GB2312" w:cs="仿宋_GB2312"/>
        </w:rPr>
      </w:pPr>
      <w:r>
        <w:rPr>
          <w:rFonts w:hint="eastAsia" w:ascii="仿宋_GB2312" w:hAnsi="仿宋_GB2312" w:eastAsia="仿宋_GB2312" w:cs="仿宋_GB2312"/>
        </w:rPr>
        <w:t>依据政策申报周期，建立“政策发布-宣传解读-材料准备-申报启动-结果查询”全流程的智能提醒时钟。系统自动向街道工作人员及匹配企业发送阶段性提醒，通过预设渠道推送《政策申报提醒信息》，确保企业及时掌握申报进度，避免遗漏申报时机。</w:t>
      </w:r>
    </w:p>
    <w:p w14:paraId="4297AAD0">
      <w:pPr>
        <w:pStyle w:val="3"/>
        <w:numPr>
          <w:ilvl w:val="0"/>
          <w:numId w:val="7"/>
        </w:numPr>
        <w:topLinePunct w:val="0"/>
        <w:ind w:left="0" w:leftChars="0" w:firstLine="643" w:firstLineChars="0"/>
        <w:rPr>
          <w:b/>
        </w:rPr>
      </w:pPr>
      <w:r>
        <w:t>政策解读</w:t>
      </w:r>
    </w:p>
    <w:p w14:paraId="4F80C886">
      <w:pPr>
        <w:pStyle w:val="11"/>
      </w:pPr>
      <w:r>
        <w:t>定期组织线上或线下政策解读会、宣讲会，邀请专家或相关部门负责人，对重大政策变化、申报要点、产业导向进行深度剖析，帮助企业理解政策内涵，把握产业趋势，辅助企业战略决策与申报工作。</w:t>
      </w:r>
    </w:p>
    <w:p w14:paraId="1A99AA27">
      <w:pPr>
        <w:pStyle w:val="2"/>
        <w:numPr>
          <w:ilvl w:val="0"/>
          <w:numId w:val="3"/>
        </w:numPr>
        <w:topLinePunct w:val="0"/>
        <w:ind w:left="0" w:leftChars="0" w:firstLine="643" w:firstLineChars="0"/>
        <w:rPr>
          <w:b/>
        </w:rPr>
      </w:pPr>
      <w:r>
        <w:t>空间推荐</w:t>
      </w:r>
    </w:p>
    <w:p w14:paraId="14215C1C">
      <w:pPr>
        <w:pStyle w:val="3"/>
        <w:numPr>
          <w:ilvl w:val="0"/>
          <w:numId w:val="9"/>
        </w:numPr>
        <w:topLinePunct w:val="0"/>
        <w:ind w:left="0" w:leftChars="0" w:firstLine="643" w:firstLineChars="0"/>
        <w:rPr>
          <w:b/>
        </w:rPr>
      </w:pPr>
      <w:r>
        <w:t>产业空间库</w:t>
      </w:r>
    </w:p>
    <w:p w14:paraId="5ED74BA7">
      <w:pPr>
        <w:pStyle w:val="11"/>
      </w:pPr>
      <w:r>
        <w:t>全面梳理南湾街道重点产业园区、写字楼、工业厂房等空间资源信息，建立包含园区名称、地理位置、占地面积、建筑面积、楼层参数、承重、配套设施（如电梯、物流）、租赁价格等详细属性的产业空间基础数据库，实现空间资源规范化管理。</w:t>
      </w:r>
    </w:p>
    <w:p w14:paraId="047E2954">
      <w:pPr>
        <w:pStyle w:val="3"/>
        <w:numPr>
          <w:ilvl w:val="0"/>
          <w:numId w:val="9"/>
        </w:numPr>
        <w:topLinePunct w:val="0"/>
        <w:ind w:left="0" w:leftChars="0" w:firstLine="643" w:firstLineChars="0"/>
        <w:rPr>
          <w:b/>
        </w:rPr>
      </w:pPr>
      <w:r>
        <w:t>企业空间需求</w:t>
      </w:r>
    </w:p>
    <w:p w14:paraId="77041EF4">
      <w:pPr>
        <w:pStyle w:val="11"/>
        <w:numPr>
          <w:ilvl w:val="0"/>
          <w:numId w:val="10"/>
        </w:numPr>
        <w:ind w:left="0" w:leftChars="0" w:firstLine="640" w:firstLineChars="0"/>
        <w:rPr>
          <w:b w:val="0"/>
        </w:rPr>
      </w:pPr>
      <w:r>
        <w:rPr>
          <w:b/>
          <w:bCs/>
        </w:rPr>
        <w:t>需求主动申报与记录</w:t>
      </w:r>
      <w:r>
        <w:t>：建立企业产业空间需求申报通道，引导企业自主提报需求，详细记录企业所需面积、楼层、区位偏好、价格预期、需求时间等信息。</w:t>
      </w:r>
    </w:p>
    <w:p w14:paraId="7424739E">
      <w:pPr>
        <w:pStyle w:val="11"/>
        <w:numPr>
          <w:ilvl w:val="0"/>
          <w:numId w:val="10"/>
        </w:numPr>
        <w:ind w:left="0" w:leftChars="0" w:firstLine="640" w:firstLineChars="0"/>
        <w:rPr>
          <w:b w:val="0"/>
        </w:rPr>
      </w:pPr>
      <w:r>
        <w:rPr>
          <w:b/>
          <w:bCs/>
        </w:rPr>
        <w:t>重点企业需求预判：</w:t>
      </w:r>
      <w:r>
        <w:t>基于企业规模、成长阶段、行业特性、历史租赁数据等，利用算法模型对重点培育库企业未来的空间扩张需求进行预判，提前预警可能的空间瓶颈。</w:t>
      </w:r>
    </w:p>
    <w:p w14:paraId="357473B4">
      <w:pPr>
        <w:pStyle w:val="3"/>
        <w:numPr>
          <w:ilvl w:val="0"/>
          <w:numId w:val="9"/>
        </w:numPr>
        <w:topLinePunct w:val="0"/>
        <w:ind w:left="0" w:leftChars="0" w:firstLine="643" w:firstLineChars="0"/>
        <w:rPr>
          <w:b/>
        </w:rPr>
      </w:pPr>
      <w:r>
        <w:t>空置空间监测</w:t>
      </w:r>
    </w:p>
    <w:p w14:paraId="4F878B3E">
      <w:pPr>
        <w:pStyle w:val="11"/>
      </w:pPr>
      <w:r>
        <w:t>实时更新园区空置房源信息，同时结合企业租赁合同周期、行业迁徙规律、企业产出效益等数据，构建模型预测未来半年内可能搬迁或腾退的空间（特别是低效利用空间），提前掌握潜在房源供给情况。</w:t>
      </w:r>
    </w:p>
    <w:p w14:paraId="1DF5B4F9">
      <w:pPr>
        <w:pStyle w:val="3"/>
        <w:numPr>
          <w:ilvl w:val="0"/>
          <w:numId w:val="9"/>
        </w:numPr>
        <w:topLinePunct w:val="0"/>
        <w:ind w:left="0" w:leftChars="0" w:firstLine="643" w:firstLineChars="0"/>
        <w:rPr>
          <w:b/>
        </w:rPr>
      </w:pPr>
      <w:r>
        <w:t>产业空间匹配</w:t>
      </w:r>
    </w:p>
    <w:p w14:paraId="762C7A10">
      <w:pPr>
        <w:pStyle w:val="11"/>
      </w:pPr>
      <w:r>
        <w:t>将动态的空间供给（含空置与预测腾退）与企业空间需求库进行自动匹配，实现双向精准对接：</w:t>
      </w:r>
    </w:p>
    <w:p w14:paraId="2353AE34">
      <w:pPr>
        <w:pStyle w:val="11"/>
        <w:numPr>
          <w:ilvl w:val="0"/>
          <w:numId w:val="11"/>
        </w:numPr>
        <w:ind w:left="0" w:leftChars="0" w:firstLine="640" w:firstLineChars="0"/>
        <w:rPr>
          <w:b w:val="0"/>
        </w:rPr>
      </w:pPr>
      <w:r>
        <w:rPr>
          <w:b/>
          <w:bCs/>
        </w:rPr>
        <w:t>企业匹配空间：</w:t>
      </w:r>
      <w:r>
        <w:t>根据企业空间需求，筛选出符合条件的房源，生成《备选房源清单》，明确房源关键信息与匹配点分析。</w:t>
      </w:r>
    </w:p>
    <w:p w14:paraId="5C4EB411">
      <w:pPr>
        <w:pStyle w:val="11"/>
        <w:numPr>
          <w:ilvl w:val="0"/>
          <w:numId w:val="11"/>
        </w:numPr>
        <w:ind w:left="0" w:leftChars="0" w:firstLine="640" w:firstLineChars="0"/>
        <w:rPr>
          <w:b w:val="0"/>
        </w:rPr>
      </w:pPr>
      <w:r>
        <w:rPr>
          <w:b/>
          <w:bCs/>
        </w:rPr>
        <w:t>空间匹配企业</w:t>
      </w:r>
      <w:r>
        <w:t>：针对新增空置或预测腾退空间，匹配潜在需求企业，向企业推送相关空间信息，促进空间资源高效利用。</w:t>
      </w:r>
    </w:p>
    <w:p w14:paraId="525ECC56">
      <w:pPr>
        <w:pStyle w:val="11"/>
        <w:numPr>
          <w:ilvl w:val="0"/>
          <w:numId w:val="11"/>
        </w:numPr>
        <w:ind w:left="0" w:leftChars="0" w:firstLine="640" w:firstLineChars="0"/>
        <w:rPr>
          <w:b w:val="0"/>
        </w:rPr>
      </w:pPr>
      <w:r>
        <w:rPr>
          <w:b/>
          <w:bCs/>
        </w:rPr>
        <w:t>标准化沟通：</w:t>
      </w:r>
      <w:r>
        <w:t>自动生成包含房源关键信息、匹配点分析的标准沟通函件，提升对接效率。</w:t>
      </w:r>
    </w:p>
    <w:p w14:paraId="19D1E91E">
      <w:pPr>
        <w:pStyle w:val="3"/>
        <w:numPr>
          <w:ilvl w:val="0"/>
          <w:numId w:val="9"/>
        </w:numPr>
        <w:topLinePunct w:val="0"/>
        <w:ind w:left="0" w:leftChars="0" w:firstLine="643" w:firstLineChars="0"/>
        <w:rPr>
          <w:b/>
        </w:rPr>
      </w:pPr>
      <w:r>
        <w:t>外部空间资讯</w:t>
      </w:r>
    </w:p>
    <w:p w14:paraId="24E8F0A1">
      <w:pPr>
        <w:pStyle w:val="11"/>
      </w:pPr>
      <w:r>
        <w:t>定期采集、分析深圳市乃至更大范围的产业空间市场数据，包括租金走势、空置率、新兴园区动态等，形成市场简报，与街道及园区管理方分享，助力其把握市场态势，优化招商与空间管理策略。</w:t>
      </w:r>
    </w:p>
    <w:p w14:paraId="176403F8">
      <w:pPr>
        <w:pStyle w:val="2"/>
        <w:numPr>
          <w:ilvl w:val="0"/>
          <w:numId w:val="3"/>
        </w:numPr>
        <w:topLinePunct w:val="0"/>
        <w:ind w:left="0" w:leftChars="0" w:firstLine="643" w:firstLineChars="0"/>
        <w:rPr>
          <w:b/>
        </w:rPr>
      </w:pPr>
      <w:r>
        <w:t>产品推广</w:t>
      </w:r>
    </w:p>
    <w:p w14:paraId="72F8EC66">
      <w:pPr>
        <w:pStyle w:val="3"/>
        <w:numPr>
          <w:ilvl w:val="0"/>
          <w:numId w:val="12"/>
        </w:numPr>
        <w:topLinePunct w:val="0"/>
        <w:ind w:left="0" w:leftChars="0" w:firstLine="643" w:firstLineChars="0"/>
        <w:rPr>
          <w:b/>
        </w:rPr>
      </w:pPr>
      <w:r>
        <w:t>企业产品库</w:t>
      </w:r>
    </w:p>
    <w:p w14:paraId="529204CE">
      <w:pPr>
        <w:pStyle w:val="11"/>
        <w:numPr>
          <w:ilvl w:val="0"/>
          <w:numId w:val="13"/>
        </w:numPr>
        <w:ind w:left="0" w:leftChars="0" w:firstLine="640" w:firstLineChars="0"/>
        <w:rPr>
          <w:b w:val="0"/>
        </w:rPr>
      </w:pPr>
      <w:r>
        <w:rPr>
          <w:b/>
          <w:bCs/>
        </w:rPr>
        <w:t>街道企业产品库</w:t>
      </w:r>
      <w:r>
        <w:t>：从企业年报、官网、产品手册、招标信息等多渠道，识别并汇聚街道企业的核心产品、新产品及在研产品信息，建立分类清晰的街道企业产品库。</w:t>
      </w:r>
    </w:p>
    <w:p w14:paraId="46CF4780">
      <w:pPr>
        <w:pStyle w:val="11"/>
        <w:numPr>
          <w:ilvl w:val="0"/>
          <w:numId w:val="13"/>
        </w:numPr>
        <w:ind w:left="0" w:leftChars="0" w:firstLine="640" w:firstLineChars="0"/>
        <w:rPr>
          <w:b w:val="0"/>
        </w:rPr>
      </w:pPr>
      <w:r>
        <w:rPr>
          <w:b/>
          <w:bCs/>
        </w:rPr>
        <w:t>上市企业对标产品库</w:t>
      </w:r>
      <w:r>
        <w:t>：针对街道优势产业领域，梳理相关上市公司的同类产品信息及市场表现（如价格、销量趋势），为本地企业产品定位与市场策略制定提供参考。</w:t>
      </w:r>
    </w:p>
    <w:p w14:paraId="18F6CC39">
      <w:pPr>
        <w:pStyle w:val="3"/>
        <w:numPr>
          <w:ilvl w:val="0"/>
          <w:numId w:val="12"/>
        </w:numPr>
        <w:topLinePunct w:val="0"/>
        <w:ind w:left="0" w:leftChars="0" w:firstLine="643" w:firstLineChars="0"/>
        <w:rPr>
          <w:b/>
        </w:rPr>
      </w:pPr>
      <w:r>
        <w:t>政府采招需求</w:t>
      </w:r>
    </w:p>
    <w:p w14:paraId="4F056E90">
      <w:pPr>
        <w:pStyle w:val="11"/>
      </w:pPr>
      <w:r>
        <w:t>对接市、区政府采购平台及需求预告信息，实时捕获政府采招需求动态，明确采招产品类型、技术要求、采购数量、预算等关键信息，建立政府采招需求库。</w:t>
      </w:r>
    </w:p>
    <w:p w14:paraId="1E6F6B92">
      <w:pPr>
        <w:pStyle w:val="3"/>
        <w:numPr>
          <w:ilvl w:val="0"/>
          <w:numId w:val="12"/>
        </w:numPr>
        <w:topLinePunct w:val="0"/>
        <w:ind w:left="0" w:leftChars="0" w:firstLine="643" w:firstLineChars="0"/>
        <w:rPr>
          <w:b/>
        </w:rPr>
      </w:pPr>
      <w:r>
        <w:t>产品采招需求匹配</w:t>
      </w:r>
    </w:p>
    <w:p w14:paraId="337E910A">
      <w:pPr>
        <w:pStyle w:val="11"/>
        <w:numPr>
          <w:ilvl w:val="0"/>
          <w:numId w:val="14"/>
        </w:numPr>
        <w:ind w:left="0" w:leftChars="0" w:firstLine="640" w:firstLineChars="0"/>
        <w:rPr>
          <w:b w:val="0"/>
        </w:rPr>
      </w:pPr>
      <w:r>
        <w:rPr>
          <w:b/>
          <w:bCs/>
        </w:rPr>
        <w:t>企业产品匹配采招需求</w:t>
      </w:r>
      <w:r>
        <w:t>：将街道企业产品库与政府采招需求进行智能匹配，筛选出符合采购要求的产品及企业，为政府优先采购本地优质产品提供线索并及时推荐。</w:t>
      </w:r>
    </w:p>
    <w:p w14:paraId="198EEDAC">
      <w:pPr>
        <w:pStyle w:val="11"/>
        <w:numPr>
          <w:ilvl w:val="0"/>
          <w:numId w:val="14"/>
        </w:numPr>
        <w:ind w:left="0" w:leftChars="0" w:firstLine="640" w:firstLineChars="0"/>
        <w:rPr>
          <w:b w:val="0"/>
        </w:rPr>
      </w:pPr>
      <w:r>
        <w:rPr>
          <w:b/>
          <w:bCs/>
        </w:rPr>
        <w:t>采招需求筛选企业产品</w:t>
      </w:r>
      <w:r>
        <w:t>：针对单一采招需求，全面筛选街道内适配产品及企业，形成推荐清单，提升企业参与政府采招的成功率。</w:t>
      </w:r>
    </w:p>
    <w:p w14:paraId="1B40AC70">
      <w:pPr>
        <w:pStyle w:val="3"/>
        <w:numPr>
          <w:ilvl w:val="0"/>
          <w:numId w:val="12"/>
        </w:numPr>
        <w:topLinePunct w:val="0"/>
        <w:ind w:left="0" w:leftChars="0" w:firstLine="643" w:firstLineChars="0"/>
        <w:rPr>
          <w:b/>
        </w:rPr>
      </w:pPr>
      <w:r>
        <w:t>展会知识库</w:t>
      </w:r>
    </w:p>
    <w:p w14:paraId="1B240D12">
      <w:pPr>
        <w:pStyle w:val="11"/>
      </w:pPr>
      <w:r>
        <w:t>收集整理与街道产业相关的国内外重点展会信息，包括展会时间、地点、主题、规模、参展要求、展品范围等，建立分类详细、检索便捷的展会知识库。</w:t>
      </w:r>
    </w:p>
    <w:p w14:paraId="511630D9">
      <w:pPr>
        <w:pStyle w:val="3"/>
        <w:numPr>
          <w:ilvl w:val="0"/>
          <w:numId w:val="12"/>
        </w:numPr>
        <w:topLinePunct w:val="0"/>
        <w:ind w:left="0" w:leftChars="0" w:firstLine="643" w:firstLineChars="0"/>
        <w:rPr>
          <w:b/>
        </w:rPr>
      </w:pPr>
      <w:r>
        <w:t>展会资讯推荐</w:t>
      </w:r>
    </w:p>
    <w:p w14:paraId="5B5CCF58">
      <w:pPr>
        <w:pStyle w:val="11"/>
        <w:numPr>
          <w:ilvl w:val="0"/>
          <w:numId w:val="15"/>
        </w:numPr>
        <w:ind w:left="0" w:leftChars="0" w:firstLine="640" w:firstLineChars="0"/>
        <w:rPr>
          <w:b w:val="0"/>
        </w:rPr>
      </w:pPr>
      <w:r>
        <w:rPr>
          <w:b/>
          <w:bCs/>
        </w:rPr>
        <w:t>制作标准化的展会参展指南</w:t>
      </w:r>
      <w:r>
        <w:t>，明确参展流程、材料准备、注意事项等。</w:t>
      </w:r>
    </w:p>
    <w:p w14:paraId="128B4CFF">
      <w:pPr>
        <w:pStyle w:val="11"/>
        <w:numPr>
          <w:ilvl w:val="0"/>
          <w:numId w:val="15"/>
        </w:numPr>
        <w:ind w:left="0" w:leftChars="0" w:firstLine="640" w:firstLineChars="0"/>
        <w:rPr>
          <w:b w:val="0"/>
        </w:rPr>
      </w:pPr>
      <w:r>
        <w:rPr>
          <w:b/>
          <w:bCs/>
        </w:rPr>
        <w:t>根据展会时间线设置提醒</w:t>
      </w:r>
      <w:r>
        <w:t>，向相关行业企业推送参展建议与报名信息，精准推荐与企业产品及发展需求匹配的展会资源，助力企业拓展市场渠道。</w:t>
      </w:r>
    </w:p>
    <w:p w14:paraId="051586F1">
      <w:pPr>
        <w:pStyle w:val="11"/>
        <w:numPr>
          <w:ilvl w:val="0"/>
          <w:numId w:val="15"/>
        </w:numPr>
        <w:ind w:left="0" w:leftChars="0" w:firstLine="640" w:firstLineChars="0"/>
        <w:rPr>
          <w:b w:val="0"/>
        </w:rPr>
      </w:pPr>
      <w:r>
        <w:rPr>
          <w:b/>
          <w:bCs/>
        </w:rPr>
        <w:t>对重大展会中透露的新技术、新产品、新商业模式等信息进行提炼与分析</w:t>
      </w:r>
      <w:r>
        <w:t>，形成资讯报告，帮助企业洞察行业前沿趋势。</w:t>
      </w:r>
    </w:p>
    <w:p w14:paraId="25E676C9">
      <w:pPr>
        <w:pStyle w:val="2"/>
        <w:numPr>
          <w:ilvl w:val="0"/>
          <w:numId w:val="3"/>
        </w:numPr>
        <w:topLinePunct w:val="0"/>
        <w:ind w:left="0" w:leftChars="0" w:firstLine="643" w:firstLineChars="0"/>
        <w:rPr>
          <w:b/>
        </w:rPr>
      </w:pPr>
      <w:r>
        <w:t>供需链接</w:t>
      </w:r>
    </w:p>
    <w:p w14:paraId="1567CF72">
      <w:pPr>
        <w:pStyle w:val="3"/>
        <w:numPr>
          <w:ilvl w:val="0"/>
          <w:numId w:val="16"/>
        </w:numPr>
        <w:topLinePunct w:val="0"/>
        <w:ind w:left="0" w:leftChars="0" w:firstLine="643" w:firstLineChars="0"/>
        <w:rPr>
          <w:b/>
        </w:rPr>
      </w:pPr>
      <w:r>
        <w:t>技术能力供给库</w:t>
      </w:r>
    </w:p>
    <w:p w14:paraId="4A8DF466">
      <w:pPr>
        <w:pStyle w:val="11"/>
        <w:rPr>
          <w:rFonts w:hint="eastAsia" w:ascii="仿宋_GB2312" w:hAnsi="仿宋_GB2312" w:eastAsia="仿宋_GB2312" w:cs="仿宋_GB2312"/>
        </w:rPr>
      </w:pPr>
      <w:r>
        <w:rPr>
          <w:rFonts w:hint="eastAsia" w:ascii="仿宋_GB2312" w:hAnsi="仿宋_GB2312" w:eastAsia="仿宋_GB2312" w:cs="仿宋_GB2312"/>
        </w:rPr>
        <w:t>在常规技术标签基础上，重点识别并标注与“四合一”（鸿蒙系统推广、AI人工智能应用推广、场景应用等）相关的企业技术能力，建立技术能力供给库，明确企业技术优势与服务范围。</w:t>
      </w:r>
    </w:p>
    <w:p w14:paraId="42E5B86F">
      <w:pPr>
        <w:pStyle w:val="3"/>
        <w:numPr>
          <w:ilvl w:val="0"/>
          <w:numId w:val="16"/>
        </w:numPr>
        <w:topLinePunct w:val="0"/>
        <w:ind w:left="0" w:leftChars="0" w:firstLine="643" w:firstLineChars="0"/>
        <w:rPr>
          <w:b/>
        </w:rPr>
      </w:pPr>
      <w:r>
        <w:t>技术合作对接库</w:t>
      </w:r>
    </w:p>
    <w:p w14:paraId="01E149D4">
      <w:pPr>
        <w:pStyle w:val="11"/>
        <w:rPr>
          <w:rFonts w:hint="eastAsia" w:ascii="仿宋_GB2312" w:hAnsi="仿宋_GB2312" w:eastAsia="仿宋_GB2312" w:cs="仿宋_GB2312"/>
        </w:rPr>
      </w:pPr>
      <w:r>
        <w:rPr>
          <w:rFonts w:hint="eastAsia" w:ascii="仿宋_GB2312" w:hAnsi="仿宋_GB2312" w:eastAsia="仿宋_GB2312" w:cs="仿宋_GB2312"/>
        </w:rPr>
        <w:t>聚焦关键技术领域，分类构建技术合作对接库：</w:t>
      </w:r>
    </w:p>
    <w:p w14:paraId="3AD9F2C7">
      <w:pPr>
        <w:pStyle w:val="11"/>
        <w:numPr>
          <w:ilvl w:val="0"/>
          <w:numId w:val="17"/>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鸿蒙相关</w:t>
      </w:r>
      <w:r>
        <w:rPr>
          <w:rFonts w:hint="eastAsia" w:ascii="仿宋_GB2312" w:hAnsi="仿宋_GB2312" w:eastAsia="仿宋_GB2312" w:cs="仿宋_GB2312"/>
        </w:rPr>
        <w:t>：标注企业是否具备“鸿蒙原生应用开发”“鸿蒙硬件适配”“OpenHarmony生态贡献”等能力或潜力，整合鸿蒙技术供给与需求资源。</w:t>
      </w:r>
    </w:p>
    <w:p w14:paraId="56438EF1">
      <w:pPr>
        <w:pStyle w:val="11"/>
        <w:numPr>
          <w:ilvl w:val="0"/>
          <w:numId w:val="17"/>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AI人工智能相关</w:t>
      </w:r>
      <w:r>
        <w:rPr>
          <w:rFonts w:hint="eastAsia" w:ascii="仿宋_GB2312" w:hAnsi="仿宋_GB2312" w:eastAsia="仿宋_GB2312" w:cs="仿宋_GB2312"/>
        </w:rPr>
        <w:t>：标注企业在“计算机视觉”“自然语言处理”“智能决策”“AI硬件集成”等具体领域的研发或应用情况，搭建AI技术合作桥梁。</w:t>
      </w:r>
    </w:p>
    <w:p w14:paraId="78CF8B70">
      <w:pPr>
        <w:pStyle w:val="11"/>
        <w:numPr>
          <w:ilvl w:val="0"/>
          <w:numId w:val="17"/>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场景应用相关</w:t>
      </w:r>
      <w:r>
        <w:rPr>
          <w:rFonts w:hint="eastAsia" w:ascii="仿宋_GB2312" w:hAnsi="仿宋_GB2312" w:eastAsia="仿宋_GB2312" w:cs="仿宋_GB2312"/>
        </w:rPr>
        <w:t>：标注企业已落地的典型应用场景，如“智慧工厂”“数字营销”“智慧物流”“智能安防”等，记录其解决方案的核心优势，促进场景应用合作。</w:t>
      </w:r>
    </w:p>
    <w:p w14:paraId="4D254A5D">
      <w:pPr>
        <w:pStyle w:val="3"/>
        <w:numPr>
          <w:ilvl w:val="0"/>
          <w:numId w:val="16"/>
        </w:numPr>
        <w:topLinePunct w:val="0"/>
        <w:ind w:left="0" w:leftChars="0" w:firstLine="643" w:firstLineChars="0"/>
        <w:rPr>
          <w:b/>
        </w:rPr>
      </w:pPr>
      <w:r>
        <w:t>产业链对接</w:t>
      </w:r>
    </w:p>
    <w:p w14:paraId="2AA2A33C">
      <w:pPr>
        <w:pStyle w:val="11"/>
        <w:numPr>
          <w:ilvl w:val="0"/>
          <w:numId w:val="18"/>
        </w:numPr>
        <w:ind w:left="0" w:leftChars="0" w:firstLine="640" w:firstLineChars="0"/>
        <w:rPr>
          <w:b w:val="0"/>
        </w:rPr>
      </w:pPr>
      <w:r>
        <w:rPr>
          <w:b/>
          <w:bCs/>
        </w:rPr>
        <w:t>绘制鸿蒙/AI特色产业链图谱</w:t>
      </w:r>
      <w:r>
        <w:t>：以鸿蒙、AI为核心技术轴线，梳理从底层技术、硬件支持、应用开发到行业解决方案的产业链条，将街道企业精准定位到图谱的各个环节。</w:t>
      </w:r>
    </w:p>
    <w:p w14:paraId="3C5CF948">
      <w:pPr>
        <w:pStyle w:val="11"/>
        <w:numPr>
          <w:ilvl w:val="0"/>
          <w:numId w:val="18"/>
        </w:numPr>
        <w:ind w:left="0" w:leftChars="0" w:firstLine="640" w:firstLineChars="0"/>
        <w:rPr>
          <w:b w:val="0"/>
        </w:rPr>
      </w:pPr>
      <w:r>
        <w:rPr>
          <w:b/>
          <w:bCs/>
        </w:rPr>
        <w:t>企业匹配上游</w:t>
      </w:r>
      <w:r>
        <w:t>：为企业筛选产业链上游优质供应商，包括原材料、零部件、技术支持等资源，保障企业生产经营需求。</w:t>
      </w:r>
    </w:p>
    <w:p w14:paraId="55D419BE">
      <w:pPr>
        <w:pStyle w:val="11"/>
        <w:numPr>
          <w:ilvl w:val="0"/>
          <w:numId w:val="18"/>
        </w:numPr>
        <w:ind w:left="0" w:leftChars="0" w:firstLine="640" w:firstLineChars="0"/>
        <w:rPr>
          <w:b w:val="0"/>
        </w:rPr>
      </w:pPr>
      <w:r>
        <w:rPr>
          <w:b/>
          <w:bCs/>
        </w:rPr>
        <w:t>企业匹配下游</w:t>
      </w:r>
      <w:r>
        <w:t>：为企业挖掘潜在下游客户与合作方，拓展产品销售渠道与应用场景，促进产业链内部协同。</w:t>
      </w:r>
    </w:p>
    <w:p w14:paraId="44EC7F04">
      <w:pPr>
        <w:pStyle w:val="11"/>
        <w:numPr>
          <w:ilvl w:val="0"/>
          <w:numId w:val="18"/>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组织“小而精”的闭环对接会</w:t>
      </w:r>
      <w:r>
        <w:rPr>
          <w:rFonts w:hint="eastAsia" w:ascii="仿宋_GB2312" w:hAnsi="仿宋_GB2312" w:eastAsia="仿宋_GB2312" w:cs="仿宋_GB2312"/>
        </w:rPr>
        <w:t>：定期举办主题鲜明的闭门会，会前定向邀请技术供给方与有明确需求或潜在需求的场景方，确保参会双方高度匹配，会后安排专人跟进合作意向及订单成交情况。</w:t>
      </w:r>
    </w:p>
    <w:p w14:paraId="3FD192FF">
      <w:pPr>
        <w:pStyle w:val="2"/>
        <w:numPr>
          <w:ilvl w:val="0"/>
          <w:numId w:val="3"/>
        </w:numPr>
        <w:topLinePunct w:val="0"/>
        <w:ind w:left="0" w:leftChars="0" w:firstLine="643" w:firstLineChars="0"/>
        <w:rPr>
          <w:b/>
        </w:rPr>
      </w:pPr>
      <w:r>
        <w:t>资金撮合</w:t>
      </w:r>
    </w:p>
    <w:p w14:paraId="6601129B">
      <w:pPr>
        <w:pStyle w:val="3"/>
        <w:numPr>
          <w:ilvl w:val="0"/>
          <w:numId w:val="19"/>
        </w:numPr>
        <w:topLinePunct w:val="0"/>
        <w:ind w:left="0" w:leftChars="0" w:firstLine="643" w:firstLineChars="0"/>
        <w:rPr>
          <w:b/>
        </w:rPr>
      </w:pPr>
      <w:r>
        <w:t>资金供需双方库</w:t>
      </w:r>
    </w:p>
    <w:p w14:paraId="5233B992">
      <w:pPr>
        <w:pStyle w:val="11"/>
        <w:numPr>
          <w:ilvl w:val="0"/>
          <w:numId w:val="20"/>
        </w:numPr>
        <w:ind w:left="0" w:leftChars="0" w:firstLine="640" w:firstLineChars="0"/>
        <w:rPr>
          <w:b w:val="0"/>
        </w:rPr>
      </w:pPr>
      <w:r>
        <w:rPr>
          <w:b/>
          <w:bCs/>
        </w:rPr>
        <w:t>有资金需求企业库</w:t>
      </w:r>
      <w:r>
        <w:t>：通过企业申报、模型判断（如基于研发投入、扩张计划、经营数据等）等方式，识别并建立有融资（债权或股权）需求的企业清单，详细记录企业资金用途、需求规模、融资期限、发展阶段等信息。</w:t>
      </w:r>
    </w:p>
    <w:p w14:paraId="2562FA25">
      <w:pPr>
        <w:pStyle w:val="11"/>
        <w:numPr>
          <w:ilvl w:val="0"/>
          <w:numId w:val="20"/>
        </w:numPr>
        <w:ind w:left="0" w:leftChars="0" w:firstLine="640" w:firstLineChars="0"/>
        <w:rPr>
          <w:b w:val="0"/>
        </w:rPr>
      </w:pPr>
      <w:r>
        <w:rPr>
          <w:b/>
          <w:bCs/>
        </w:rPr>
        <w:t>资金服务方资源库</w:t>
      </w:r>
      <w:r>
        <w:t>：整合与街道建立合作的商业银行、担保机构、产业投资基金、风险投资机构等资金服务方信息，明确其服务特色、投资偏好、审批流程、利率/回报率等关键信息。</w:t>
      </w:r>
    </w:p>
    <w:p w14:paraId="61232AB1">
      <w:pPr>
        <w:pStyle w:val="3"/>
        <w:numPr>
          <w:ilvl w:val="0"/>
          <w:numId w:val="19"/>
        </w:numPr>
        <w:topLinePunct w:val="0"/>
        <w:ind w:left="0" w:leftChars="0" w:firstLine="643" w:firstLineChars="0"/>
        <w:rPr>
          <w:b/>
        </w:rPr>
      </w:pPr>
      <w:r>
        <w:t>资金撮合服务</w:t>
      </w:r>
    </w:p>
    <w:p w14:paraId="1D29AC8F">
      <w:pPr>
        <w:pStyle w:val="11"/>
        <w:numPr>
          <w:ilvl w:val="0"/>
          <w:numId w:val="21"/>
        </w:numPr>
        <w:ind w:left="0" w:leftChars="0" w:firstLine="640" w:firstLineChars="0"/>
        <w:rPr>
          <w:b w:val="0"/>
        </w:rPr>
      </w:pPr>
      <w:r>
        <w:rPr>
          <w:b/>
          <w:bCs/>
        </w:rPr>
        <w:t>定向信息推送</w:t>
      </w:r>
      <w:r>
        <w:t>：在获得企业授权的前提下，将企业的债权融资需求定向推送给匹配的合作银行；将企业的股权融资需求定向推送给契合的投资机构，实现资金供需精准对接。</w:t>
      </w:r>
    </w:p>
    <w:p w14:paraId="62CD9EC6">
      <w:pPr>
        <w:pStyle w:val="11"/>
        <w:numPr>
          <w:ilvl w:val="0"/>
          <w:numId w:val="21"/>
        </w:numPr>
        <w:ind w:left="0" w:leftChars="0" w:firstLine="640" w:firstLineChars="0"/>
        <w:rPr>
          <w:b w:val="0"/>
        </w:rPr>
      </w:pPr>
      <w:r>
        <w:rPr>
          <w:b/>
          <w:bCs/>
        </w:rPr>
        <w:t>组织融资对接活动</w:t>
      </w:r>
      <w:r>
        <w:t>：定期举办银企对接会、投融资路演、项目推介会等活动，搭建资金供需双方面对面沟通平台，提升撮合成功率，解决企业融资难题。</w:t>
      </w:r>
    </w:p>
    <w:p w14:paraId="0550EDF2">
      <w:pPr>
        <w:pStyle w:val="2"/>
        <w:numPr>
          <w:ilvl w:val="0"/>
          <w:numId w:val="3"/>
        </w:numPr>
        <w:topLinePunct w:val="0"/>
        <w:ind w:left="0" w:leftChars="0" w:firstLine="643" w:firstLineChars="0"/>
        <w:rPr>
          <w:b/>
        </w:rPr>
      </w:pPr>
      <w:r>
        <w:t>人才招聘</w:t>
      </w:r>
    </w:p>
    <w:p w14:paraId="0CC5127E">
      <w:pPr>
        <w:pStyle w:val="3"/>
        <w:numPr>
          <w:ilvl w:val="0"/>
          <w:numId w:val="22"/>
        </w:numPr>
        <w:topLinePunct w:val="0"/>
        <w:ind w:left="0" w:leftChars="0" w:firstLine="643" w:firstLineChars="0"/>
        <w:rPr>
          <w:b/>
        </w:rPr>
      </w:pPr>
      <w:r>
        <w:t>企业人才需求库与渠道整合</w:t>
      </w:r>
    </w:p>
    <w:p w14:paraId="7F631A60">
      <w:pPr>
        <w:pStyle w:val="11"/>
        <w:numPr>
          <w:ilvl w:val="0"/>
          <w:numId w:val="23"/>
        </w:numPr>
        <w:ind w:left="0" w:leftChars="0" w:firstLine="640" w:firstLineChars="0"/>
        <w:rPr>
          <w:b w:val="0"/>
        </w:rPr>
      </w:pPr>
      <w:r>
        <w:rPr>
          <w:b/>
          <w:bCs/>
        </w:rPr>
        <w:t>人才需求动态收集</w:t>
      </w:r>
      <w:r>
        <w:t>：建立企业招聘需求线上提报通道，引导企业实时更新岗位名称、岗位职责、技能要求、学历背景、工作经验、薪资范围、招聘人数等信息，形成动态更新的企业人才需求库。</w:t>
      </w:r>
    </w:p>
    <w:p w14:paraId="17F7D455">
      <w:pPr>
        <w:pStyle w:val="11"/>
        <w:numPr>
          <w:ilvl w:val="0"/>
          <w:numId w:val="23"/>
        </w:numPr>
        <w:ind w:left="0" w:leftChars="0" w:firstLine="640" w:firstLineChars="0"/>
        <w:rPr>
          <w:b w:val="0"/>
        </w:rPr>
      </w:pPr>
      <w:r>
        <w:rPr>
          <w:b/>
          <w:bCs/>
        </w:rPr>
        <w:t>招聘渠道库</w:t>
      </w:r>
      <w:r>
        <w:t>：整合主流招聘网站、高校就业网、专业人才机构、行业协会平台等各类招聘渠道资源，明确各渠道优势、服务范围、收费标准等，建立多元化的招聘渠道库。</w:t>
      </w:r>
    </w:p>
    <w:p w14:paraId="1999734F">
      <w:pPr>
        <w:pStyle w:val="3"/>
        <w:numPr>
          <w:ilvl w:val="0"/>
          <w:numId w:val="22"/>
        </w:numPr>
        <w:topLinePunct w:val="0"/>
        <w:ind w:left="0" w:leftChars="0" w:firstLine="643" w:firstLineChars="0"/>
        <w:rPr>
          <w:b/>
        </w:rPr>
      </w:pPr>
      <w:r>
        <w:t>人才资讯匹配与推荐</w:t>
      </w:r>
    </w:p>
    <w:p w14:paraId="2EE95A8B">
      <w:pPr>
        <w:pStyle w:val="11"/>
        <w:numPr>
          <w:ilvl w:val="0"/>
          <w:numId w:val="24"/>
        </w:numPr>
        <w:ind w:left="0" w:leftChars="0" w:firstLine="640" w:firstLineChars="0"/>
        <w:rPr>
          <w:b w:val="0"/>
        </w:rPr>
      </w:pPr>
      <w:r>
        <w:rPr>
          <w:b/>
          <w:bCs/>
        </w:rPr>
        <w:t>智能匹配与推送</w:t>
      </w:r>
      <w:r>
        <w:t>：根据企业招聘需求，从各渠道自动筛选并推荐符合条件的招聘渠道信息，为企业提供精准的招聘渠道选择建议。</w:t>
      </w:r>
    </w:p>
    <w:p w14:paraId="49434CDB">
      <w:pPr>
        <w:pStyle w:val="11"/>
        <w:numPr>
          <w:ilvl w:val="0"/>
          <w:numId w:val="24"/>
        </w:numPr>
        <w:ind w:left="0" w:leftChars="0" w:firstLine="640" w:firstLineChars="0"/>
        <w:rPr>
          <w:b w:val="0"/>
        </w:rPr>
      </w:pPr>
      <w:r>
        <w:rPr>
          <w:b/>
          <w:bCs/>
        </w:rPr>
        <w:t>标准化推荐信生成</w:t>
      </w:r>
      <w:r>
        <w:t>：自动生成包含渠道信息、联系人、联系方式、服务优势等内容的推荐沟通模板，方便街道工作人员向企业推荐，提升招聘对接效率。</w:t>
      </w:r>
    </w:p>
    <w:p w14:paraId="35E8368A">
      <w:pPr>
        <w:pStyle w:val="2"/>
        <w:numPr>
          <w:ilvl w:val="0"/>
          <w:numId w:val="3"/>
        </w:numPr>
        <w:topLinePunct w:val="0"/>
        <w:ind w:left="0" w:leftChars="0" w:firstLine="643" w:firstLineChars="0"/>
        <w:rPr>
          <w:b/>
        </w:rPr>
      </w:pPr>
      <w:r>
        <w:t>外迁预警</w:t>
      </w:r>
    </w:p>
    <w:p w14:paraId="288122D4">
      <w:pPr>
        <w:pStyle w:val="3"/>
        <w:numPr>
          <w:ilvl w:val="0"/>
          <w:numId w:val="25"/>
        </w:numPr>
        <w:topLinePunct w:val="0"/>
        <w:ind w:left="0" w:leftChars="0" w:firstLine="643" w:firstLineChars="0"/>
        <w:rPr>
          <w:b/>
        </w:rPr>
      </w:pPr>
      <w:r>
        <w:t>外迁预警企业库</w:t>
      </w:r>
    </w:p>
    <w:p w14:paraId="7D21D88F">
      <w:pPr>
        <w:pStyle w:val="11"/>
        <w:numPr>
          <w:ilvl w:val="0"/>
          <w:numId w:val="26"/>
        </w:numPr>
        <w:ind w:left="0" w:leftChars="0" w:firstLine="640" w:firstLineChars="0"/>
        <w:rPr>
          <w:b w:val="0"/>
        </w:rPr>
      </w:pPr>
      <w:r>
        <w:rPr>
          <w:b/>
          <w:bCs/>
        </w:rPr>
        <w:t>风险识别模型</w:t>
      </w:r>
      <w:r>
        <w:t>：基于企业扩张需求与本地空间供给匹配度、在外地新设机构、核心人员异地办公、财务数据异常、舆情中出现搬迁传闻、租赁合同到期未续签等多维度数据，构建企业外迁风险预警模型，动态识别高风险企业。</w:t>
      </w:r>
    </w:p>
    <w:p w14:paraId="167DD2F9">
      <w:pPr>
        <w:pStyle w:val="11"/>
        <w:numPr>
          <w:ilvl w:val="0"/>
          <w:numId w:val="26"/>
        </w:numPr>
        <w:ind w:left="0" w:leftChars="0" w:firstLine="640" w:firstLineChars="0"/>
        <w:rPr>
          <w:b w:val="0"/>
        </w:rPr>
      </w:pPr>
      <w:r>
        <w:rPr>
          <w:b/>
          <w:bCs/>
        </w:rPr>
        <w:t>预警信息动态监测</w:t>
      </w:r>
      <w:r>
        <w:t>：对预警库企业进行重点舆情监测与数据跟踪，实时捕捉企业经营动态与搬迁相关信号，一旦发现搬迁确凿迹象，即时推送预警信息。</w:t>
      </w:r>
    </w:p>
    <w:p w14:paraId="74135905">
      <w:pPr>
        <w:pStyle w:val="3"/>
        <w:numPr>
          <w:ilvl w:val="0"/>
          <w:numId w:val="25"/>
        </w:numPr>
        <w:topLinePunct w:val="0"/>
        <w:ind w:left="0" w:leftChars="0" w:firstLine="643" w:firstLineChars="0"/>
        <w:rPr>
          <w:b/>
        </w:rPr>
      </w:pPr>
      <w:r>
        <w:t>分级分类干预管理</w:t>
      </w:r>
    </w:p>
    <w:p w14:paraId="254B085C">
      <w:pPr>
        <w:pStyle w:val="11"/>
        <w:rPr>
          <w:rFonts w:hint="eastAsia" w:ascii="仿宋_GB2312" w:hAnsi="仿宋_GB2312" w:eastAsia="仿宋_GB2312" w:cs="仿宋_GB2312"/>
        </w:rPr>
      </w:pPr>
      <w:r>
        <w:rPr>
          <w:rFonts w:hint="eastAsia" w:ascii="仿宋_GB2312" w:hAnsi="仿宋_GB2312" w:eastAsia="仿宋_GB2312" w:cs="仿宋_GB2312"/>
        </w:rPr>
        <w:t>根据风险等级，将预警企业分为“关注级”（出现外迁苗头）、“警示级”（出现明显异动）、“挽留级”（明确外迁意向）等，制定差异化的沟通、走访与服务策略：</w:t>
      </w:r>
    </w:p>
    <w:p w14:paraId="4A8C687E">
      <w:pPr>
        <w:pStyle w:val="11"/>
        <w:numPr>
          <w:ilvl w:val="0"/>
          <w:numId w:val="27"/>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关注级</w:t>
      </w:r>
      <w:r>
        <w:rPr>
          <w:rFonts w:hint="eastAsia" w:ascii="仿宋_GB2312" w:hAnsi="仿宋_GB2312" w:eastAsia="仿宋_GB2312" w:cs="仿宋_GB2312"/>
        </w:rPr>
        <w:t>：定期跟踪企业经营状况，主动了解企业需求，提供针对性服务。</w:t>
      </w:r>
    </w:p>
    <w:p w14:paraId="07919706">
      <w:pPr>
        <w:pStyle w:val="11"/>
        <w:numPr>
          <w:ilvl w:val="0"/>
          <w:numId w:val="27"/>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警示级</w:t>
      </w:r>
      <w:r>
        <w:rPr>
          <w:rFonts w:hint="eastAsia" w:ascii="仿宋_GB2312" w:hAnsi="仿宋_GB2312" w:eastAsia="仿宋_GB2312" w:cs="仿宋_GB2312"/>
        </w:rPr>
        <w:t>：加大走访频次，深入排查企业外迁原因，协调解决实际困难。</w:t>
      </w:r>
    </w:p>
    <w:p w14:paraId="775B6E35">
      <w:pPr>
        <w:pStyle w:val="11"/>
        <w:numPr>
          <w:ilvl w:val="0"/>
          <w:numId w:val="27"/>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挽留级</w:t>
      </w:r>
      <w:r>
        <w:rPr>
          <w:rFonts w:hint="eastAsia" w:ascii="仿宋_GB2312" w:hAnsi="仿宋_GB2312" w:eastAsia="仿宋_GB2312" w:cs="仿宋_GB2312"/>
        </w:rPr>
        <w:t>：组建专项服务小组，研究制定个性化挽留方案，对接相关政策资源，力争稳定优质企业。</w:t>
      </w:r>
    </w:p>
    <w:p w14:paraId="099FEDD4">
      <w:pPr>
        <w:pStyle w:val="2"/>
        <w:numPr>
          <w:ilvl w:val="0"/>
          <w:numId w:val="3"/>
        </w:numPr>
        <w:topLinePunct w:val="0"/>
        <w:ind w:left="0" w:leftChars="0" w:firstLine="643" w:firstLineChars="0"/>
        <w:rPr>
          <w:b/>
        </w:rPr>
      </w:pPr>
      <w:r>
        <w:t>固投监测</w:t>
      </w:r>
    </w:p>
    <w:p w14:paraId="57739A2F">
      <w:pPr>
        <w:pStyle w:val="3"/>
        <w:numPr>
          <w:ilvl w:val="0"/>
          <w:numId w:val="28"/>
        </w:numPr>
        <w:topLinePunct w:val="0"/>
        <w:ind w:left="0" w:leftChars="0" w:firstLine="643" w:firstLineChars="0"/>
        <w:rPr>
          <w:b/>
        </w:rPr>
      </w:pPr>
      <w:r>
        <w:t>在库项目审核</w:t>
      </w:r>
    </w:p>
    <w:p w14:paraId="08EED172">
      <w:pPr>
        <w:pStyle w:val="11"/>
        <w:rPr>
          <w:rFonts w:hint="eastAsia" w:ascii="仿宋_GB2312" w:hAnsi="仿宋_GB2312" w:eastAsia="仿宋_GB2312" w:cs="仿宋_GB2312"/>
        </w:rPr>
      </w:pPr>
      <w:r>
        <w:rPr>
          <w:rFonts w:hint="eastAsia" w:ascii="仿宋_GB2312" w:hAnsi="仿宋_GB2312" w:eastAsia="仿宋_GB2312" w:cs="仿宋_GB2312"/>
        </w:rPr>
        <w:t>建立分级审核机制，对在库固定资产项目按投资规模分类处理。对“本月完成投资”2000万元以上的项目重点审核凭证，如工程结算单、财务报表等，确保与系统数据一致；明确凭证备案方式（如形象进度法或财务支出法），避免不符合规定的操作，强化数据真实性，确保凭证合规性，减少虚报或重报风险。</w:t>
      </w:r>
    </w:p>
    <w:p w14:paraId="4CE5CA1F">
      <w:pPr>
        <w:pStyle w:val="3"/>
        <w:numPr>
          <w:ilvl w:val="0"/>
          <w:numId w:val="28"/>
        </w:numPr>
        <w:topLinePunct w:val="0"/>
        <w:ind w:left="0" w:leftChars="0" w:firstLine="643" w:firstLineChars="0"/>
        <w:rPr>
          <w:b/>
        </w:rPr>
      </w:pPr>
      <w:r>
        <w:t>在库项目挖潜</w:t>
      </w:r>
    </w:p>
    <w:p w14:paraId="2687DA95">
      <w:pPr>
        <w:pStyle w:val="11"/>
        <w:rPr>
          <w:rFonts w:hint="eastAsia" w:ascii="仿宋_GB2312" w:hAnsi="仿宋_GB2312" w:eastAsia="仿宋_GB2312" w:cs="仿宋_GB2312"/>
        </w:rPr>
      </w:pPr>
      <w:r>
        <w:rPr>
          <w:rFonts w:hint="eastAsia" w:ascii="仿宋_GB2312" w:hAnsi="仿宋_GB2312" w:eastAsia="仿宋_GB2312" w:cs="仿宋_GB2312"/>
        </w:rPr>
        <w:t>定期筛查在库项目清单，比对实际进度与统计记录，发现异常数据（如进度滞后但投资额高）时启动专项核查；利用跨部门数据共享机制，整合发改、工信、规划资源等部门信息，通过项目代码串联全生命周期数据，快速定位漏统线索；建立动态更新机制，对挖潜出的漏统项目及时纳入统计，并追溯原因，优化后续监测流程，实现“应统尽统”。</w:t>
      </w:r>
    </w:p>
    <w:p w14:paraId="44D95F5E">
      <w:pPr>
        <w:pStyle w:val="3"/>
        <w:numPr>
          <w:ilvl w:val="0"/>
          <w:numId w:val="28"/>
        </w:numPr>
        <w:topLinePunct w:val="0"/>
        <w:ind w:left="0" w:leftChars="0" w:firstLine="643" w:firstLineChars="0"/>
        <w:rPr>
          <w:b/>
        </w:rPr>
      </w:pPr>
      <w:r>
        <w:t>项目入库培训</w:t>
      </w:r>
    </w:p>
    <w:p w14:paraId="622C7FCC">
      <w:pPr>
        <w:pStyle w:val="11"/>
        <w:rPr>
          <w:rFonts w:hint="eastAsia" w:ascii="仿宋_GB2312" w:hAnsi="仿宋_GB2312" w:eastAsia="仿宋_GB2312" w:cs="仿宋_GB2312"/>
        </w:rPr>
      </w:pPr>
      <w:r>
        <w:rPr>
          <w:rFonts w:hint="eastAsia" w:ascii="仿宋_GB2312" w:hAnsi="仿宋_GB2312" w:eastAsia="仿宋_GB2312" w:cs="仿宋_GB2312"/>
        </w:rPr>
        <w:t>开展分层培训：针对待入库项目单位，组织专项指导会，讲解申报流程、资料收集和凭证要求；对在库单位，定期举办业务培训，覆盖统计制度、系统操作等内容，确保每年至少一次全覆盖；强化凭证管理指导，帮助项目单位规范归档投资凭证，如工程进度单和支付凭证，并提供模板和案例，降低合规风险，提升项目单位合规申报能力。</w:t>
      </w:r>
    </w:p>
    <w:p w14:paraId="602FAF77">
      <w:pPr>
        <w:pStyle w:val="3"/>
        <w:numPr>
          <w:ilvl w:val="0"/>
          <w:numId w:val="28"/>
        </w:numPr>
        <w:topLinePunct w:val="0"/>
        <w:ind w:left="0" w:leftChars="0" w:firstLine="643" w:firstLineChars="0"/>
        <w:rPr>
          <w:b/>
        </w:rPr>
      </w:pPr>
      <w:r>
        <w:t>下发项目核查</w:t>
      </w:r>
    </w:p>
    <w:p w14:paraId="206B59D3">
      <w:pPr>
        <w:pStyle w:val="11"/>
      </w:pPr>
      <w:r>
        <w:t>设立专项工作组，负责接收、分类和分配上级单位下发的各类型项目核查清单，如发改、工信等部门下发的核准/备案、节能审查类清单，按项目类型分派至对应业务团队处理；利用信息化工具筛查清单，自动匹配在库项目数据，标记差异项（如未申报或信息不符），优先处理高风险项目，高效响应上级核查要求，确保清单项目无遗漏。</w:t>
      </w:r>
    </w:p>
    <w:p w14:paraId="5161B537">
      <w:pPr>
        <w:pStyle w:val="2"/>
        <w:numPr>
          <w:ilvl w:val="0"/>
          <w:numId w:val="3"/>
        </w:numPr>
        <w:topLinePunct w:val="0"/>
        <w:ind w:left="0" w:leftChars="0" w:firstLine="643" w:firstLineChars="0"/>
        <w:rPr>
          <w:b/>
        </w:rPr>
      </w:pPr>
      <w:r>
        <w:t>统计分析</w:t>
      </w:r>
    </w:p>
    <w:p w14:paraId="2C71D659">
      <w:pPr>
        <w:pStyle w:val="3"/>
        <w:numPr>
          <w:ilvl w:val="0"/>
          <w:numId w:val="29"/>
        </w:numPr>
        <w:topLinePunct w:val="0"/>
        <w:ind w:left="0" w:leftChars="0" w:firstLine="643" w:firstLineChars="0"/>
        <w:rPr>
          <w:b/>
        </w:rPr>
      </w:pPr>
      <w:r>
        <w:t>基本名录库</w:t>
      </w:r>
    </w:p>
    <w:p w14:paraId="2638E63B">
      <w:pPr>
        <w:pStyle w:val="11"/>
      </w:pPr>
      <w:r>
        <w:t>全面、动态掌握南湾街道各类市场主体情况，整合工商注册、税务登记、统计纳统等多源数据，建立健全基本单位名录库，确保名录库信息全面、准确、鲜活，为各项统计工作奠定基础。</w:t>
      </w:r>
    </w:p>
    <w:p w14:paraId="6FE52D5D">
      <w:pPr>
        <w:pStyle w:val="3"/>
        <w:numPr>
          <w:ilvl w:val="0"/>
          <w:numId w:val="29"/>
        </w:numPr>
        <w:topLinePunct w:val="0"/>
        <w:ind w:left="0" w:leftChars="0" w:firstLine="643" w:firstLineChars="0"/>
        <w:rPr>
          <w:b/>
        </w:rPr>
      </w:pPr>
      <w:r>
        <w:t>入库挖潜</w:t>
      </w:r>
    </w:p>
    <w:p w14:paraId="460A3103">
      <w:pPr>
        <w:pStyle w:val="11"/>
        <w:numPr>
          <w:ilvl w:val="0"/>
          <w:numId w:val="30"/>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分支机构摸排体系</w:t>
      </w:r>
      <w:r>
        <w:rPr>
          <w:rFonts w:hint="eastAsia" w:ascii="仿宋_GB2312" w:hAnsi="仿宋_GB2312" w:eastAsia="仿宋_GB2312" w:cs="仿宋_GB2312"/>
        </w:rPr>
        <w:t>：协助对街道范围内实际开展经营活动但未在街道纳统的各类企业分支机构（如分公司、销售中心、研发中心、生产基地等）进行系统性摸排，建立潜在纳统分支机构清单，评估其是否符合“法人在地经营”或“视同法人”等统计纳统标准，并提供清晰的纳统路径指引与材料准备清单。</w:t>
      </w:r>
    </w:p>
    <w:p w14:paraId="10070D0B">
      <w:pPr>
        <w:pStyle w:val="11"/>
        <w:numPr>
          <w:ilvl w:val="0"/>
          <w:numId w:val="30"/>
        </w:numPr>
        <w:ind w:left="0" w:leftChars="0" w:firstLine="640" w:firstLineChars="0"/>
        <w:rPr>
          <w:rFonts w:hint="eastAsia" w:ascii="仿宋_GB2312" w:hAnsi="仿宋_GB2312" w:eastAsia="仿宋_GB2312" w:cs="仿宋_GB2312"/>
          <w:b w:val="0"/>
        </w:rPr>
      </w:pPr>
      <w:r>
        <w:rPr>
          <w:rFonts w:hint="eastAsia" w:ascii="仿宋_GB2312" w:hAnsi="仿宋_GB2312" w:eastAsia="仿宋_GB2312" w:cs="仿宋_GB2312"/>
          <w:b/>
          <w:bCs/>
        </w:rPr>
        <w:t>注册地企业核查</w:t>
      </w:r>
      <w:r>
        <w:rPr>
          <w:rFonts w:hint="eastAsia" w:ascii="仿宋_GB2312" w:hAnsi="仿宋_GB2312" w:eastAsia="仿宋_GB2312" w:cs="仿宋_GB2312"/>
        </w:rPr>
        <w:t>：对街道辖区内已完成工商注册但统计关系未迁入（或未建立）的企业进行全面梳理，协助查明原因，提供统计关系迁入/建立的流程指导，并配合街道推动相关企业尽快纳入街道常规统计范围。</w:t>
      </w:r>
    </w:p>
    <w:p w14:paraId="798C2760">
      <w:pPr>
        <w:pStyle w:val="3"/>
        <w:numPr>
          <w:ilvl w:val="0"/>
          <w:numId w:val="29"/>
        </w:numPr>
        <w:topLinePunct w:val="0"/>
        <w:ind w:left="0" w:leftChars="0" w:firstLine="643" w:firstLineChars="0"/>
        <w:rPr>
          <w:b/>
        </w:rPr>
      </w:pPr>
      <w:r>
        <w:t>纳统挖潜</w:t>
      </w:r>
    </w:p>
    <w:p w14:paraId="10CF798D">
      <w:pPr>
        <w:pStyle w:val="11"/>
        <w:numPr>
          <w:ilvl w:val="0"/>
          <w:numId w:val="31"/>
        </w:numPr>
        <w:ind w:left="0" w:leftChars="0" w:firstLine="640" w:firstLineChars="0"/>
        <w:rPr>
          <w:b w:val="0"/>
        </w:rPr>
      </w:pPr>
      <w:r>
        <w:rPr>
          <w:b/>
          <w:bCs/>
        </w:rPr>
        <w:t>委外加工摸排</w:t>
      </w:r>
      <w:r>
        <w:t>：对辖区内存量商贸企业（特别是批发零售企业）进行抽样或重点摸排，了解其是否存在实质性的委外加工活动，识别其中具备一定规模、加工环节占价值链比重较高的企业，评估其是否符合或接近工业企业（制造业）统计分类标准，形成具备“工贸分离”或“转工业”潜力的企业名单及初步评估报告。</w:t>
      </w:r>
    </w:p>
    <w:p w14:paraId="0276CA74">
      <w:pPr>
        <w:pStyle w:val="11"/>
        <w:numPr>
          <w:ilvl w:val="0"/>
          <w:numId w:val="31"/>
        </w:numPr>
        <w:ind w:left="0" w:leftChars="0" w:firstLine="640" w:firstLineChars="0"/>
        <w:rPr>
          <w:b w:val="0"/>
        </w:rPr>
      </w:pPr>
      <w:r>
        <w:rPr>
          <w:b/>
          <w:bCs/>
        </w:rPr>
        <w:t>服贸一体化分析</w:t>
      </w:r>
      <w:r>
        <w:t>：对辖区内特别是“贸易与服务一体化”经营的商贸企业进行收入结构诊断，帮助企业辨别商品销售（贸易）收入与服务性收入（如仓储、物流、信息、技术、金融、售后等衍生服务）的构成，分析服务性收入的稳定性、独立性和增长潜力，筛选出可向服务业分类转统或培育的潜力企业清单及分析建议。</w:t>
      </w:r>
    </w:p>
    <w:p w14:paraId="7B856049">
      <w:pPr>
        <w:pStyle w:val="11"/>
        <w:numPr>
          <w:ilvl w:val="0"/>
          <w:numId w:val="31"/>
        </w:numPr>
        <w:ind w:left="0" w:leftChars="0" w:firstLine="640" w:firstLineChars="0"/>
      </w:pPr>
      <w:r>
        <w:rPr>
          <w:b/>
          <w:bCs/>
        </w:rPr>
        <w:t>商业企业零售额挖潜</w:t>
      </w:r>
      <w:r>
        <w:rPr>
          <w:rFonts w:hint="eastAsia"/>
          <w:b/>
          <w:bCs/>
          <w:lang w:eastAsia="zh-CN"/>
        </w:rPr>
        <w:t>：</w:t>
      </w:r>
      <w:r>
        <w:t>利用电商平台数据、企业销售数据等，辅助判断商业企业实际零售规模，挖掘纳统潜力。</w:t>
      </w:r>
    </w:p>
    <w:p w14:paraId="6CF35BA8">
      <w:pPr>
        <w:pStyle w:val="11"/>
        <w:numPr>
          <w:ilvl w:val="0"/>
          <w:numId w:val="31"/>
        </w:numPr>
        <w:ind w:left="0" w:leftChars="0" w:firstLine="640" w:firstLineChars="0"/>
        <w:rPr>
          <w:b w:val="0"/>
        </w:rPr>
      </w:pPr>
      <w:r>
        <w:rPr>
          <w:b/>
          <w:bCs/>
        </w:rPr>
        <w:t>工业企业产值挖潜</w:t>
      </w:r>
      <w:r>
        <w:rPr>
          <w:rFonts w:hint="eastAsia"/>
          <w:b/>
          <w:bCs/>
          <w:lang w:eastAsia="zh-CN"/>
        </w:rPr>
        <w:t>：</w:t>
      </w:r>
      <w:r>
        <w:t>针对在本地注册、但在外地产能较大的企业，研究其产值在本地纳统的可能性与路径。</w:t>
      </w:r>
    </w:p>
    <w:p w14:paraId="22416868">
      <w:pPr>
        <w:pStyle w:val="3"/>
        <w:numPr>
          <w:ilvl w:val="0"/>
          <w:numId w:val="29"/>
        </w:numPr>
        <w:topLinePunct w:val="0"/>
        <w:ind w:left="0" w:leftChars="0" w:firstLine="643" w:firstLineChars="0"/>
        <w:rPr>
          <w:b/>
        </w:rPr>
      </w:pPr>
      <w:r>
        <w:t>运行分析</w:t>
      </w:r>
    </w:p>
    <w:p w14:paraId="424F3453">
      <w:pPr>
        <w:pStyle w:val="11"/>
        <w:numPr>
          <w:ilvl w:val="0"/>
          <w:numId w:val="32"/>
        </w:numPr>
        <w:ind w:left="0" w:leftChars="0" w:firstLine="640" w:firstLineChars="0"/>
        <w:rPr>
          <w:b w:val="0"/>
        </w:rPr>
      </w:pPr>
      <w:r>
        <w:rPr>
          <w:b/>
          <w:bCs/>
        </w:rPr>
        <w:t>可视化分析专题：</w:t>
      </w:r>
      <w:r>
        <w:t>开发定制化的经济数据可视化dashboard（仪表盘），动态展示关键经济指标、产业结构、企业分布、纳统进度、固投情况等，确保界面直观、操作便捷、数据安全，便于街道实时掌握经济运行态势。</w:t>
      </w:r>
    </w:p>
    <w:p w14:paraId="735C601F">
      <w:pPr>
        <w:pStyle w:val="11"/>
        <w:numPr>
          <w:ilvl w:val="0"/>
          <w:numId w:val="32"/>
        </w:numPr>
        <w:ind w:left="0" w:leftChars="0" w:firstLine="640" w:firstLineChars="0"/>
        <w:rPr>
          <w:rFonts w:hint="eastAsia"/>
        </w:rPr>
      </w:pPr>
      <w:r>
        <w:rPr>
          <w:b/>
          <w:bCs/>
        </w:rPr>
        <w:t>专题报告：</w:t>
      </w:r>
      <w:r>
        <w:t>定期（月度、季度、年度）提供街道经济发展统计分析报告，包含经济运行概况、结构特点、问题短板、潜力挖掘点、对策建议等模块；针对街道关心的特定经济问题或重点产业，提供深度的专题研究报告，为街道经济决策提供数据支撑。</w:t>
      </w: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D83B">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04897">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AF04897">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1D0A8"/>
    <w:multiLevelType w:val="singleLevel"/>
    <w:tmpl w:val="8BA1D0A8"/>
    <w:lvl w:ilvl="0" w:tentative="0">
      <w:start w:val="1"/>
      <w:numFmt w:val="chineseCounting"/>
      <w:suff w:val="nothing"/>
      <w:lvlText w:val="（%1）"/>
      <w:lvlJc w:val="left"/>
      <w:pPr>
        <w:ind w:left="0" w:firstLine="643"/>
      </w:pPr>
      <w:rPr>
        <w:rFonts w:hint="eastAsia"/>
      </w:rPr>
    </w:lvl>
  </w:abstractNum>
  <w:abstractNum w:abstractNumId="1">
    <w:nsid w:val="AA7F347A"/>
    <w:multiLevelType w:val="singleLevel"/>
    <w:tmpl w:val="AA7F347A"/>
    <w:lvl w:ilvl="0" w:tentative="0">
      <w:start w:val="1"/>
      <w:numFmt w:val="decimal"/>
      <w:suff w:val="space"/>
      <w:lvlText w:val="%1."/>
      <w:lvlJc w:val="left"/>
      <w:pPr>
        <w:ind w:left="0" w:firstLine="640"/>
      </w:pPr>
      <w:rPr>
        <w:rFonts w:hint="default"/>
      </w:rPr>
    </w:lvl>
  </w:abstractNum>
  <w:abstractNum w:abstractNumId="2">
    <w:nsid w:val="B42A9A2E"/>
    <w:multiLevelType w:val="singleLevel"/>
    <w:tmpl w:val="B42A9A2E"/>
    <w:lvl w:ilvl="0" w:tentative="0">
      <w:start w:val="1"/>
      <w:numFmt w:val="chineseCounting"/>
      <w:suff w:val="nothing"/>
      <w:lvlText w:val="（%1）"/>
      <w:lvlJc w:val="left"/>
      <w:pPr>
        <w:ind w:left="0" w:firstLine="643"/>
      </w:pPr>
      <w:rPr>
        <w:rFonts w:hint="eastAsia"/>
      </w:rPr>
    </w:lvl>
  </w:abstractNum>
  <w:abstractNum w:abstractNumId="3">
    <w:nsid w:val="D6405661"/>
    <w:multiLevelType w:val="singleLevel"/>
    <w:tmpl w:val="D6405661"/>
    <w:lvl w:ilvl="0" w:tentative="0">
      <w:start w:val="1"/>
      <w:numFmt w:val="decimal"/>
      <w:suff w:val="space"/>
      <w:lvlText w:val="%1."/>
      <w:lvlJc w:val="left"/>
      <w:pPr>
        <w:ind w:left="0" w:firstLine="640"/>
      </w:pPr>
      <w:rPr>
        <w:rFonts w:hint="default"/>
      </w:rPr>
    </w:lvl>
  </w:abstractNum>
  <w:abstractNum w:abstractNumId="4">
    <w:nsid w:val="D71BCE3C"/>
    <w:multiLevelType w:val="singleLevel"/>
    <w:tmpl w:val="D71BCE3C"/>
    <w:lvl w:ilvl="0" w:tentative="0">
      <w:start w:val="1"/>
      <w:numFmt w:val="decimal"/>
      <w:suff w:val="space"/>
      <w:lvlText w:val="%1."/>
      <w:lvlJc w:val="left"/>
      <w:pPr>
        <w:ind w:left="0" w:firstLine="640"/>
      </w:pPr>
      <w:rPr>
        <w:rFonts w:hint="default"/>
      </w:rPr>
    </w:lvl>
  </w:abstractNum>
  <w:abstractNum w:abstractNumId="5">
    <w:nsid w:val="D893C86E"/>
    <w:multiLevelType w:val="singleLevel"/>
    <w:tmpl w:val="D893C86E"/>
    <w:lvl w:ilvl="0" w:tentative="0">
      <w:start w:val="1"/>
      <w:numFmt w:val="decimal"/>
      <w:suff w:val="space"/>
      <w:lvlText w:val="%1."/>
      <w:lvlJc w:val="left"/>
      <w:pPr>
        <w:ind w:left="0" w:firstLine="640"/>
      </w:pPr>
      <w:rPr>
        <w:rFonts w:hint="default"/>
      </w:rPr>
    </w:lvl>
  </w:abstractNum>
  <w:abstractNum w:abstractNumId="6">
    <w:nsid w:val="E6067359"/>
    <w:multiLevelType w:val="singleLevel"/>
    <w:tmpl w:val="E6067359"/>
    <w:lvl w:ilvl="0" w:tentative="0">
      <w:start w:val="1"/>
      <w:numFmt w:val="decimal"/>
      <w:suff w:val="space"/>
      <w:lvlText w:val="%1."/>
      <w:lvlJc w:val="left"/>
      <w:pPr>
        <w:ind w:left="0" w:firstLine="640"/>
      </w:pPr>
      <w:rPr>
        <w:rFonts w:hint="default"/>
      </w:rPr>
    </w:lvl>
  </w:abstractNum>
  <w:abstractNum w:abstractNumId="7">
    <w:nsid w:val="EC2C9F36"/>
    <w:multiLevelType w:val="singleLevel"/>
    <w:tmpl w:val="EC2C9F36"/>
    <w:lvl w:ilvl="0" w:tentative="0">
      <w:start w:val="1"/>
      <w:numFmt w:val="chineseCounting"/>
      <w:suff w:val="nothing"/>
      <w:lvlText w:val="（%1）"/>
      <w:lvlJc w:val="left"/>
      <w:pPr>
        <w:ind w:left="0" w:firstLine="643"/>
      </w:pPr>
      <w:rPr>
        <w:rFonts w:hint="eastAsia"/>
      </w:rPr>
    </w:lvl>
  </w:abstractNum>
  <w:abstractNum w:abstractNumId="8">
    <w:nsid w:val="F2979ADE"/>
    <w:multiLevelType w:val="singleLevel"/>
    <w:tmpl w:val="F2979ADE"/>
    <w:lvl w:ilvl="0" w:tentative="0">
      <w:start w:val="1"/>
      <w:numFmt w:val="decimal"/>
      <w:suff w:val="space"/>
      <w:lvlText w:val="%1."/>
      <w:lvlJc w:val="left"/>
      <w:pPr>
        <w:ind w:left="0" w:firstLine="640"/>
      </w:pPr>
      <w:rPr>
        <w:rFonts w:hint="default"/>
      </w:rPr>
    </w:lvl>
  </w:abstractNum>
  <w:abstractNum w:abstractNumId="9">
    <w:nsid w:val="F5EDC553"/>
    <w:multiLevelType w:val="singleLevel"/>
    <w:tmpl w:val="F5EDC553"/>
    <w:lvl w:ilvl="0" w:tentative="0">
      <w:start w:val="1"/>
      <w:numFmt w:val="decimal"/>
      <w:suff w:val="space"/>
      <w:lvlText w:val="%1."/>
      <w:lvlJc w:val="left"/>
      <w:pPr>
        <w:ind w:left="0" w:firstLine="640"/>
      </w:pPr>
      <w:rPr>
        <w:rFonts w:hint="default"/>
      </w:rPr>
    </w:lvl>
  </w:abstractNum>
  <w:abstractNum w:abstractNumId="10">
    <w:nsid w:val="09165560"/>
    <w:multiLevelType w:val="singleLevel"/>
    <w:tmpl w:val="09165560"/>
    <w:lvl w:ilvl="0" w:tentative="0">
      <w:start w:val="1"/>
      <w:numFmt w:val="chineseCounting"/>
      <w:suff w:val="nothing"/>
      <w:lvlText w:val="（%1）"/>
      <w:lvlJc w:val="left"/>
      <w:pPr>
        <w:ind w:left="0" w:firstLine="643"/>
      </w:pPr>
      <w:rPr>
        <w:rFonts w:hint="eastAsia"/>
      </w:rPr>
    </w:lvl>
  </w:abstractNum>
  <w:abstractNum w:abstractNumId="11">
    <w:nsid w:val="0AB5F9F3"/>
    <w:multiLevelType w:val="singleLevel"/>
    <w:tmpl w:val="0AB5F9F3"/>
    <w:lvl w:ilvl="0" w:tentative="0">
      <w:start w:val="1"/>
      <w:numFmt w:val="decimal"/>
      <w:suff w:val="space"/>
      <w:lvlText w:val="%1."/>
      <w:lvlJc w:val="left"/>
      <w:pPr>
        <w:ind w:left="0" w:firstLine="640"/>
      </w:pPr>
      <w:rPr>
        <w:rFonts w:hint="default"/>
      </w:rPr>
    </w:lvl>
  </w:abstractNum>
  <w:abstractNum w:abstractNumId="12">
    <w:nsid w:val="0B5E7852"/>
    <w:multiLevelType w:val="singleLevel"/>
    <w:tmpl w:val="0B5E7852"/>
    <w:lvl w:ilvl="0" w:tentative="0">
      <w:start w:val="1"/>
      <w:numFmt w:val="decimal"/>
      <w:suff w:val="space"/>
      <w:lvlText w:val="%1."/>
      <w:lvlJc w:val="left"/>
      <w:pPr>
        <w:ind w:left="0" w:firstLine="640"/>
      </w:pPr>
      <w:rPr>
        <w:rFonts w:hint="default"/>
      </w:rPr>
    </w:lvl>
  </w:abstractNum>
  <w:abstractNum w:abstractNumId="13">
    <w:nsid w:val="0BEF71EE"/>
    <w:multiLevelType w:val="singleLevel"/>
    <w:tmpl w:val="0BEF71EE"/>
    <w:lvl w:ilvl="0" w:tentative="0">
      <w:start w:val="1"/>
      <w:numFmt w:val="chineseCounting"/>
      <w:suff w:val="nothing"/>
      <w:lvlText w:val="（%1）"/>
      <w:lvlJc w:val="left"/>
      <w:pPr>
        <w:ind w:left="0" w:firstLine="643"/>
      </w:pPr>
      <w:rPr>
        <w:rFonts w:hint="eastAsia"/>
      </w:rPr>
    </w:lvl>
  </w:abstractNum>
  <w:abstractNum w:abstractNumId="14">
    <w:nsid w:val="0F097166"/>
    <w:multiLevelType w:val="singleLevel"/>
    <w:tmpl w:val="0F097166"/>
    <w:lvl w:ilvl="0" w:tentative="0">
      <w:start w:val="1"/>
      <w:numFmt w:val="chineseCounting"/>
      <w:suff w:val="nothing"/>
      <w:lvlText w:val="（%1）"/>
      <w:lvlJc w:val="left"/>
      <w:pPr>
        <w:ind w:left="0" w:firstLine="643"/>
      </w:pPr>
      <w:rPr>
        <w:rFonts w:hint="eastAsia"/>
      </w:rPr>
    </w:lvl>
  </w:abstractNum>
  <w:abstractNum w:abstractNumId="15">
    <w:nsid w:val="1000C6EC"/>
    <w:multiLevelType w:val="singleLevel"/>
    <w:tmpl w:val="1000C6EC"/>
    <w:lvl w:ilvl="0" w:tentative="0">
      <w:start w:val="1"/>
      <w:numFmt w:val="decimal"/>
      <w:suff w:val="space"/>
      <w:lvlText w:val="%1."/>
      <w:lvlJc w:val="left"/>
      <w:pPr>
        <w:ind w:left="0" w:firstLine="640"/>
      </w:pPr>
      <w:rPr>
        <w:rFonts w:hint="default"/>
      </w:rPr>
    </w:lvl>
  </w:abstractNum>
  <w:abstractNum w:abstractNumId="16">
    <w:nsid w:val="186BB194"/>
    <w:multiLevelType w:val="singleLevel"/>
    <w:tmpl w:val="186BB194"/>
    <w:lvl w:ilvl="0" w:tentative="0">
      <w:start w:val="1"/>
      <w:numFmt w:val="decimal"/>
      <w:suff w:val="space"/>
      <w:lvlText w:val="%1."/>
      <w:lvlJc w:val="left"/>
      <w:pPr>
        <w:ind w:left="0" w:firstLine="640"/>
      </w:pPr>
      <w:rPr>
        <w:rFonts w:hint="default"/>
      </w:rPr>
    </w:lvl>
  </w:abstractNum>
  <w:abstractNum w:abstractNumId="17">
    <w:nsid w:val="1D4C9AE1"/>
    <w:multiLevelType w:val="singleLevel"/>
    <w:tmpl w:val="1D4C9AE1"/>
    <w:lvl w:ilvl="0" w:tentative="0">
      <w:start w:val="1"/>
      <w:numFmt w:val="decimal"/>
      <w:suff w:val="space"/>
      <w:lvlText w:val="%1."/>
      <w:lvlJc w:val="left"/>
      <w:pPr>
        <w:ind w:left="0" w:firstLine="640"/>
      </w:pPr>
      <w:rPr>
        <w:rFonts w:hint="default"/>
      </w:rPr>
    </w:lvl>
  </w:abstractNum>
  <w:abstractNum w:abstractNumId="18">
    <w:nsid w:val="26F94CD9"/>
    <w:multiLevelType w:val="singleLevel"/>
    <w:tmpl w:val="26F94CD9"/>
    <w:lvl w:ilvl="0" w:tentative="0">
      <w:start w:val="1"/>
      <w:numFmt w:val="decimal"/>
      <w:suff w:val="space"/>
      <w:lvlText w:val="%1."/>
      <w:lvlJc w:val="left"/>
      <w:pPr>
        <w:ind w:left="0" w:firstLine="640"/>
      </w:pPr>
      <w:rPr>
        <w:rFonts w:hint="default"/>
      </w:rPr>
    </w:lvl>
  </w:abstractNum>
  <w:abstractNum w:abstractNumId="19">
    <w:nsid w:val="31800E51"/>
    <w:multiLevelType w:val="singleLevel"/>
    <w:tmpl w:val="31800E51"/>
    <w:lvl w:ilvl="0" w:tentative="0">
      <w:start w:val="1"/>
      <w:numFmt w:val="chineseCounting"/>
      <w:suff w:val="nothing"/>
      <w:lvlText w:val="%1、"/>
      <w:lvlJc w:val="left"/>
      <w:pPr>
        <w:ind w:left="0" w:firstLine="643"/>
      </w:pPr>
      <w:rPr>
        <w:rFonts w:hint="eastAsia"/>
      </w:rPr>
    </w:lvl>
  </w:abstractNum>
  <w:abstractNum w:abstractNumId="20">
    <w:nsid w:val="32833256"/>
    <w:multiLevelType w:val="singleLevel"/>
    <w:tmpl w:val="32833256"/>
    <w:lvl w:ilvl="0" w:tentative="0">
      <w:start w:val="1"/>
      <w:numFmt w:val="decimal"/>
      <w:suff w:val="space"/>
      <w:lvlText w:val="%1."/>
      <w:lvlJc w:val="left"/>
      <w:pPr>
        <w:ind w:left="0" w:firstLine="640"/>
      </w:pPr>
      <w:rPr>
        <w:rFonts w:hint="default"/>
      </w:rPr>
    </w:lvl>
  </w:abstractNum>
  <w:abstractNum w:abstractNumId="21">
    <w:nsid w:val="34EDD9A3"/>
    <w:multiLevelType w:val="singleLevel"/>
    <w:tmpl w:val="34EDD9A3"/>
    <w:lvl w:ilvl="0" w:tentative="0">
      <w:start w:val="1"/>
      <w:numFmt w:val="decimal"/>
      <w:suff w:val="space"/>
      <w:lvlText w:val="%1."/>
      <w:lvlJc w:val="left"/>
      <w:pPr>
        <w:ind w:left="0" w:firstLine="640"/>
      </w:pPr>
      <w:rPr>
        <w:rFonts w:hint="default"/>
      </w:rPr>
    </w:lvl>
  </w:abstractNum>
  <w:abstractNum w:abstractNumId="22">
    <w:nsid w:val="38BC0C98"/>
    <w:multiLevelType w:val="singleLevel"/>
    <w:tmpl w:val="38BC0C98"/>
    <w:lvl w:ilvl="0" w:tentative="0">
      <w:start w:val="1"/>
      <w:numFmt w:val="decimal"/>
      <w:suff w:val="space"/>
      <w:lvlText w:val="%1."/>
      <w:lvlJc w:val="left"/>
      <w:pPr>
        <w:ind w:left="0" w:firstLine="640"/>
      </w:pPr>
      <w:rPr>
        <w:rFonts w:hint="default"/>
      </w:rPr>
    </w:lvl>
  </w:abstractNum>
  <w:abstractNum w:abstractNumId="23">
    <w:nsid w:val="4B32A65A"/>
    <w:multiLevelType w:val="singleLevel"/>
    <w:tmpl w:val="4B32A65A"/>
    <w:lvl w:ilvl="0" w:tentative="0">
      <w:start w:val="1"/>
      <w:numFmt w:val="decimal"/>
      <w:suff w:val="space"/>
      <w:lvlText w:val="%1."/>
      <w:lvlJc w:val="left"/>
      <w:pPr>
        <w:ind w:left="0" w:firstLine="640"/>
      </w:pPr>
      <w:rPr>
        <w:rFonts w:hint="default"/>
      </w:rPr>
    </w:lvl>
  </w:abstractNum>
  <w:abstractNum w:abstractNumId="24">
    <w:nsid w:val="5991AD26"/>
    <w:multiLevelType w:val="singleLevel"/>
    <w:tmpl w:val="5991AD26"/>
    <w:lvl w:ilvl="0" w:tentative="0">
      <w:start w:val="1"/>
      <w:numFmt w:val="decimal"/>
      <w:suff w:val="space"/>
      <w:lvlText w:val="%1."/>
      <w:lvlJc w:val="left"/>
      <w:pPr>
        <w:ind w:left="0" w:firstLine="640"/>
      </w:pPr>
      <w:rPr>
        <w:rFonts w:hint="default"/>
      </w:rPr>
    </w:lvl>
  </w:abstractNum>
  <w:abstractNum w:abstractNumId="25">
    <w:nsid w:val="5CEEA7C8"/>
    <w:multiLevelType w:val="singleLevel"/>
    <w:tmpl w:val="5CEEA7C8"/>
    <w:lvl w:ilvl="0" w:tentative="0">
      <w:start w:val="1"/>
      <w:numFmt w:val="chineseCounting"/>
      <w:suff w:val="nothing"/>
      <w:lvlText w:val="（%1）"/>
      <w:lvlJc w:val="left"/>
      <w:pPr>
        <w:ind w:left="0" w:firstLine="643"/>
      </w:pPr>
      <w:rPr>
        <w:rFonts w:hint="eastAsia"/>
      </w:rPr>
    </w:lvl>
  </w:abstractNum>
  <w:abstractNum w:abstractNumId="26">
    <w:nsid w:val="5FD65E83"/>
    <w:multiLevelType w:val="multilevel"/>
    <w:tmpl w:val="5FD65E83"/>
    <w:lvl w:ilvl="0" w:tentative="0">
      <w:start w:val="1"/>
      <w:numFmt w:val="decimal"/>
      <w:pStyle w:val="28"/>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7">
    <w:nsid w:val="6683CCD1"/>
    <w:multiLevelType w:val="singleLevel"/>
    <w:tmpl w:val="6683CCD1"/>
    <w:lvl w:ilvl="0" w:tentative="0">
      <w:start w:val="1"/>
      <w:numFmt w:val="chineseCounting"/>
      <w:suff w:val="nothing"/>
      <w:lvlText w:val="（%1）"/>
      <w:lvlJc w:val="left"/>
      <w:pPr>
        <w:ind w:left="0" w:firstLine="643"/>
      </w:pPr>
      <w:rPr>
        <w:rFonts w:hint="eastAsia"/>
      </w:rPr>
    </w:lvl>
  </w:abstractNum>
  <w:abstractNum w:abstractNumId="28">
    <w:nsid w:val="6E6E53D1"/>
    <w:multiLevelType w:val="multilevel"/>
    <w:tmpl w:val="6E6E53D1"/>
    <w:lvl w:ilvl="0" w:tentative="0">
      <w:start w:val="1"/>
      <w:numFmt w:val="decimal"/>
      <w:pStyle w:val="2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9">
    <w:nsid w:val="73D5FF68"/>
    <w:multiLevelType w:val="singleLevel"/>
    <w:tmpl w:val="73D5FF68"/>
    <w:lvl w:ilvl="0" w:tentative="0">
      <w:start w:val="1"/>
      <w:numFmt w:val="chineseCounting"/>
      <w:suff w:val="nothing"/>
      <w:lvlText w:val="（%1）"/>
      <w:lvlJc w:val="left"/>
      <w:pPr>
        <w:ind w:left="0" w:firstLine="643"/>
      </w:pPr>
      <w:rPr>
        <w:rFonts w:hint="eastAsia"/>
      </w:rPr>
    </w:lvl>
  </w:abstractNum>
  <w:abstractNum w:abstractNumId="30">
    <w:nsid w:val="7855BD90"/>
    <w:multiLevelType w:val="singleLevel"/>
    <w:tmpl w:val="7855BD90"/>
    <w:lvl w:ilvl="0" w:tentative="0">
      <w:start w:val="1"/>
      <w:numFmt w:val="decimal"/>
      <w:suff w:val="space"/>
      <w:lvlText w:val="%1."/>
      <w:lvlJc w:val="left"/>
      <w:pPr>
        <w:ind w:left="0" w:firstLine="640"/>
      </w:pPr>
      <w:rPr>
        <w:rFonts w:hint="default"/>
      </w:rPr>
    </w:lvl>
  </w:abstractNum>
  <w:abstractNum w:abstractNumId="31">
    <w:nsid w:val="7CABC198"/>
    <w:multiLevelType w:val="singleLevel"/>
    <w:tmpl w:val="7CABC198"/>
    <w:lvl w:ilvl="0" w:tentative="0">
      <w:start w:val="1"/>
      <w:numFmt w:val="chineseCounting"/>
      <w:suff w:val="nothing"/>
      <w:lvlText w:val="（%1）"/>
      <w:lvlJc w:val="left"/>
      <w:pPr>
        <w:ind w:left="0" w:firstLine="643"/>
      </w:pPr>
      <w:rPr>
        <w:rFonts w:hint="eastAsia"/>
      </w:rPr>
    </w:lvl>
  </w:abstractNum>
  <w:num w:numId="1">
    <w:abstractNumId w:val="28"/>
  </w:num>
  <w:num w:numId="2">
    <w:abstractNumId w:val="26"/>
  </w:num>
  <w:num w:numId="3">
    <w:abstractNumId w:val="19"/>
  </w:num>
  <w:num w:numId="4">
    <w:abstractNumId w:val="27"/>
  </w:num>
  <w:num w:numId="5">
    <w:abstractNumId w:val="24"/>
  </w:num>
  <w:num w:numId="6">
    <w:abstractNumId w:val="12"/>
  </w:num>
  <w:num w:numId="7">
    <w:abstractNumId w:val="14"/>
  </w:num>
  <w:num w:numId="8">
    <w:abstractNumId w:val="6"/>
  </w:num>
  <w:num w:numId="9">
    <w:abstractNumId w:val="7"/>
  </w:num>
  <w:num w:numId="10">
    <w:abstractNumId w:val="16"/>
  </w:num>
  <w:num w:numId="11">
    <w:abstractNumId w:val="22"/>
  </w:num>
  <w:num w:numId="12">
    <w:abstractNumId w:val="0"/>
  </w:num>
  <w:num w:numId="13">
    <w:abstractNumId w:val="23"/>
  </w:num>
  <w:num w:numId="14">
    <w:abstractNumId w:val="11"/>
  </w:num>
  <w:num w:numId="15">
    <w:abstractNumId w:val="9"/>
  </w:num>
  <w:num w:numId="16">
    <w:abstractNumId w:val="2"/>
  </w:num>
  <w:num w:numId="17">
    <w:abstractNumId w:val="21"/>
  </w:num>
  <w:num w:numId="18">
    <w:abstractNumId w:val="1"/>
  </w:num>
  <w:num w:numId="19">
    <w:abstractNumId w:val="10"/>
  </w:num>
  <w:num w:numId="20">
    <w:abstractNumId w:val="20"/>
  </w:num>
  <w:num w:numId="21">
    <w:abstractNumId w:val="3"/>
  </w:num>
  <w:num w:numId="22">
    <w:abstractNumId w:val="31"/>
  </w:num>
  <w:num w:numId="23">
    <w:abstractNumId w:val="15"/>
  </w:num>
  <w:num w:numId="24">
    <w:abstractNumId w:val="4"/>
  </w:num>
  <w:num w:numId="25">
    <w:abstractNumId w:val="29"/>
  </w:num>
  <w:num w:numId="26">
    <w:abstractNumId w:val="8"/>
  </w:num>
  <w:num w:numId="27">
    <w:abstractNumId w:val="17"/>
  </w:num>
  <w:num w:numId="28">
    <w:abstractNumId w:val="25"/>
  </w:num>
  <w:num w:numId="29">
    <w:abstractNumId w:val="13"/>
  </w:num>
  <w:num w:numId="30">
    <w:abstractNumId w:val="30"/>
  </w:num>
  <w:num w:numId="31">
    <w:abstractNumId w:val="5"/>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4FE"/>
    <w:rsid w:val="0013360A"/>
    <w:rsid w:val="001F1FF3"/>
    <w:rsid w:val="00233395"/>
    <w:rsid w:val="006509FF"/>
    <w:rsid w:val="006662DE"/>
    <w:rsid w:val="00690BE8"/>
    <w:rsid w:val="00754F09"/>
    <w:rsid w:val="007E022E"/>
    <w:rsid w:val="007F6A8E"/>
    <w:rsid w:val="00E074FE"/>
    <w:rsid w:val="00FC5218"/>
    <w:rsid w:val="6AC5441E"/>
    <w:rsid w:val="77106913"/>
    <w:rsid w:val="77C35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19"/>
    <w:qFormat/>
    <w:uiPriority w:val="9"/>
    <w:pPr>
      <w:keepNext/>
      <w:keepLines/>
      <w:pageBreakBefore w:val="0"/>
      <w:widowControl w:val="0"/>
      <w:tabs>
        <w:tab w:val="left" w:pos="0"/>
      </w:tabs>
      <w:kinsoku/>
      <w:wordWrap/>
      <w:overflowPunct/>
      <w:topLinePunct w:val="0"/>
      <w:autoSpaceDE/>
      <w:autoSpaceDN/>
      <w:bidi w:val="0"/>
      <w:adjustRightInd/>
      <w:spacing w:before="0" w:beforeLines="0" w:line="590" w:lineRule="exact"/>
      <w:ind w:left="0" w:leftChars="0" w:firstLine="643" w:firstLineChars="200"/>
      <w:jc w:val="both"/>
      <w:textAlignment w:val="auto"/>
      <w:outlineLvl w:val="0"/>
    </w:pPr>
    <w:rPr>
      <w:rFonts w:ascii="黑体" w:hAnsi="黑体" w:eastAsia="黑体" w:cs="Times New Roman"/>
      <w:b/>
      <w:bCs/>
      <w:kern w:val="44"/>
      <w:sz w:val="32"/>
      <w:szCs w:val="32"/>
      <w:lang w:bidi="ar-SA"/>
    </w:rPr>
  </w:style>
  <w:style w:type="paragraph" w:styleId="3">
    <w:name w:val="heading 2"/>
    <w:next w:val="1"/>
    <w:link w:val="20"/>
    <w:unhideWhenUsed/>
    <w:qFormat/>
    <w:uiPriority w:val="9"/>
    <w:pPr>
      <w:keepNext w:val="0"/>
      <w:keepLines w:val="0"/>
      <w:pageBreakBefore w:val="0"/>
      <w:widowControl w:val="0"/>
      <w:tabs>
        <w:tab w:val="left" w:pos="0"/>
      </w:tabs>
      <w:kinsoku/>
      <w:wordWrap/>
      <w:overflowPunct/>
      <w:topLinePunct w:val="0"/>
      <w:autoSpaceDE/>
      <w:autoSpaceDN/>
      <w:bidi w:val="0"/>
      <w:adjustRightInd/>
      <w:spacing w:before="0" w:after="0" w:line="590" w:lineRule="exact"/>
      <w:ind w:left="0" w:firstLine="960" w:firstLineChars="200"/>
      <w:jc w:val="both"/>
      <w:textAlignment w:val="auto"/>
      <w:outlineLvl w:val="1"/>
    </w:pPr>
    <w:rPr>
      <w:rFonts w:ascii="楷体_GB2312" w:hAnsi="楷体_GB2312" w:eastAsia="楷体_GB2312" w:cs="楷体_GB2312"/>
      <w:b/>
      <w:kern w:val="2"/>
      <w:sz w:val="32"/>
      <w:szCs w:val="22"/>
      <w:lang w:bidi="ar-SA"/>
    </w:rPr>
  </w:style>
  <w:style w:type="paragraph" w:styleId="4">
    <w:name w:val="heading 3"/>
    <w:next w:val="1"/>
    <w:link w:val="21"/>
    <w:semiHidden/>
    <w:unhideWhenUsed/>
    <w:qFormat/>
    <w:uiPriority w:val="9"/>
    <w:pPr>
      <w:widowControl w:val="0"/>
      <w:spacing w:line="560" w:lineRule="exact"/>
      <w:ind w:firstLine="643" w:firstLineChars="200"/>
      <w:jc w:val="both"/>
      <w:outlineLvl w:val="2"/>
    </w:pPr>
    <w:rPr>
      <w:rFonts w:ascii="仿宋_GB2312" w:hAnsi="Calibri" w:eastAsia="仿宋_GB2312" w:cs="Times New Roman"/>
      <w:b/>
      <w:bCs/>
      <w:kern w:val="2"/>
      <w:sz w:val="32"/>
      <w:szCs w:val="36"/>
      <w:lang w:bidi="ar-SA"/>
    </w:rPr>
  </w:style>
  <w:style w:type="paragraph" w:styleId="5">
    <w:name w:val="heading 4"/>
    <w:next w:val="1"/>
    <w:link w:val="34"/>
    <w:semiHidden/>
    <w:unhideWhenUsed/>
    <w:qFormat/>
    <w:uiPriority w:val="9"/>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link w:val="35"/>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link w:val="36"/>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link w:val="37"/>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link w:val="38"/>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link w:val="39"/>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8">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qFormat/>
    <w:uiPriority w:val="99"/>
    <w:pPr>
      <w:widowControl w:val="0"/>
      <w:spacing w:line="560" w:lineRule="exact"/>
      <w:ind w:firstLine="640" w:firstLineChars="200"/>
      <w:jc w:val="both"/>
      <w:outlineLvl w:val="9"/>
    </w:pPr>
    <w:rPr>
      <w:rFonts w:ascii="仿宋_GB2312" w:hAnsi="Calibri" w:eastAsia="仿宋_GB2312" w:cs="Times New Roman"/>
      <w:sz w:val="32"/>
    </w:rPr>
  </w:style>
  <w:style w:type="paragraph" w:styleId="12">
    <w:name w:val="footer"/>
    <w:basedOn w:val="1"/>
    <w:semiHidden/>
    <w:unhideWhenUsed/>
    <w:qFormat/>
    <w:uiPriority w:val="99"/>
    <w:pPr>
      <w:tabs>
        <w:tab w:val="center" w:pos="4153"/>
        <w:tab w:val="right" w:pos="8306"/>
      </w:tabs>
      <w:snapToGrid w:val="0"/>
      <w:jc w:val="left"/>
    </w:pPr>
    <w:rPr>
      <w:sz w:val="18"/>
    </w:rPr>
  </w:style>
  <w:style w:type="paragraph" w:styleId="1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next w:val="1"/>
    <w:link w:val="41"/>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5">
    <w:name w:val="List"/>
    <w:basedOn w:val="1"/>
    <w:semiHidden/>
    <w:unhideWhenUsed/>
    <w:qFormat/>
    <w:uiPriority w:val="99"/>
    <w:pPr>
      <w:ind w:left="200" w:hanging="200" w:hangingChars="200"/>
      <w:contextualSpacing/>
    </w:pPr>
  </w:style>
  <w:style w:type="paragraph" w:styleId="16">
    <w:name w:val="Title"/>
    <w:next w:val="1"/>
    <w:link w:val="40"/>
    <w:qFormat/>
    <w:uiPriority w:val="10"/>
    <w:pPr>
      <w:widowControl w:val="0"/>
      <w:bidi w:val="0"/>
      <w:jc w:val="center"/>
      <w:outlineLvl w:val="9"/>
    </w:pPr>
    <w:rPr>
      <w:rFonts w:ascii="方正小标宋简体" w:hAnsi="方正小标宋简体" w:eastAsia="方正小标宋简体" w:cs="方正小标宋简体"/>
      <w:b/>
      <w:bCs/>
      <w:kern w:val="2"/>
      <w:sz w:val="44"/>
      <w:szCs w:val="44"/>
      <w:lang w:bidi="ar-SA"/>
    </w:rPr>
  </w:style>
  <w:style w:type="character" w:customStyle="1" w:styleId="19">
    <w:name w:val="标题 1 字符"/>
    <w:basedOn w:val="18"/>
    <w:link w:val="2"/>
    <w:qFormat/>
    <w:uiPriority w:val="9"/>
    <w:rPr>
      <w:rFonts w:asciiTheme="majorHAnsi" w:hAnsiTheme="majorHAnsi" w:eastAsiaTheme="majorEastAsia" w:cstheme="majorBidi"/>
      <w:color w:val="2E54A1" w:themeColor="accent1" w:themeShade="BF"/>
      <w:sz w:val="48"/>
      <w:szCs w:val="48"/>
    </w:rPr>
  </w:style>
  <w:style w:type="character" w:customStyle="1" w:styleId="20">
    <w:name w:val="标题 2 字符"/>
    <w:basedOn w:val="18"/>
    <w:link w:val="3"/>
    <w:semiHidden/>
    <w:qFormat/>
    <w:uiPriority w:val="9"/>
    <w:rPr>
      <w:rFonts w:asciiTheme="majorHAnsi" w:hAnsiTheme="majorHAnsi" w:eastAsiaTheme="majorEastAsia" w:cstheme="majorBidi"/>
      <w:color w:val="2E54A1" w:themeColor="accent1" w:themeShade="BF"/>
      <w:sz w:val="40"/>
      <w:szCs w:val="40"/>
    </w:rPr>
  </w:style>
  <w:style w:type="character" w:customStyle="1" w:styleId="21">
    <w:name w:val="标题 3 字符"/>
    <w:basedOn w:val="18"/>
    <w:link w:val="4"/>
    <w:semiHidden/>
    <w:qFormat/>
    <w:uiPriority w:val="9"/>
    <w:rPr>
      <w:rFonts w:asciiTheme="majorHAnsi" w:hAnsiTheme="majorHAnsi" w:eastAsiaTheme="majorEastAsia" w:cstheme="majorBidi"/>
      <w:color w:val="2E54A1" w:themeColor="accent1" w:themeShade="BF"/>
      <w:sz w:val="32"/>
      <w:szCs w:val="32"/>
    </w:rPr>
  </w:style>
  <w:style w:type="paragraph" w:customStyle="1" w:styleId="22">
    <w:name w:val="标题A1"/>
    <w:basedOn w:val="2"/>
    <w:link w:val="23"/>
    <w:qFormat/>
    <w:uiPriority w:val="0"/>
    <w:pPr>
      <w:numPr>
        <w:ilvl w:val="0"/>
        <w:numId w:val="1"/>
      </w:numPr>
      <w:tabs>
        <w:tab w:val="clear" w:pos="0"/>
      </w:tabs>
      <w:spacing w:before="80"/>
      <w:ind w:left="640" w:leftChars="200" w:hanging="440"/>
      <w:jc w:val="left"/>
    </w:pPr>
    <w:rPr>
      <w:rFonts w:eastAsia="黑体"/>
      <w:color w:val="000000" w:themeColor="text1"/>
      <w:sz w:val="32"/>
      <w14:textFill>
        <w14:solidFill>
          <w14:schemeClr w14:val="tx1"/>
        </w14:solidFill>
      </w14:textFill>
    </w:rPr>
  </w:style>
  <w:style w:type="character" w:customStyle="1" w:styleId="23">
    <w:name w:val="标题A1 字符"/>
    <w:basedOn w:val="19"/>
    <w:link w:val="22"/>
    <w:qFormat/>
    <w:uiPriority w:val="0"/>
    <w:rPr>
      <w:rFonts w:eastAsia="黑体" w:asciiTheme="majorHAnsi" w:hAnsiTheme="majorHAnsi" w:cstheme="majorBidi"/>
      <w:color w:val="000000" w:themeColor="text1"/>
      <w:sz w:val="32"/>
      <w:szCs w:val="48"/>
      <w14:textFill>
        <w14:solidFill>
          <w14:schemeClr w14:val="tx1"/>
        </w14:solidFill>
      </w14:textFill>
    </w:rPr>
  </w:style>
  <w:style w:type="paragraph" w:customStyle="1" w:styleId="24">
    <w:name w:val="标题A2"/>
    <w:basedOn w:val="3"/>
    <w:link w:val="25"/>
    <w:qFormat/>
    <w:uiPriority w:val="0"/>
    <w:pPr>
      <w:spacing w:before="80"/>
      <w:ind w:firstLine="420"/>
    </w:pPr>
    <w:rPr>
      <w:rFonts w:eastAsia="楷体"/>
      <w:bCs/>
      <w:color w:val="000000" w:themeColor="text1"/>
      <w:sz w:val="32"/>
      <w14:textFill>
        <w14:solidFill>
          <w14:schemeClr w14:val="tx1"/>
        </w14:solidFill>
      </w14:textFill>
    </w:rPr>
  </w:style>
  <w:style w:type="character" w:customStyle="1" w:styleId="25">
    <w:name w:val="标题A2 字符"/>
    <w:basedOn w:val="20"/>
    <w:link w:val="24"/>
    <w:qFormat/>
    <w:uiPriority w:val="0"/>
    <w:rPr>
      <w:rFonts w:eastAsia="楷体" w:asciiTheme="majorHAnsi" w:hAnsiTheme="majorHAnsi" w:cstheme="majorBidi"/>
      <w:b/>
      <w:bCs/>
      <w:color w:val="000000" w:themeColor="text1"/>
      <w:sz w:val="32"/>
      <w:szCs w:val="40"/>
      <w14:textFill>
        <w14:solidFill>
          <w14:schemeClr w14:val="tx1"/>
        </w14:solidFill>
      </w14:textFill>
    </w:rPr>
  </w:style>
  <w:style w:type="paragraph" w:customStyle="1" w:styleId="26">
    <w:name w:val="标题A3"/>
    <w:basedOn w:val="1"/>
    <w:link w:val="27"/>
    <w:qFormat/>
    <w:uiPriority w:val="0"/>
    <w:pPr>
      <w:tabs>
        <w:tab w:val="left" w:pos="720"/>
      </w:tabs>
      <w:ind w:left="440" w:hanging="440"/>
      <w:outlineLvl w:val="2"/>
    </w:pPr>
    <w:rPr>
      <w:rFonts w:eastAsia="仿宋_GB2312"/>
      <w:b/>
      <w:bCs/>
      <w:sz w:val="32"/>
    </w:rPr>
  </w:style>
  <w:style w:type="character" w:customStyle="1" w:styleId="27">
    <w:name w:val="标题A3 字符"/>
    <w:basedOn w:val="18"/>
    <w:link w:val="26"/>
    <w:qFormat/>
    <w:uiPriority w:val="0"/>
    <w:rPr>
      <w:rFonts w:eastAsia="仿宋_GB2312"/>
      <w:b/>
      <w:bCs/>
      <w:sz w:val="32"/>
    </w:rPr>
  </w:style>
  <w:style w:type="paragraph" w:customStyle="1" w:styleId="28">
    <w:name w:val="表1"/>
    <w:basedOn w:val="15"/>
    <w:link w:val="29"/>
    <w:qFormat/>
    <w:uiPriority w:val="0"/>
    <w:pPr>
      <w:numPr>
        <w:ilvl w:val="0"/>
        <w:numId w:val="2"/>
      </w:numPr>
      <w:ind w:left="440" w:hanging="440" w:firstLineChars="0"/>
      <w:jc w:val="center"/>
      <w:outlineLvl w:val="3"/>
    </w:pPr>
    <w:rPr>
      <w:rFonts w:eastAsia="宋体"/>
      <w:sz w:val="28"/>
    </w:rPr>
  </w:style>
  <w:style w:type="character" w:customStyle="1" w:styleId="29">
    <w:name w:val="表1 字符"/>
    <w:basedOn w:val="18"/>
    <w:link w:val="28"/>
    <w:qFormat/>
    <w:uiPriority w:val="0"/>
    <w:rPr>
      <w:rFonts w:eastAsia="宋体"/>
      <w:sz w:val="28"/>
    </w:rPr>
  </w:style>
  <w:style w:type="paragraph" w:customStyle="1" w:styleId="30">
    <w:name w:val="标题A-3"/>
    <w:basedOn w:val="4"/>
    <w:link w:val="31"/>
    <w:qFormat/>
    <w:uiPriority w:val="0"/>
    <w:pPr>
      <w:tabs>
        <w:tab w:val="left" w:pos="720"/>
      </w:tabs>
      <w:spacing w:before="80"/>
      <w:ind w:left="425" w:hanging="720"/>
    </w:pPr>
    <w:rPr>
      <w:rFonts w:eastAsia="仿宋_GB2312"/>
      <w:color w:val="000000" w:themeColor="text1"/>
      <w14:textFill>
        <w14:solidFill>
          <w14:schemeClr w14:val="tx1"/>
        </w14:solidFill>
      </w14:textFill>
    </w:rPr>
  </w:style>
  <w:style w:type="character" w:customStyle="1" w:styleId="31">
    <w:name w:val="标题A-3 字符"/>
    <w:basedOn w:val="21"/>
    <w:link w:val="30"/>
    <w:qFormat/>
    <w:uiPriority w:val="0"/>
    <w:rPr>
      <w:rFonts w:eastAsia="仿宋_GB2312" w:asciiTheme="majorHAnsi" w:hAnsiTheme="majorHAnsi" w:cstheme="majorBidi"/>
      <w:b/>
      <w:bCs/>
      <w:color w:val="000000" w:themeColor="text1"/>
      <w:sz w:val="32"/>
      <w:szCs w:val="32"/>
      <w14:textFill>
        <w14:solidFill>
          <w14:schemeClr w14:val="tx1"/>
        </w14:solidFill>
      </w14:textFill>
    </w:rPr>
  </w:style>
  <w:style w:type="paragraph" w:customStyle="1" w:styleId="32">
    <w:name w:val="正文A"/>
    <w:basedOn w:val="1"/>
    <w:link w:val="33"/>
    <w:qFormat/>
    <w:uiPriority w:val="0"/>
    <w:pPr>
      <w:spacing w:before="50" w:beforeLines="50" w:after="50" w:afterLines="50" w:line="360" w:lineRule="auto"/>
      <w:ind w:firstLine="200" w:firstLineChars="200"/>
    </w:pPr>
    <w:rPr>
      <w:rFonts w:eastAsia="仿宋_GB2312"/>
      <w:sz w:val="32"/>
    </w:rPr>
  </w:style>
  <w:style w:type="character" w:customStyle="1" w:styleId="33">
    <w:name w:val="正文A 字符"/>
    <w:basedOn w:val="18"/>
    <w:link w:val="32"/>
    <w:qFormat/>
    <w:uiPriority w:val="0"/>
    <w:rPr>
      <w:rFonts w:eastAsia="仿宋_GB2312"/>
      <w:sz w:val="32"/>
    </w:rPr>
  </w:style>
  <w:style w:type="character" w:customStyle="1" w:styleId="34">
    <w:name w:val="标题 4 字符"/>
    <w:basedOn w:val="18"/>
    <w:link w:val="5"/>
    <w:semiHidden/>
    <w:qFormat/>
    <w:uiPriority w:val="9"/>
    <w:rPr>
      <w:rFonts w:cstheme="majorBidi"/>
      <w:color w:val="2E54A1" w:themeColor="accent1" w:themeShade="BF"/>
      <w:sz w:val="28"/>
      <w:szCs w:val="28"/>
    </w:rPr>
  </w:style>
  <w:style w:type="character" w:customStyle="1" w:styleId="35">
    <w:name w:val="标题 5 字符"/>
    <w:basedOn w:val="18"/>
    <w:link w:val="6"/>
    <w:semiHidden/>
    <w:qFormat/>
    <w:uiPriority w:val="9"/>
    <w:rPr>
      <w:rFonts w:cstheme="majorBidi"/>
      <w:color w:val="2E54A1" w:themeColor="accent1" w:themeShade="BF"/>
      <w:sz w:val="24"/>
      <w:szCs w:val="24"/>
    </w:rPr>
  </w:style>
  <w:style w:type="character" w:customStyle="1" w:styleId="36">
    <w:name w:val="标题 6 字符"/>
    <w:basedOn w:val="18"/>
    <w:link w:val="7"/>
    <w:semiHidden/>
    <w:qFormat/>
    <w:uiPriority w:val="9"/>
    <w:rPr>
      <w:rFonts w:cstheme="majorBidi"/>
      <w:b/>
      <w:bCs/>
      <w:color w:val="2E54A1" w:themeColor="accent1" w:themeShade="BF"/>
    </w:rPr>
  </w:style>
  <w:style w:type="character" w:customStyle="1" w:styleId="3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4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引用 字符"/>
    <w:basedOn w:val="18"/>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8"/>
    <w:qFormat/>
    <w:uiPriority w:val="21"/>
    <w:rPr>
      <w:i/>
      <w:iCs/>
      <w:color w:val="2E54A1" w:themeColor="accent1" w:themeShade="BF"/>
    </w:rPr>
  </w:style>
  <w:style w:type="paragraph" w:styleId="46">
    <w:name w:val="Intense Quote"/>
    <w:basedOn w:val="1"/>
    <w:next w:val="1"/>
    <w:link w:val="47"/>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7">
    <w:name w:val="明显引用 字符"/>
    <w:basedOn w:val="18"/>
    <w:link w:val="46"/>
    <w:qFormat/>
    <w:uiPriority w:val="30"/>
    <w:rPr>
      <w:i/>
      <w:iCs/>
      <w:color w:val="2E54A1" w:themeColor="accent1" w:themeShade="BF"/>
    </w:rPr>
  </w:style>
  <w:style w:type="character" w:customStyle="1" w:styleId="48">
    <w:name w:val="Intense Reference"/>
    <w:basedOn w:val="18"/>
    <w:qFormat/>
    <w:uiPriority w:val="32"/>
    <w:rPr>
      <w:b/>
      <w:bCs/>
      <w:smallCaps/>
      <w:color w:val="2E54A1"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6109</Words>
  <Characters>6140</Characters>
  <Lines>55</Lines>
  <Paragraphs>15</Paragraphs>
  <TotalTime>10</TotalTime>
  <ScaleCrop>false</ScaleCrop>
  <LinksUpToDate>false</LinksUpToDate>
  <CharactersWithSpaces>6140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2026-01-19T13:53:00Z</dcterms:created>
  <dc:creator>longben777@163.com</dc:creator>
  <cp:lastModifiedBy>Levin</cp:lastModifiedBy>
  <dcterms:modified xsi:type="dcterms:W3CDTF">2026-01-27T14:05:23Z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eyJoZGlkIjoiOTA3YjQ1ZDM5OWQ1ZmFiNWUyYTJjZGRiY2E1NWFmM2MiLCJ1c2VySWQiOiI3NzgxNzU1MjcifQ==</vt:lpwstr>
  </property>
  <property fmtid="{D5CDD505-2E9C-101B-9397-08002B2CF9AE}" pid="3" name="KSOProductBuildVer">
    <vt:lpwstr>2052-12.1.0.24657</vt:lpwstr>
  </property>
  <property fmtid="{D5CDD505-2E9C-101B-9397-08002B2CF9AE}" pid="4" name="ICV">
    <vt:lpwstr>1EF00A28DE4B442994EAE52BA894C2FC_12</vt:lpwstr>
  </property>
</Properties>
</file>