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047A" w14:textId="08979EDB" w:rsidR="00541DCB" w:rsidRPr="00BF6BBF" w:rsidRDefault="7DBBF99E" w:rsidP="00BF6BBF">
      <w:pPr>
        <w:spacing w:before="240" w:after="480"/>
        <w:jc w:val="center"/>
        <w:rPr>
          <w:rFonts w:ascii="Times New Roman" w:hAnsi="Times New Roman" w:cs="Times New Roman"/>
          <w:b/>
          <w:bCs/>
        </w:rPr>
      </w:pPr>
      <w:r w:rsidRPr="00BF6BBF">
        <w:rPr>
          <w:rFonts w:ascii="Times New Roman" w:eastAsia="Open Sans" w:hAnsi="Times New Roman" w:cs="Times New Roman"/>
          <w:b/>
          <w:bCs/>
          <w:color w:val="232F27"/>
        </w:rPr>
        <w:t xml:space="preserve">TI Verde e a obsolescência programada: impactos na geração de lixo eletrônico </w:t>
      </w:r>
    </w:p>
    <w:p w14:paraId="73E3E980" w14:textId="35CDEC52" w:rsidR="00BF6BBF" w:rsidRDefault="00BF6BBF" w:rsidP="00BF6BBF">
      <w:pPr>
        <w:shd w:val="clear" w:color="auto" w:fill="FFFFFF" w:themeFill="background1"/>
        <w:spacing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Mayara Marinho de Souza</w:t>
      </w:r>
    </w:p>
    <w:p w14:paraId="3078AAF6" w14:textId="4BB18263" w:rsidR="00541DCB" w:rsidRDefault="00BF6BBF" w:rsidP="00BF6BBF">
      <w:pPr>
        <w:shd w:val="clear" w:color="auto" w:fill="FFFFFF" w:themeFill="background1"/>
        <w:spacing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Lavínia Nunes Mesquita</w:t>
      </w:r>
    </w:p>
    <w:p w14:paraId="19FE51EF" w14:textId="2655FC01" w:rsidR="00BF6BBF" w:rsidRDefault="00BF6BBF" w:rsidP="00BF6BBF">
      <w:pPr>
        <w:shd w:val="clear" w:color="auto" w:fill="FFFFFF" w:themeFill="background1"/>
        <w:spacing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Mariana Carneiro Silva</w:t>
      </w:r>
    </w:p>
    <w:p w14:paraId="4B998850" w14:textId="5FBC5A74" w:rsidR="00BF6BBF" w:rsidRDefault="00BF6BBF" w:rsidP="00BF6BBF">
      <w:pPr>
        <w:shd w:val="clear" w:color="auto" w:fill="FFFFFF" w:themeFill="background1"/>
        <w:spacing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Rayane </w:t>
      </w:r>
      <w:r w:rsidR="00BB0701">
        <w:rPr>
          <w:rFonts w:ascii="Times New Roman" w:hAnsi="Times New Roman" w:cs="Times New Roman"/>
        </w:rPr>
        <w:t xml:space="preserve">Andrade </w:t>
      </w:r>
      <w:r>
        <w:rPr>
          <w:rFonts w:ascii="Times New Roman" w:hAnsi="Times New Roman" w:cs="Times New Roman"/>
        </w:rPr>
        <w:t xml:space="preserve">Faustino </w:t>
      </w:r>
    </w:p>
    <w:p w14:paraId="3E85839B" w14:textId="74A1145A" w:rsidR="00BF6BBF" w:rsidRDefault="00BF6BBF" w:rsidP="00BF6BBF">
      <w:pPr>
        <w:shd w:val="clear" w:color="auto" w:fill="FFFFFF" w:themeFill="background1"/>
        <w:spacing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Lívia Freixo</w:t>
      </w:r>
    </w:p>
    <w:p w14:paraId="50B06CCC" w14:textId="1B4A9BD0" w:rsidR="00BF6BBF" w:rsidRDefault="00BF6BBF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8483BE7" w14:textId="77777777" w:rsidR="00BF6BBF" w:rsidRPr="00BF6BBF" w:rsidRDefault="00BF6BBF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4D1C230D" w14:textId="363A9EF4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Palavras-chave </w:t>
      </w:r>
    </w:p>
    <w:p w14:paraId="78716136" w14:textId="4846B8CC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B1D03C9" w14:textId="5011BC73" w:rsidR="00BF6BBF" w:rsidRDefault="00BB0701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color w:val="232F27"/>
        </w:rPr>
      </w:pPr>
      <w:r>
        <w:rPr>
          <w:rFonts w:ascii="Times New Roman" w:eastAsia="Open Sans" w:hAnsi="Times New Roman" w:cs="Times New Roman"/>
          <w:color w:val="232F27"/>
        </w:rPr>
        <w:t>L</w:t>
      </w:r>
      <w:r w:rsidRPr="00BF6BBF">
        <w:rPr>
          <w:rFonts w:ascii="Times New Roman" w:eastAsia="Open Sans" w:hAnsi="Times New Roman" w:cs="Times New Roman"/>
          <w:color w:val="232F27"/>
        </w:rPr>
        <w:t>ixo eletrônico</w:t>
      </w:r>
      <w:r w:rsidR="7DBBF99E" w:rsidRPr="00BF6BBF">
        <w:rPr>
          <w:rFonts w:ascii="Times New Roman" w:eastAsia="Open Sans" w:hAnsi="Times New Roman" w:cs="Times New Roman"/>
          <w:color w:val="232F27"/>
        </w:rPr>
        <w:t>; obsolescência programada</w:t>
      </w:r>
      <w:proofErr w:type="gramStart"/>
      <w:r w:rsidR="7DBBF99E" w:rsidRPr="00BF6BBF">
        <w:rPr>
          <w:rFonts w:ascii="Times New Roman" w:eastAsia="Open Sans" w:hAnsi="Times New Roman" w:cs="Times New Roman"/>
          <w:color w:val="232F27"/>
        </w:rPr>
        <w:t>;</w:t>
      </w:r>
      <w:r>
        <w:rPr>
          <w:rFonts w:ascii="Times New Roman" w:eastAsia="Open Sans" w:hAnsi="Times New Roman" w:cs="Times New Roman"/>
          <w:color w:val="232F27"/>
        </w:rPr>
        <w:t xml:space="preserve"> ;</w:t>
      </w:r>
      <w:proofErr w:type="gramEnd"/>
      <w:r w:rsidRPr="00BF6BBF">
        <w:rPr>
          <w:rFonts w:ascii="Times New Roman" w:eastAsia="Open Sans" w:hAnsi="Times New Roman" w:cs="Times New Roman"/>
          <w:color w:val="232F27"/>
        </w:rPr>
        <w:t xml:space="preserve"> TI Verde</w:t>
      </w:r>
      <w:r>
        <w:rPr>
          <w:rFonts w:ascii="Times New Roman" w:eastAsia="Open Sans" w:hAnsi="Times New Roman" w:cs="Times New Roman"/>
          <w:color w:val="232F27"/>
        </w:rPr>
        <w:t>.</w:t>
      </w:r>
    </w:p>
    <w:p w14:paraId="35295235" w14:textId="77777777" w:rsidR="00BF6BBF" w:rsidRDefault="00BF6BBF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color w:val="232F27"/>
        </w:rPr>
      </w:pPr>
    </w:p>
    <w:p w14:paraId="2463D590" w14:textId="21B4FCAC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2E3413CC" w14:textId="420D1DE7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Introdução </w:t>
      </w:r>
    </w:p>
    <w:p w14:paraId="528F9654" w14:textId="03E2F1F0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4D47D0B2" w14:textId="3ADF06EA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Frequentemente pessoas considerarem seus smartfones “obsoletos”, pela valorização de novos modelos, reduzindo o tempo de utilização dos equipamentos (ORAEeet al.,2024). </w:t>
      </w:r>
    </w:p>
    <w:p w14:paraId="6AAA5115" w14:textId="1CF2276D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C32C3F6" w14:textId="77C923CC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Logo, este artigo visa evidenciar o problema da geração de lixo eletrônico decorrente da cultura da obsolescência programada, discutindo a relação entre a substituição de equipamentos eletrônicos e seus impactos ambientais, considerando também a responsabilidade das empresas nesse processo. </w:t>
      </w:r>
    </w:p>
    <w:p w14:paraId="64AA1692" w14:textId="0ED66477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1E876F1" w14:textId="40DD78EA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Metodologia </w:t>
      </w:r>
    </w:p>
    <w:p w14:paraId="3AD01346" w14:textId="66FCD1D3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0EF21C1" w14:textId="0774F98F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Foi feita uma revisão de trabalhos já existentes sobre o assunto, a partir da leitura e análise dos artigos acadêmicos relacionados à obsolescência programada, ao consumo, à sustentabilidade, à tecnologia da informação e à geração de resíduos eletrônicos. </w:t>
      </w:r>
    </w:p>
    <w:p w14:paraId="2B5A5FF1" w14:textId="18E6BDE8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 pesquisa considerou documentos publicados entre novembro de 2020 e 2024, conforme definido para a pesquisa. Existem diversos materiais relacionados ao tema e, para uma busca melhor e mais assertiva, utilizando Google Acadêmico e bases de pesquisa acadêmica. Empregados termos como “obsolescência programada”, “lixo eletrônico”, “TI Verde e impactos ambientais”. Depois os trabalhos foram selecionados de acordo com a relação deles com o problema de pesquisa e com os objetivos do artigo. </w:t>
      </w:r>
    </w:p>
    <w:p w14:paraId="1BBDE3AF" w14:textId="76DC5DEF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4B89C37" w14:textId="2281F13F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 análise dos estudos estrutura-se em dois eixos principais: </w:t>
      </w:r>
    </w:p>
    <w:p w14:paraId="282052D2" w14:textId="2DFD2709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Eixo 1: obsolescência programada, consumo e substituição dos produtos. </w:t>
      </w:r>
    </w:p>
    <w:p w14:paraId="16DB4A2E" w14:textId="6B7BC443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35A7348" w14:textId="3DDC7492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Eixo 2: tecnologia, sustentabilidade e geração de lixo eletrônico.  </w:t>
      </w:r>
    </w:p>
    <w:p w14:paraId="5FE5BA08" w14:textId="191B8AAF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44DCAB8" w14:textId="3A65325D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>A análise dos artigos evidenciou lacunas na literatura, a relação entre a obsolescência tecnológica e o lixo eletrônico, e a relevância da TI Verde na mitigação desses impactos.</w:t>
      </w:r>
    </w:p>
    <w:p w14:paraId="1A39E93E" w14:textId="2D5604CC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AB48A4E" w14:textId="429B5A6B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 </w:t>
      </w:r>
    </w:p>
    <w:p w14:paraId="0A28E8E0" w14:textId="051DD40D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FA45F69" w14:textId="4FBC3019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Revisão da literatura </w:t>
      </w:r>
    </w:p>
    <w:p w14:paraId="15DE80FC" w14:textId="51A22EBF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0642C3C" w14:textId="422179B9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Obsolescência programada e padrões de consumo </w:t>
      </w:r>
    </w:p>
    <w:p w14:paraId="7EDEF630" w14:textId="1A50EE8E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3DE1848" w14:textId="3845E178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Os autores Araújo e Marques (2020) Relacionam a obsolescência, o consumismo e a supervalorização dos novos eletrônicos, mostrando que o consumo frequente pode contribuir para que os produtos sejam substituídos em períodos menores. </w:t>
      </w:r>
    </w:p>
    <w:p w14:paraId="1F81FCE3" w14:textId="6B078B06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0510874" w14:textId="63C32227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Os autores realizaram uma pesquisa bibliográfica de caráter exploratório e que discutem relação entre obsolescência, consumismo como cultura e comportamento da sociedade. A valorização de novos produtos impulsionados pela indústria influencia a decisão do consumidor final. </w:t>
      </w:r>
    </w:p>
    <w:p w14:paraId="6CC478D2" w14:textId="1C7A5D09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76E1B86" w14:textId="799B343B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color w:val="232F27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Essa questão pode ser observada principalmente no setor dos celulares, onde novos equipamentos e modelos são lançados com frequência. Assim um equipamento que ainda </w:t>
      </w:r>
      <w:r w:rsidR="5A58D530" w:rsidRPr="00BF6BBF">
        <w:rPr>
          <w:rFonts w:ascii="Times New Roman" w:eastAsia="Open Sans" w:hAnsi="Times New Roman" w:cs="Times New Roman"/>
          <w:color w:val="232F27"/>
        </w:rPr>
        <w:t>está</w:t>
      </w:r>
      <w:r w:rsidRPr="00BF6BBF">
        <w:rPr>
          <w:rFonts w:ascii="Times New Roman" w:eastAsia="Open Sans" w:hAnsi="Times New Roman" w:cs="Times New Roman"/>
          <w:color w:val="232F27"/>
        </w:rPr>
        <w:t xml:space="preserve"> condições </w:t>
      </w:r>
      <w:r w:rsidR="332E8188" w:rsidRPr="00BF6BBF">
        <w:rPr>
          <w:rFonts w:ascii="Times New Roman" w:eastAsia="Open Sans" w:hAnsi="Times New Roman" w:cs="Times New Roman"/>
          <w:color w:val="232F27"/>
        </w:rPr>
        <w:t>de</w:t>
      </w:r>
      <w:r w:rsidRPr="00BF6BBF">
        <w:rPr>
          <w:rFonts w:ascii="Times New Roman" w:eastAsia="Open Sans" w:hAnsi="Times New Roman" w:cs="Times New Roman"/>
          <w:color w:val="232F27"/>
        </w:rPr>
        <w:t xml:space="preserve"> uso pode ser substituído por outro mais moderno, contribuindo para o aumento do descarte de produtos eletrônicos. </w:t>
      </w:r>
    </w:p>
    <w:p w14:paraId="2AD6B24D" w14:textId="5377777F" w:rsidR="00541DCB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</w:p>
    <w:p w14:paraId="5C0B0EE4" w14:textId="77777777" w:rsidR="00BB0701" w:rsidRPr="00BB0701" w:rsidRDefault="00BB0701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</w:p>
    <w:p w14:paraId="56A8D200" w14:textId="4610EE86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Obsolescência tecnológica e geração de lixo eletrônico </w:t>
      </w:r>
    </w:p>
    <w:p w14:paraId="3D9A4DC0" w14:textId="2BC2817E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335207E" w14:textId="3EDA9BB7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 relação entre obsolescência e substituição de equipamentos é observada no estudo de Oraee et al. (2024), que analisou que a obsolescência prematura de celulares entre jovens adultos e identificou diferentes fatores relacionados à substituição desses aparelhos, incluindo aspectos físicos, técnicos, comportamentais e sociais. </w:t>
      </w:r>
    </w:p>
    <w:p w14:paraId="33E63D1F" w14:textId="14C10FB6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F0E781E" w14:textId="2E352AC6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 estudo também apresenta alternativas para aumentar a vida útil dos dispositivos, como a possibilidade de reparos, substituição de peças de hardware dos equipamentos, a conscientização dos consumidores e mudanças nos padrões de consumo (ORAEe et al., 2024).  </w:t>
      </w:r>
    </w:p>
    <w:p w14:paraId="00F51FCC" w14:textId="74070236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2A53D48E" w14:textId="219F8D60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 obsolescência tecnológica não está relacionada somente à quebra física do equipamento. Questões como fim das atualizações, novas tendências, funcionamento de softwares, características dos novos modelos, status social e possibilidade de manutenção também afetam o consumidor. </w:t>
      </w:r>
    </w:p>
    <w:p w14:paraId="21093F9F" w14:textId="0F8972CC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4BBE7290" w14:textId="0A49F930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Essa relação também é observada no estudo de Chiang (2024), que realizou uma análise da literatura sobre tecnologia da informação verde e sustentabilidade, relacionando o desenvolvimento tecnológico a questões ambientais, econômicas e sociais e também aos impactos causados pelo descarte de equipamentos eletrônicos. </w:t>
      </w:r>
    </w:p>
    <w:p w14:paraId="4313D583" w14:textId="10BFF51B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5055BD9" w14:textId="613B01D3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 estudo analisou 836 artigos e discutiu a relação entre tecnologia da informação e sustentabilidade, destacando a importância de uma abordagem voltada para práticas mais sustentáveis na área de tecnologia (CHIANG, 2024). </w:t>
      </w:r>
    </w:p>
    <w:p w14:paraId="3D318B06" w14:textId="747A44CD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1684483" w14:textId="67ED2F32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Nesse contexto, a TI Verde aparece como uma forma de buscar uma utilização mais sustentável da tecnologia. Entre as possibilidades estão o aumento da vida útil dos equipamentos, o reaproveitamento, o </w:t>
      </w:r>
      <w:r w:rsidRPr="00BF6BBF">
        <w:rPr>
          <w:rFonts w:ascii="Times New Roman" w:eastAsia="Open Sans" w:hAnsi="Times New Roman" w:cs="Times New Roman"/>
          <w:color w:val="232F27"/>
        </w:rPr>
        <w:lastRenderedPageBreak/>
        <w:t xml:space="preserve">reparo e o descarte adequado dos produtos, diminuindo os impactos ambientais causados pela substituição antecipada </w:t>
      </w:r>
    </w:p>
    <w:p w14:paraId="26CC576D" w14:textId="58244738" w:rsidR="00541DCB" w:rsidRPr="00BB0701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</w:p>
    <w:p w14:paraId="7F5C5C1D" w14:textId="2D23A278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Síntese crítica </w:t>
      </w:r>
    </w:p>
    <w:p w14:paraId="24FC2833" w14:textId="3C215F28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45AFC4D9" w14:textId="65132222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Os estudos dos artigos analisados apresentam pontos em comum entre a relação de consumo, cultura da substituição de produtos tecnológicos e impactos ambientais. Araújo e Marques (2020) destaca a relação entre obsolescência e consumismo, enquanto Oraee et al. (2024) considerando fatores que podem levar à substituição prematura de dispositivos eletrônicos. Chiang (2024), já amplia a discussão para a relação entre tecnologia e sustentabilidade. </w:t>
      </w:r>
    </w:p>
    <w:p w14:paraId="31361779" w14:textId="5754321B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D0CEC2B" w14:textId="62C1D9AC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Apesar das diferentes abordagens, os estudos mostram que o problema não está relacionado somente aos hábitos do consumidor. Mas a forma como os produtos são desenvolvidos, a possibilidade de manutenção e reparo, as estratégias de mercado e a busca constante por novos modelos também podem influenciar a vida útil dos equipamentos. </w:t>
      </w:r>
    </w:p>
    <w:p w14:paraId="27D2B3D3" w14:textId="1E5483D6" w:rsidR="00541DCB" w:rsidRPr="00BB0701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</w:p>
    <w:p w14:paraId="26390BFC" w14:textId="20BB0BD1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Considerações finais </w:t>
      </w:r>
    </w:p>
    <w:p w14:paraId="1C31991B" w14:textId="53B7C2ED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36793DF" w14:textId="1FB598DD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 análise dos estudos permite evidenciar que a obsolescência programada e a substituição prematura de equipamentos contribuem para aumentar a geração de lixo eletrônico. O problema não depende somente da decisão individual do consumidor, pois também está relacionado às características dos produtos, ao comportamento de consumo, às condições de manutenção, reparo e reutilização. </w:t>
      </w:r>
    </w:p>
    <w:p w14:paraId="4992C520" w14:textId="3B7F1B99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A3E4EDC" w14:textId="53BF32D2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Os estudos também mostram que aumentar a vida útil dos equipamentos pode ser uma alternativa para diminuir os impactos ambientais causados pelo descarte. Nesse sentido, práticas relacionadas à TI Verde podem contribuir para uma utilização mais sustentável da tecnologia, incentivando a durabilidade, o reparo, a reutilização e o descarte adequado dos equipamentos. </w:t>
      </w:r>
    </w:p>
    <w:p w14:paraId="56A2CB8B" w14:textId="6C36FF0D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1CB33060" w14:textId="2EFC0884" w:rsidR="00541DCB" w:rsidRDefault="7DBBF99E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color w:val="232F27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Como limitação, os estudos analisados possuem diferentes enfoques. Por isso, pesquisas futuras podem investigar mais especificamente como fatores relacionados a hardware, software, atualizações e peças de reposição influenciam a vida útil dos computadores e sua posterior transformação em lixo eletrônico. </w:t>
      </w:r>
    </w:p>
    <w:p w14:paraId="15DF79AF" w14:textId="394BFE39" w:rsidR="0006508C" w:rsidRPr="00BB0701" w:rsidRDefault="0006508C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b/>
          <w:bCs/>
          <w:color w:val="232F27"/>
        </w:rPr>
      </w:pPr>
    </w:p>
    <w:p w14:paraId="386B28F9" w14:textId="77777777" w:rsidR="0006508C" w:rsidRPr="00BB0701" w:rsidRDefault="0006508C" w:rsidP="0006508C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Resumo </w:t>
      </w:r>
    </w:p>
    <w:p w14:paraId="020F9A19" w14:textId="77777777" w:rsidR="0006508C" w:rsidRPr="00BF6BBF" w:rsidRDefault="0006508C" w:rsidP="0006508C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2B97690E" w14:textId="77777777" w:rsidR="0006508C" w:rsidRPr="00BF6BBF" w:rsidRDefault="0006508C" w:rsidP="0006508C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 avanço da tecnologia aumentou o consumo de equipamentos eletrônicos, trazendo novos problemas relacionados ao seu descarte. Este artigo visa evidenciar o problema da geração de lixo eletrônico decorrente da cultura da obsolescência programada. Foi realizada uma revisão bibliográfica qualitativa a partir de estudos relacionados à obsolescência programada, consumo, sustentabilidade e tecnologia da informação. Os estudos analisados mostram que </w:t>
      </w:r>
      <w:proofErr w:type="gramStart"/>
      <w:r w:rsidRPr="00BF6BBF">
        <w:rPr>
          <w:rFonts w:ascii="Times New Roman" w:eastAsia="Open Sans" w:hAnsi="Times New Roman" w:cs="Times New Roman"/>
          <w:color w:val="232F27"/>
        </w:rPr>
        <w:t>a substituição de produtos que ainda poderiam ser utilizados aumentam</w:t>
      </w:r>
      <w:proofErr w:type="gramEnd"/>
      <w:r w:rsidRPr="00BF6BBF">
        <w:rPr>
          <w:rFonts w:ascii="Times New Roman" w:eastAsia="Open Sans" w:hAnsi="Times New Roman" w:cs="Times New Roman"/>
          <w:color w:val="232F27"/>
        </w:rPr>
        <w:t xml:space="preserve"> a geração de resíduos eletrônicos. Como alternativa relacionada a TI verde para aumentar a vida útil dos eletrônicos, uma delas é normalização de reparos que previnem o aumento de lixo eletrônico que prolongam a vida útil do aparelho. Conclui-se que a redução do descarte prematuro depende de mudanças na forma como os equipamentos são desenvolvidos, utilizados e descartados, buscando prolongar sua vida útil afim de diminuir os impactos ambientais. </w:t>
      </w:r>
    </w:p>
    <w:p w14:paraId="6AA60BDD" w14:textId="77777777" w:rsidR="0006508C" w:rsidRPr="00BF6BBF" w:rsidRDefault="0006508C" w:rsidP="0006508C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 </w:t>
      </w:r>
    </w:p>
    <w:p w14:paraId="3364ADC5" w14:textId="77777777" w:rsidR="0006508C" w:rsidRPr="00BF6BBF" w:rsidRDefault="0006508C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399E8AB" w14:textId="60539A42" w:rsidR="00541DCB" w:rsidRPr="00BB0701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</w:p>
    <w:p w14:paraId="7F9C3109" w14:textId="3AF48247" w:rsidR="00541DCB" w:rsidRPr="00BB0701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 w:rsidRPr="00BB0701">
        <w:rPr>
          <w:rFonts w:ascii="Times New Roman" w:eastAsia="Open Sans" w:hAnsi="Times New Roman" w:cs="Times New Roman"/>
          <w:b/>
          <w:bCs/>
          <w:color w:val="232F27"/>
        </w:rPr>
        <w:t xml:space="preserve">Referências </w:t>
      </w:r>
    </w:p>
    <w:p w14:paraId="20B2D098" w14:textId="166AA36A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ARAÚJO, Gizelda Rodrigues de; MARQUES, Edmilson. O fetichismo da mercadoria na sociedade de obsolescência programada. Revista Científica Multidisciplinar Núcleo do Conhecimento, v.10, p.146-154, nov. 2020. DOI: 10.32749/nucleodoconhecimento.com.br/educacao/obsolescencia-programada. </w:t>
      </w:r>
    </w:p>
    <w:p w14:paraId="50A48D14" w14:textId="2E791D37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A1E7A92" w14:textId="350ECD29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CHIANG, Chang-Tang. A systematic literature network analysis of green information technology for sustainability: Toward smart and sustainable livelihoods. Technological Forecasting and Social Change, v.199,2024,123053. DOI:10.1016/j.techfore.2023.123053. </w:t>
      </w:r>
    </w:p>
    <w:p w14:paraId="2CE2410C" w14:textId="6270B678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05E84BE0" w14:textId="2836FB7E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ORAEe, Atrina; POHL, Lara; GEURTS, Daniëlle; REICHEL, Max. Overcoming premature smartphone obsolescence amongst young adults. Cleaner and Responsible Consumption, v.12,2024,100174. DOI:10.1016/j.clrc.2024.100174. </w:t>
      </w:r>
    </w:p>
    <w:p w14:paraId="213F8B53" w14:textId="38D43E3A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69152226" w14:textId="28D3532D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 </w:t>
      </w:r>
    </w:p>
    <w:p w14:paraId="3F93ACB8" w14:textId="7D3B414B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75780F00" w14:textId="5CCBE72F" w:rsidR="00541DCB" w:rsidRPr="00BF6BBF" w:rsidRDefault="7DBBF99E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00BF6BBF">
        <w:rPr>
          <w:rFonts w:ascii="Times New Roman" w:eastAsia="Open Sans" w:hAnsi="Times New Roman" w:cs="Times New Roman"/>
          <w:color w:val="232F27"/>
        </w:rPr>
        <w:t xml:space="preserve"> </w:t>
      </w:r>
    </w:p>
    <w:p w14:paraId="3B5F0D80" w14:textId="721D37AF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</w:p>
    <w:p w14:paraId="3D170575" w14:textId="4A0532C4" w:rsidR="00541DCB" w:rsidRPr="00BF6BBF" w:rsidRDefault="00541DCB" w:rsidP="4885F5D7">
      <w:pPr>
        <w:shd w:val="clear" w:color="auto" w:fill="FFFFFF" w:themeFill="background1"/>
        <w:spacing w:after="0"/>
        <w:rPr>
          <w:rFonts w:ascii="Times New Roman" w:eastAsia="Open Sans" w:hAnsi="Times New Roman" w:cs="Times New Roman"/>
          <w:color w:val="232F27"/>
        </w:rPr>
      </w:pPr>
    </w:p>
    <w:p w14:paraId="297FF71B" w14:textId="7C08707C" w:rsidR="00541DCB" w:rsidRPr="00BF6BBF" w:rsidRDefault="00541DCB">
      <w:pPr>
        <w:rPr>
          <w:rFonts w:ascii="Times New Roman" w:hAnsi="Times New Roman" w:cs="Times New Roman"/>
        </w:rPr>
      </w:pPr>
    </w:p>
    <w:sectPr w:rsidR="00541DCB" w:rsidRPr="00BF6BBF" w:rsidSect="00D675B7">
      <w:footerReference w:type="even" r:id="rId6"/>
      <w:footerReference w:type="default" r:id="rId7"/>
      <w:footerReference w:type="first" r:id="rId8"/>
      <w:pgSz w:w="11906" w:h="16838"/>
      <w:pgMar w:top="851" w:right="851" w:bottom="851" w:left="851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1F05C" w14:textId="77777777" w:rsidR="00490197" w:rsidRDefault="00490197" w:rsidP="00FB5567">
      <w:pPr>
        <w:spacing w:after="0" w:line="240" w:lineRule="auto"/>
      </w:pPr>
      <w:r>
        <w:separator/>
      </w:r>
    </w:p>
  </w:endnote>
  <w:endnote w:type="continuationSeparator" w:id="0">
    <w:p w14:paraId="1640A545" w14:textId="77777777" w:rsidR="00490197" w:rsidRDefault="00490197" w:rsidP="00FB5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80B37" w14:textId="17A102BA" w:rsidR="00FB5567" w:rsidRDefault="00FB556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F24D93" wp14:editId="290FC8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1425" cy="334010"/>
              <wp:effectExtent l="0" t="0" r="15875" b="0"/>
              <wp:wrapNone/>
              <wp:docPr id="1852492883" name="Caixa de Texto 2" descr="*** Classified as Internal 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14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44E41" w14:textId="4F0AED27" w:rsidR="00FB5567" w:rsidRPr="00FB5567" w:rsidRDefault="00FB5567" w:rsidP="00FB5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55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*** Classified as Internal 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24D9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sified as Internal ***" style="position:absolute;margin-left:0;margin-top:0;width:97.7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" filled="f" stroked="f">
              <v:textbox style="mso-fit-shape-to-text:t" inset="0,0,0,15pt">
                <w:txbxContent>
                  <w:p w14:paraId="3D144E41" w14:textId="4F0AED27" w:rsidR="00FB5567" w:rsidRPr="00FB5567" w:rsidRDefault="00FB5567" w:rsidP="00FB5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556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*** Classified as Internal 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37BDD" w14:textId="5C8AA617" w:rsidR="00FB5567" w:rsidRDefault="00FB556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E12B492" wp14:editId="3CEC618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1425" cy="334010"/>
              <wp:effectExtent l="0" t="0" r="15875" b="0"/>
              <wp:wrapNone/>
              <wp:docPr id="1060604283" name="Caixa de Texto 3" descr="*** Classified as Internal 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14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595F3" w14:textId="05F67169" w:rsidR="00FB5567" w:rsidRPr="00FB5567" w:rsidRDefault="00FB5567" w:rsidP="00FB5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55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*** Classified as Internal 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2B49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sified as Internal ***" style="position:absolute;margin-left:0;margin-top:0;width:97.75pt;height:26.3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" filled="f" stroked="f">
              <v:textbox style="mso-fit-shape-to-text:t" inset="0,0,0,15pt">
                <w:txbxContent>
                  <w:p w14:paraId="5D2595F3" w14:textId="05F67169" w:rsidR="00FB5567" w:rsidRPr="00FB5567" w:rsidRDefault="00FB5567" w:rsidP="00FB5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556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*** Classified as Internal 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70034" w14:textId="56974EF8" w:rsidR="00FB5567" w:rsidRDefault="00FB556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5BD6C85" wp14:editId="2C5144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1425" cy="334010"/>
              <wp:effectExtent l="0" t="0" r="15875" b="0"/>
              <wp:wrapNone/>
              <wp:docPr id="208052613" name="Caixa de Texto 1" descr="*** Classified as Internal 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14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0D678D" w14:textId="084A8755" w:rsidR="00FB5567" w:rsidRPr="00FB5567" w:rsidRDefault="00FB5567" w:rsidP="00FB5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55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*** Classified as Internal 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D6C8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sified as Internal ***" style="position:absolute;margin-left:0;margin-top:0;width:97.75pt;height:26.3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" filled="f" stroked="f">
              <v:textbox style="mso-fit-shape-to-text:t" inset="0,0,0,15pt">
                <w:txbxContent>
                  <w:p w14:paraId="670D678D" w14:textId="084A8755" w:rsidR="00FB5567" w:rsidRPr="00FB5567" w:rsidRDefault="00FB5567" w:rsidP="00FB5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556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*** Classified as Internal 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E9BD4" w14:textId="77777777" w:rsidR="00490197" w:rsidRDefault="00490197" w:rsidP="00FB5567">
      <w:pPr>
        <w:spacing w:after="0" w:line="240" w:lineRule="auto"/>
      </w:pPr>
      <w:r>
        <w:separator/>
      </w:r>
    </w:p>
  </w:footnote>
  <w:footnote w:type="continuationSeparator" w:id="0">
    <w:p w14:paraId="5F7A146C" w14:textId="77777777" w:rsidR="00490197" w:rsidRDefault="00490197" w:rsidP="00FB55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CA"/>
    <w:rsid w:val="0006508C"/>
    <w:rsid w:val="00166033"/>
    <w:rsid w:val="00184EED"/>
    <w:rsid w:val="001C6805"/>
    <w:rsid w:val="002138AC"/>
    <w:rsid w:val="00233DED"/>
    <w:rsid w:val="002523C0"/>
    <w:rsid w:val="002556C8"/>
    <w:rsid w:val="0027220A"/>
    <w:rsid w:val="002B43D1"/>
    <w:rsid w:val="002B4EE3"/>
    <w:rsid w:val="002C7CD4"/>
    <w:rsid w:val="002D1DE6"/>
    <w:rsid w:val="00305B6B"/>
    <w:rsid w:val="003208DF"/>
    <w:rsid w:val="003301C8"/>
    <w:rsid w:val="0034197D"/>
    <w:rsid w:val="00357C05"/>
    <w:rsid w:val="003F0714"/>
    <w:rsid w:val="00407F16"/>
    <w:rsid w:val="00445B09"/>
    <w:rsid w:val="00447FD8"/>
    <w:rsid w:val="00490197"/>
    <w:rsid w:val="004A42A5"/>
    <w:rsid w:val="004A70D5"/>
    <w:rsid w:val="004E4E92"/>
    <w:rsid w:val="004F58B0"/>
    <w:rsid w:val="00521BDE"/>
    <w:rsid w:val="00541DCB"/>
    <w:rsid w:val="0055631C"/>
    <w:rsid w:val="005B66A0"/>
    <w:rsid w:val="005E3749"/>
    <w:rsid w:val="00615C4C"/>
    <w:rsid w:val="00636CBC"/>
    <w:rsid w:val="00643ECC"/>
    <w:rsid w:val="006779ED"/>
    <w:rsid w:val="006A36B4"/>
    <w:rsid w:val="006E22DE"/>
    <w:rsid w:val="006E64F9"/>
    <w:rsid w:val="00721536"/>
    <w:rsid w:val="00732FE5"/>
    <w:rsid w:val="0073346B"/>
    <w:rsid w:val="00760004"/>
    <w:rsid w:val="0076638F"/>
    <w:rsid w:val="007C10E6"/>
    <w:rsid w:val="007C3D96"/>
    <w:rsid w:val="007D5F4C"/>
    <w:rsid w:val="007F30A8"/>
    <w:rsid w:val="00800553"/>
    <w:rsid w:val="008048C4"/>
    <w:rsid w:val="0083360B"/>
    <w:rsid w:val="00854771"/>
    <w:rsid w:val="00871275"/>
    <w:rsid w:val="00872647"/>
    <w:rsid w:val="008855B2"/>
    <w:rsid w:val="008B11D2"/>
    <w:rsid w:val="008D584B"/>
    <w:rsid w:val="008E2B24"/>
    <w:rsid w:val="008E5606"/>
    <w:rsid w:val="00915C21"/>
    <w:rsid w:val="009344C5"/>
    <w:rsid w:val="00935607"/>
    <w:rsid w:val="00951505"/>
    <w:rsid w:val="00961147"/>
    <w:rsid w:val="0097544D"/>
    <w:rsid w:val="009C03BB"/>
    <w:rsid w:val="009E5639"/>
    <w:rsid w:val="00A111D8"/>
    <w:rsid w:val="00A12A02"/>
    <w:rsid w:val="00A1683E"/>
    <w:rsid w:val="00A220CA"/>
    <w:rsid w:val="00A34F78"/>
    <w:rsid w:val="00A35ABB"/>
    <w:rsid w:val="00A86D81"/>
    <w:rsid w:val="00AA2187"/>
    <w:rsid w:val="00AC0BEC"/>
    <w:rsid w:val="00AD06E4"/>
    <w:rsid w:val="00AE099C"/>
    <w:rsid w:val="00B01E4C"/>
    <w:rsid w:val="00B12A1A"/>
    <w:rsid w:val="00B23BB7"/>
    <w:rsid w:val="00B311F8"/>
    <w:rsid w:val="00B3155C"/>
    <w:rsid w:val="00B34C10"/>
    <w:rsid w:val="00B47945"/>
    <w:rsid w:val="00B70027"/>
    <w:rsid w:val="00BB0701"/>
    <w:rsid w:val="00BF6BBF"/>
    <w:rsid w:val="00C134C3"/>
    <w:rsid w:val="00C5096F"/>
    <w:rsid w:val="00C70B59"/>
    <w:rsid w:val="00C74159"/>
    <w:rsid w:val="00CA114E"/>
    <w:rsid w:val="00CB0A0C"/>
    <w:rsid w:val="00CD4662"/>
    <w:rsid w:val="00D55DF2"/>
    <w:rsid w:val="00D61013"/>
    <w:rsid w:val="00D675B7"/>
    <w:rsid w:val="00DB7D22"/>
    <w:rsid w:val="00DC0773"/>
    <w:rsid w:val="00DC18E1"/>
    <w:rsid w:val="00E0240B"/>
    <w:rsid w:val="00E211C1"/>
    <w:rsid w:val="00E938D7"/>
    <w:rsid w:val="00EC0ED7"/>
    <w:rsid w:val="00EF7616"/>
    <w:rsid w:val="00F86AE1"/>
    <w:rsid w:val="00FA24BB"/>
    <w:rsid w:val="00FB0FA5"/>
    <w:rsid w:val="00FB5567"/>
    <w:rsid w:val="00FD1001"/>
    <w:rsid w:val="00FD2957"/>
    <w:rsid w:val="00FF0666"/>
    <w:rsid w:val="03F6D18E"/>
    <w:rsid w:val="06AEFB4E"/>
    <w:rsid w:val="07F8817C"/>
    <w:rsid w:val="0BE2F79E"/>
    <w:rsid w:val="0CBAC001"/>
    <w:rsid w:val="0D18DCB0"/>
    <w:rsid w:val="0D20980C"/>
    <w:rsid w:val="100715A3"/>
    <w:rsid w:val="113E0404"/>
    <w:rsid w:val="1781EB8D"/>
    <w:rsid w:val="18B1C31D"/>
    <w:rsid w:val="1F39DFDD"/>
    <w:rsid w:val="23388F34"/>
    <w:rsid w:val="2985635B"/>
    <w:rsid w:val="332E8188"/>
    <w:rsid w:val="347A223A"/>
    <w:rsid w:val="3A046BD5"/>
    <w:rsid w:val="3BBA8AA9"/>
    <w:rsid w:val="3D435836"/>
    <w:rsid w:val="474CF4E4"/>
    <w:rsid w:val="4885F5D7"/>
    <w:rsid w:val="48D44799"/>
    <w:rsid w:val="48F88CC3"/>
    <w:rsid w:val="4BA4A996"/>
    <w:rsid w:val="4EEC09BE"/>
    <w:rsid w:val="4EF90FEC"/>
    <w:rsid w:val="519C6EC1"/>
    <w:rsid w:val="57E48426"/>
    <w:rsid w:val="5A58D530"/>
    <w:rsid w:val="5E566FBE"/>
    <w:rsid w:val="5FB6D184"/>
    <w:rsid w:val="658BB056"/>
    <w:rsid w:val="65F31CEC"/>
    <w:rsid w:val="672FFB41"/>
    <w:rsid w:val="6D31E81B"/>
    <w:rsid w:val="6D91AA49"/>
    <w:rsid w:val="7054827C"/>
    <w:rsid w:val="728A51DC"/>
    <w:rsid w:val="734A197F"/>
    <w:rsid w:val="761F1E1A"/>
    <w:rsid w:val="7798A573"/>
    <w:rsid w:val="79B3061E"/>
    <w:rsid w:val="7DBBF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BAEC"/>
  <w15:chartTrackingRefBased/>
  <w15:docId w15:val="{A547C7D1-6204-496E-8A0A-0BB14048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0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0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0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0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0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0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0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0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0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0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311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11F8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unhideWhenUsed/>
    <w:rsid w:val="00FB55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567"/>
  </w:style>
  <w:style w:type="paragraph" w:styleId="Cabealho">
    <w:name w:val="header"/>
    <w:basedOn w:val="Normal"/>
    <w:link w:val="CabealhoChar"/>
    <w:uiPriority w:val="99"/>
    <w:semiHidden/>
    <w:unhideWhenUsed/>
    <w:rsid w:val="00B70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70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394939-2c85-4d1f-be5d-3e40739149cb}" enabled="1" method="Standard" siteId="{418a7ef9-698f-4d7a-b4b3-f03d990e8d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1281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Freixo</dc:creator>
  <cp:keywords/>
  <dc:description/>
  <cp:lastModifiedBy>LAVINIA</cp:lastModifiedBy>
  <cp:revision>2</cp:revision>
  <dcterms:created xsi:type="dcterms:W3CDTF">2026-10-06T21:43:00Z</dcterms:created>
  <dcterms:modified xsi:type="dcterms:W3CDTF">2026-10-06T21:43:00Z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c66a185,6e6acc53,3f37897b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*** Classified as Internal ***</vt:lpwstr>
  </property>
</Properties>
</file>