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85FD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Отчёт: Анализ спектральных данных рамановской спектроскопии тканей мозга</w:t>
      </w:r>
    </w:p>
    <w:p w14:paraId="1021155A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1. Предобработка спектральных данных</w:t>
      </w:r>
    </w:p>
    <w:p w14:paraId="603CDA63" w14:textId="77777777" w:rsid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На первом этапе была проведена стандартная предобработка сырых (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) рамановских спектров. Исходные данные характеризовались высоким уровнем шума, наклонным фоном (базовой линией) и значительным разбросом интенсивностей, что характерно для необработанных спектроскопических измерений (Рис. 1, </w:t>
      </w:r>
      <w:r w:rsidRPr="00B64AEC">
        <w:rPr>
          <w:rFonts w:ascii="Times New Roman" w:hAnsi="Times New Roman" w:cs="Times New Roman"/>
          <w:i/>
          <w:iCs/>
          <w:sz w:val="24"/>
          <w:szCs w:val="24"/>
        </w:rPr>
        <w:t>Пример 5 сырых спектров</w:t>
      </w:r>
      <w:r w:rsidRPr="00B64AEC">
        <w:rPr>
          <w:rFonts w:ascii="Times New Roman" w:hAnsi="Times New Roman" w:cs="Times New Roman"/>
          <w:sz w:val="24"/>
          <w:szCs w:val="24"/>
        </w:rPr>
        <w:t>).</w:t>
      </w:r>
    </w:p>
    <w:p w14:paraId="5FB3BA9D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Отчёт: Анализ спектральных данных рамановской спектроскопии тканей мозга</w:t>
      </w:r>
    </w:p>
    <w:p w14:paraId="0D0B1306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1. Предобработка спектральных данных</w:t>
      </w:r>
    </w:p>
    <w:p w14:paraId="7CE57590" w14:textId="77777777" w:rsid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На первом этапе была проведена стандартная предобработка сырых (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) рамановских спектров. Исходные данные характеризовались высоким уровнем шума, наклонным фоном (базовой линией) и значительным разбросом интенсивностей, что характерно для необработанных спектроскопических измерений (Рис. 1, </w:t>
      </w:r>
      <w:r w:rsidRPr="00B64AEC">
        <w:rPr>
          <w:rFonts w:ascii="Times New Roman" w:hAnsi="Times New Roman" w:cs="Times New Roman"/>
          <w:i/>
          <w:iCs/>
          <w:sz w:val="24"/>
          <w:szCs w:val="24"/>
        </w:rPr>
        <w:t>Пример 5 сырых спектров</w:t>
      </w:r>
      <w:r w:rsidRPr="00B64AEC">
        <w:rPr>
          <w:rFonts w:ascii="Times New Roman" w:hAnsi="Times New Roman" w:cs="Times New Roman"/>
          <w:sz w:val="24"/>
          <w:szCs w:val="24"/>
        </w:rPr>
        <w:t>).</w:t>
      </w:r>
    </w:p>
    <w:p w14:paraId="51782F7D" w14:textId="2DA3BBD1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164B8" wp14:editId="53DBADB4">
            <wp:extent cx="5937885" cy="2719070"/>
            <wp:effectExtent l="0" t="0" r="5715" b="5080"/>
            <wp:docPr id="163097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C11D9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Для улучшения качества данных и обеспечения возможности их корректного сравнения был применён ряд алгоритмов:</w:t>
      </w:r>
    </w:p>
    <w:p w14:paraId="5AA5611C" w14:textId="77777777" w:rsidR="00B64AEC" w:rsidRPr="00B64AEC" w:rsidRDefault="00B64AEC" w:rsidP="00B64AE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Коррекция базовой линии (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Baseline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correction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64AEC">
        <w:rPr>
          <w:rFonts w:ascii="Times New Roman" w:hAnsi="Times New Roman" w:cs="Times New Roman"/>
          <w:sz w:val="24"/>
          <w:szCs w:val="24"/>
        </w:rPr>
        <w:t> Удаление нелинейного фона с помощью полинома 3-й степени.</w:t>
      </w:r>
    </w:p>
    <w:p w14:paraId="158B609E" w14:textId="77777777" w:rsidR="00B64AEC" w:rsidRPr="00B64AEC" w:rsidRDefault="00B64AEC" w:rsidP="00B64AE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Сглаживание (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Smoothing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64AEC">
        <w:rPr>
          <w:rFonts w:ascii="Times New Roman" w:hAnsi="Times New Roman" w:cs="Times New Roman"/>
          <w:sz w:val="24"/>
          <w:szCs w:val="24"/>
        </w:rPr>
        <w:t> Подавление высокочастотного шума.</w:t>
      </w:r>
    </w:p>
    <w:p w14:paraId="1F064107" w14:textId="77777777" w:rsidR="00B64AEC" w:rsidRPr="00B64AEC" w:rsidRDefault="00B64AEC" w:rsidP="00B64AE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Нормализация (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Normalization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64AEC">
        <w:rPr>
          <w:rFonts w:ascii="Times New Roman" w:hAnsi="Times New Roman" w:cs="Times New Roman"/>
          <w:sz w:val="24"/>
          <w:szCs w:val="24"/>
        </w:rPr>
        <w:t> Приведение спектров к единому масштабу для нивелирования различий в интенсивности, вызванных условиями съёмки, а не химическим составом образца.</w:t>
      </w:r>
    </w:p>
    <w:p w14:paraId="4DF962CA" w14:textId="77777777" w:rsid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Результат обработки представлен на Рис. 2 (</w:t>
      </w:r>
      <w:r w:rsidRPr="00B64AEC">
        <w:rPr>
          <w:rFonts w:ascii="Times New Roman" w:hAnsi="Times New Roman" w:cs="Times New Roman"/>
          <w:i/>
          <w:iCs/>
          <w:sz w:val="24"/>
          <w:szCs w:val="24"/>
        </w:rPr>
        <w:t>Первые 5 спектров после обработки</w:t>
      </w:r>
      <w:r w:rsidRPr="00B64AEC">
        <w:rPr>
          <w:rFonts w:ascii="Times New Roman" w:hAnsi="Times New Roman" w:cs="Times New Roman"/>
          <w:sz w:val="24"/>
          <w:szCs w:val="24"/>
        </w:rPr>
        <w:t>). Видно, что базовая линия успешно удалена, пики стали более отчётливыми, а соотношение сигнал/шум улучшилось. Нормализация позволила корректно сопоставлять спектры различной исходной интенсивности, при этом форма пиков сохранилась, что подтверждает корректность работы алгоритмов (Рис. 3, </w:t>
      </w:r>
      <w:r w:rsidRPr="00B64AEC">
        <w:rPr>
          <w:rFonts w:ascii="Times New Roman" w:hAnsi="Times New Roman" w:cs="Times New Roman"/>
          <w:i/>
          <w:iCs/>
          <w:sz w:val="24"/>
          <w:szCs w:val="24"/>
        </w:rPr>
        <w:t>Сравнение «до и после»</w:t>
      </w:r>
      <w:r w:rsidRPr="00B64AEC">
        <w:rPr>
          <w:rFonts w:ascii="Times New Roman" w:hAnsi="Times New Roman" w:cs="Times New Roman"/>
          <w:sz w:val="24"/>
          <w:szCs w:val="24"/>
        </w:rPr>
        <w:t>).</w:t>
      </w:r>
    </w:p>
    <w:p w14:paraId="2E60DA9F" w14:textId="564943BF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C05885" wp14:editId="63F8AE72">
            <wp:extent cx="5937885" cy="2914015"/>
            <wp:effectExtent l="0" t="0" r="5715" b="635"/>
            <wp:docPr id="1255571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456459" w14:textId="632786A4" w:rsid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BEF">
        <w:rPr>
          <w:noProof/>
        </w:rPr>
        <w:drawing>
          <wp:inline distT="0" distB="0" distL="0" distR="0" wp14:anchorId="7E653963" wp14:editId="766BD5A6">
            <wp:extent cx="5940425" cy="2973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B087" w14:textId="64346CF8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2. Уменьшение размерности</w:t>
      </w:r>
    </w:p>
    <w:p w14:paraId="53342061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В результате предобработки была сформирована матрица данных высокой размерности (количество образцов × 1024 точки спектра). Для визуализации структуры данных и снижения вычислительной сложности были применены два метода уменьшения размерности: линейный анализ главных компонент (PCA) и нелинейный алгоритм t-SNE.</w:t>
      </w:r>
    </w:p>
    <w:p w14:paraId="11CB1477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2.1. Анализ главных компонент (PCA)</w:t>
      </w:r>
    </w:p>
    <w:p w14:paraId="36DCC9EF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PCA проецирует данные в пространство главных компонент, описывающих максимальную дисперсию. Полученный график (Рис. 4, </w:t>
      </w:r>
      <w:r w:rsidRPr="00B64AEC">
        <w:rPr>
          <w:rFonts w:ascii="Times New Roman" w:hAnsi="Times New Roman" w:cs="Times New Roman"/>
          <w:i/>
          <w:iCs/>
          <w:sz w:val="24"/>
          <w:szCs w:val="24"/>
        </w:rPr>
        <w:t>PCA</w:t>
      </w:r>
      <w:r w:rsidRPr="00B64AEC">
        <w:rPr>
          <w:rFonts w:ascii="Times New Roman" w:hAnsi="Times New Roman" w:cs="Times New Roman"/>
          <w:sz w:val="24"/>
          <w:szCs w:val="24"/>
        </w:rPr>
        <w:t>) демонстрирует:</w:t>
      </w:r>
    </w:p>
    <w:p w14:paraId="4F3BB236" w14:textId="77777777" w:rsidR="00B64AEC" w:rsidRPr="00B64AEC" w:rsidRDefault="00B64AEC" w:rsidP="00B64AE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Частичное перекрытие всех трёх классов (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exo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).</w:t>
      </w:r>
    </w:p>
    <w:p w14:paraId="40309A08" w14:textId="77777777" w:rsidR="00B64AEC" w:rsidRPr="00B64AEC" w:rsidRDefault="00B64AEC" w:rsidP="00B64AE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Наличие тенденции к разделению, однако границы между классами размыты, что указывает на отсутствие сильной линейной структуры в данных.</w:t>
      </w:r>
    </w:p>
    <w:p w14:paraId="23920BA3" w14:textId="77777777" w:rsidR="00B64AEC" w:rsidRPr="00B64AEC" w:rsidRDefault="00B64AEC" w:rsidP="00B64AE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Наибольшее перекрытие наблюдается между классами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, что может свидетельствовать об их биохимическом сходстве.</w:t>
      </w:r>
    </w:p>
    <w:p w14:paraId="5D6D7B14" w14:textId="4C179F1B" w:rsid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608">
        <w:rPr>
          <w:noProof/>
        </w:rPr>
        <w:lastRenderedPageBreak/>
        <w:drawing>
          <wp:inline distT="0" distB="0" distL="0" distR="0" wp14:anchorId="413FBDC7" wp14:editId="674E3093">
            <wp:extent cx="5940425" cy="22472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20D1" w14:textId="13707CB9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B64AEC">
        <w:rPr>
          <w:rFonts w:ascii="Times New Roman" w:hAnsi="Times New Roman" w:cs="Times New Roman"/>
          <w:sz w:val="24"/>
          <w:szCs w:val="24"/>
        </w:rPr>
        <w:t> Линейные методы классификации (например, линейный SVM, логистическая регрессия) будут малоэффективны. Для дальнейшей работы необходимы модели, способные выявлять нелинейные зависимости.</w:t>
      </w:r>
    </w:p>
    <w:p w14:paraId="6F58B908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2.2. t-SNE визуализация</w:t>
      </w:r>
    </w:p>
    <w:p w14:paraId="39BF5035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t-SNE, в отличие от PCA, оптимизирован для отображения локальной структуры данных и выявления кластеров. Визуализация (Рис. 4, </w:t>
      </w:r>
      <w:r w:rsidRPr="00B64AEC">
        <w:rPr>
          <w:rFonts w:ascii="Times New Roman" w:hAnsi="Times New Roman" w:cs="Times New Roman"/>
          <w:i/>
          <w:iCs/>
          <w:sz w:val="24"/>
          <w:szCs w:val="24"/>
        </w:rPr>
        <w:t>t-SNE</w:t>
      </w:r>
      <w:r w:rsidRPr="00B64AEC">
        <w:rPr>
          <w:rFonts w:ascii="Times New Roman" w:hAnsi="Times New Roman" w:cs="Times New Roman"/>
          <w:sz w:val="24"/>
          <w:szCs w:val="24"/>
        </w:rPr>
        <w:t>) показала:</w:t>
      </w:r>
    </w:p>
    <w:p w14:paraId="7B74D518" w14:textId="77777777" w:rsidR="00B64AEC" w:rsidRPr="00B64AEC" w:rsidRDefault="00B64AEC" w:rsidP="00B64AE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Значительно более чёткое разделение образцов на три группы.</w:t>
      </w:r>
    </w:p>
    <w:p w14:paraId="4C2003BC" w14:textId="77777777" w:rsidR="00B64AEC" w:rsidRPr="00B64AEC" w:rsidRDefault="00B64AEC" w:rsidP="00B64AE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exo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 формирует изолированный и компактный кластер.</w:t>
      </w:r>
    </w:p>
    <w:p w14:paraId="033C339E" w14:textId="77777777" w:rsidR="00B64AEC" w:rsidRPr="00B64AEC" w:rsidRDefault="00B64AEC" w:rsidP="00B64AE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Классы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 также разделяются лучше, чем на PCA, хотя и сохраняют некоторую зону перекрытия.</w:t>
      </w:r>
    </w:p>
    <w:p w14:paraId="3794F297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proofErr w:type="gram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4AEC">
        <w:rPr>
          <w:rFonts w:ascii="Times New Roman" w:hAnsi="Times New Roman" w:cs="Times New Roman"/>
          <w:sz w:val="24"/>
          <w:szCs w:val="24"/>
        </w:rPr>
        <w:t> Подтверждается</w:t>
      </w:r>
      <w:proofErr w:type="gramEnd"/>
      <w:r w:rsidRPr="00B64AEC">
        <w:rPr>
          <w:rFonts w:ascii="Times New Roman" w:hAnsi="Times New Roman" w:cs="Times New Roman"/>
          <w:sz w:val="24"/>
          <w:szCs w:val="24"/>
        </w:rPr>
        <w:t xml:space="preserve"> наличие нелинейной структуры в данных. Каждый тип ткани обладает уникальными спектральными характеристиками, позволяющими формировать отдельные кластеры. Это делает задачу </w:t>
      </w:r>
      <w:proofErr w:type="gramStart"/>
      <w:r w:rsidRPr="00B64AEC">
        <w:rPr>
          <w:rFonts w:ascii="Times New Roman" w:hAnsi="Times New Roman" w:cs="Times New Roman"/>
          <w:sz w:val="24"/>
          <w:szCs w:val="24"/>
        </w:rPr>
        <w:t>классификации</w:t>
      </w:r>
      <w:proofErr w:type="gramEnd"/>
      <w:r w:rsidRPr="00B64AEC">
        <w:rPr>
          <w:rFonts w:ascii="Times New Roman" w:hAnsi="Times New Roman" w:cs="Times New Roman"/>
          <w:sz w:val="24"/>
          <w:szCs w:val="24"/>
        </w:rPr>
        <w:t xml:space="preserve"> принципиально решаемой с помощью соответствующих алгоритмов.</w:t>
      </w:r>
    </w:p>
    <w:p w14:paraId="682B5B8E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3. Классификация: Обучение моделей</w:t>
      </w:r>
    </w:p>
    <w:p w14:paraId="6264391D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Целью данного этапа являлась разработка модели, способной классифицировать тип ткани по спектральным данным. В качестве признакового пространства на начальном этапе использовались две главные компоненты (PC1 и PC2).</w:t>
      </w:r>
    </w:p>
    <w:p w14:paraId="39F00845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Данные были разделены на обучающую (75%) и тестовую (25%) выборки со стратификацией для сохранения пропорций классов. Было проведено сравнение нескольких алгоритмов машинного обучения.</w:t>
      </w:r>
    </w:p>
    <w:p w14:paraId="487A06C6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3.1. Результаты классификации на 2-х главных компонентах</w:t>
      </w:r>
    </w:p>
    <w:p w14:paraId="0C62AD41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 xml:space="preserve">Модели обучались с подбором 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). Результаты на тестовой выборке:</w:t>
      </w:r>
    </w:p>
    <w:p w14:paraId="409D497D" w14:textId="77777777" w:rsidR="00B64AEC" w:rsidRPr="00B64AEC" w:rsidRDefault="00B64AEC" w:rsidP="00B64AE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SVM с RBF-ядром</w:t>
      </w:r>
      <w:proofErr w:type="gram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4AEC">
        <w:rPr>
          <w:rFonts w:ascii="Times New Roman" w:hAnsi="Times New Roman" w:cs="Times New Roman"/>
          <w:sz w:val="24"/>
          <w:szCs w:val="24"/>
        </w:rPr>
        <w:t> Показал</w:t>
      </w:r>
      <w:proofErr w:type="gramEnd"/>
      <w:r w:rsidRPr="00B64AEC">
        <w:rPr>
          <w:rFonts w:ascii="Times New Roman" w:hAnsi="Times New Roman" w:cs="Times New Roman"/>
          <w:sz w:val="24"/>
          <w:szCs w:val="24"/>
        </w:rPr>
        <w:t xml:space="preserve"> результаты на уровне случайного угадывания, что объясняется нелинейной природой данных и сильным сжатием информации.</w:t>
      </w:r>
    </w:p>
    <w:p w14:paraId="6D19270F" w14:textId="77777777" w:rsidR="00B64AEC" w:rsidRPr="00B64AEC" w:rsidRDefault="00B64AEC" w:rsidP="00B64AE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Random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proofErr w:type="gram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4AEC">
        <w:rPr>
          <w:rFonts w:ascii="Times New Roman" w:hAnsi="Times New Roman" w:cs="Times New Roman"/>
          <w:sz w:val="24"/>
          <w:szCs w:val="24"/>
        </w:rPr>
        <w:t> Продемонстрировали</w:t>
      </w:r>
      <w:proofErr w:type="gramEnd"/>
      <w:r w:rsidRPr="00B64AEC">
        <w:rPr>
          <w:rFonts w:ascii="Times New Roman" w:hAnsi="Times New Roman" w:cs="Times New Roman"/>
          <w:sz w:val="24"/>
          <w:szCs w:val="24"/>
        </w:rPr>
        <w:t xml:space="preserve"> незначительное улучшение, но точность оставалась низкой.</w:t>
      </w:r>
    </w:p>
    <w:p w14:paraId="78FC64CE" w14:textId="77777777" w:rsidR="00B64AEC" w:rsidRPr="00B64AEC" w:rsidRDefault="00B64AEC" w:rsidP="00B64AE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lastRenderedPageBreak/>
        <w:t>CatBoost</w:t>
      </w:r>
      <w:proofErr w:type="spellEnd"/>
      <w:proofErr w:type="gram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4AEC">
        <w:rPr>
          <w:rFonts w:ascii="Times New Roman" w:hAnsi="Times New Roman" w:cs="Times New Roman"/>
          <w:sz w:val="24"/>
          <w:szCs w:val="24"/>
        </w:rPr>
        <w:t> Показал</w:t>
      </w:r>
      <w:proofErr w:type="gramEnd"/>
      <w:r w:rsidRPr="00B64AEC">
        <w:rPr>
          <w:rFonts w:ascii="Times New Roman" w:hAnsi="Times New Roman" w:cs="Times New Roman"/>
          <w:sz w:val="24"/>
          <w:szCs w:val="24"/>
        </w:rPr>
        <w:t xml:space="preserve"> наилучший результат на данном этапе, достигнув точности </w:t>
      </w:r>
      <w:r w:rsidRPr="00B64AEC">
        <w:rPr>
          <w:rFonts w:ascii="Times New Roman" w:hAnsi="Times New Roman" w:cs="Times New Roman"/>
          <w:b/>
          <w:bCs/>
          <w:sz w:val="24"/>
          <w:szCs w:val="24"/>
        </w:rPr>
        <w:t>0.51</w:t>
      </w:r>
      <w:r w:rsidRPr="00B64AEC">
        <w:rPr>
          <w:rFonts w:ascii="Times New Roman" w:hAnsi="Times New Roman" w:cs="Times New Roman"/>
          <w:sz w:val="24"/>
          <w:szCs w:val="24"/>
        </w:rPr>
        <w:t> (Рис. 5, </w:t>
      </w:r>
      <w:proofErr w:type="spellStart"/>
      <w:r w:rsidRPr="00B64AEC">
        <w:rPr>
          <w:rFonts w:ascii="Times New Roman" w:hAnsi="Times New Roman" w:cs="Times New Roman"/>
          <w:i/>
          <w:iCs/>
          <w:sz w:val="24"/>
          <w:szCs w:val="24"/>
        </w:rPr>
        <w:t>Confusion</w:t>
      </w:r>
      <w:proofErr w:type="spellEnd"/>
      <w:r w:rsidRPr="00B64AEC">
        <w:rPr>
          <w:rFonts w:ascii="Times New Roman" w:hAnsi="Times New Roman" w:cs="Times New Roman"/>
          <w:i/>
          <w:iCs/>
          <w:sz w:val="24"/>
          <w:szCs w:val="24"/>
        </w:rPr>
        <w:t xml:space="preserve"> Matrix &amp; </w:t>
      </w:r>
      <w:proofErr w:type="spellStart"/>
      <w:r w:rsidRPr="00B64AEC">
        <w:rPr>
          <w:rFonts w:ascii="Times New Roman" w:hAnsi="Times New Roman" w:cs="Times New Roman"/>
          <w:i/>
          <w:iCs/>
          <w:sz w:val="24"/>
          <w:szCs w:val="24"/>
        </w:rPr>
        <w:t>Classification</w:t>
      </w:r>
      <w:proofErr w:type="spellEnd"/>
      <w:r w:rsidRPr="00B64AEC">
        <w:rPr>
          <w:rFonts w:ascii="Times New Roman" w:hAnsi="Times New Roman" w:cs="Times New Roman"/>
          <w:i/>
          <w:iCs/>
          <w:sz w:val="24"/>
          <w:szCs w:val="24"/>
        </w:rPr>
        <w:t xml:space="preserve"> Report</w:t>
      </w:r>
      <w:r w:rsidRPr="00B64AEC">
        <w:rPr>
          <w:rFonts w:ascii="Times New Roman" w:hAnsi="Times New Roman" w:cs="Times New Roman"/>
          <w:sz w:val="24"/>
          <w:szCs w:val="24"/>
        </w:rPr>
        <w:t>). Несмотря на скромное значение, это максимум для данного пространства признаков. Модель лучше других справилась с разделением нелинейных границ и шумом.</w:t>
      </w:r>
    </w:p>
    <w:p w14:paraId="6466B529" w14:textId="5340D7B6" w:rsid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A03795" wp14:editId="12814080">
            <wp:extent cx="2980029" cy="23505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994" cy="23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2482" w14:textId="0BAF6FF5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Ограничение:</w:t>
      </w:r>
      <w:r w:rsidRPr="00B64AEC">
        <w:rPr>
          <w:rFonts w:ascii="Times New Roman" w:hAnsi="Times New Roman" w:cs="Times New Roman"/>
          <w:sz w:val="24"/>
          <w:szCs w:val="24"/>
        </w:rPr>
        <w:t xml:space="preserve"> Использование всего двух признаков (PC1, PC2) приводит к потере 95-99% исходной спектральной информации. Достижение 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 xml:space="preserve"> выше 0,5-0,52 в таком пространстве маловероятно.</w:t>
      </w:r>
    </w:p>
    <w:p w14:paraId="6AE93177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3.2. Определение оптимального числа компонентов PCA</w:t>
      </w:r>
    </w:p>
    <w:p w14:paraId="0F1BA2D0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Для повышения качества классификации было решено использовать большее количество главных компонент, сохраняющих больше информации.</w:t>
      </w:r>
      <w:r w:rsidRPr="00B64AEC">
        <w:rPr>
          <w:rFonts w:ascii="Times New Roman" w:hAnsi="Times New Roman" w:cs="Times New Roman"/>
          <w:sz w:val="24"/>
          <w:szCs w:val="24"/>
        </w:rPr>
        <w:br/>
        <w:t xml:space="preserve">Был построен график зависимости точности модели 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 xml:space="preserve"> от числа компонентов PCA (Рис. 6, </w:t>
      </w:r>
      <w:proofErr w:type="spellStart"/>
      <w:r w:rsidRPr="00B64AEC">
        <w:rPr>
          <w:rFonts w:ascii="Times New Roman" w:hAnsi="Times New Roman" w:cs="Times New Roman"/>
          <w:i/>
          <w:iCs/>
          <w:sz w:val="24"/>
          <w:szCs w:val="24"/>
        </w:rPr>
        <w:t>Accuracy</w:t>
      </w:r>
      <w:proofErr w:type="spellEnd"/>
      <w:r w:rsidRPr="00B64A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64AEC">
        <w:rPr>
          <w:rFonts w:ascii="Times New Roman" w:hAnsi="Times New Roman" w:cs="Times New Roman"/>
          <w:i/>
          <w:iCs/>
          <w:sz w:val="24"/>
          <w:szCs w:val="24"/>
        </w:rPr>
        <w:t>vs</w:t>
      </w:r>
      <w:proofErr w:type="spellEnd"/>
      <w:r w:rsidRPr="00B64AEC">
        <w:rPr>
          <w:rFonts w:ascii="Times New Roman" w:hAnsi="Times New Roman" w:cs="Times New Roman"/>
          <w:i/>
          <w:iCs/>
          <w:sz w:val="24"/>
          <w:szCs w:val="24"/>
        </w:rPr>
        <w:t xml:space="preserve">. Number </w:t>
      </w:r>
      <w:proofErr w:type="spellStart"/>
      <w:r w:rsidRPr="00B64AEC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B64AEC">
        <w:rPr>
          <w:rFonts w:ascii="Times New Roman" w:hAnsi="Times New Roman" w:cs="Times New Roman"/>
          <w:i/>
          <w:iCs/>
          <w:sz w:val="24"/>
          <w:szCs w:val="24"/>
        </w:rPr>
        <w:t xml:space="preserve"> PCA </w:t>
      </w:r>
      <w:proofErr w:type="spellStart"/>
      <w:r w:rsidRPr="00B64AEC">
        <w:rPr>
          <w:rFonts w:ascii="Times New Roman" w:hAnsi="Times New Roman" w:cs="Times New Roman"/>
          <w:i/>
          <w:iCs/>
          <w:sz w:val="24"/>
          <w:szCs w:val="24"/>
        </w:rPr>
        <w:t>Components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). Результаты показали:</w:t>
      </w:r>
    </w:p>
    <w:p w14:paraId="3241AD5A" w14:textId="77777777" w:rsidR="00B64AEC" w:rsidRPr="00B64AEC" w:rsidRDefault="00B64AEC" w:rsidP="00B64A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Точность модели растёт с увеличением числа компонентов.</w:t>
      </w:r>
    </w:p>
    <w:p w14:paraId="1CA41A7B" w14:textId="77777777" w:rsidR="00B64AEC" w:rsidRPr="00B64AEC" w:rsidRDefault="00B64AEC" w:rsidP="00B64A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Пиковое значение точности (</w:t>
      </w:r>
      <w:r w:rsidRPr="00B64AEC">
        <w:rPr>
          <w:rFonts w:ascii="Times New Roman" w:hAnsi="Times New Roman" w:cs="Times New Roman"/>
          <w:b/>
          <w:bCs/>
          <w:sz w:val="24"/>
          <w:szCs w:val="24"/>
        </w:rPr>
        <w:t>0.637</w:t>
      </w:r>
      <w:r w:rsidRPr="00B64AEC">
        <w:rPr>
          <w:rFonts w:ascii="Times New Roman" w:hAnsi="Times New Roman" w:cs="Times New Roman"/>
          <w:sz w:val="24"/>
          <w:szCs w:val="24"/>
        </w:rPr>
        <w:t>) достигается при использовании </w:t>
      </w:r>
      <w:r w:rsidRPr="00B64AEC">
        <w:rPr>
          <w:rFonts w:ascii="Times New Roman" w:hAnsi="Times New Roman" w:cs="Times New Roman"/>
          <w:b/>
          <w:bCs/>
          <w:sz w:val="24"/>
          <w:szCs w:val="24"/>
        </w:rPr>
        <w:t>12 главных компонент</w:t>
      </w:r>
      <w:r w:rsidRPr="00B64AEC">
        <w:rPr>
          <w:rFonts w:ascii="Times New Roman" w:hAnsi="Times New Roman" w:cs="Times New Roman"/>
          <w:sz w:val="24"/>
          <w:szCs w:val="24"/>
        </w:rPr>
        <w:t>.</w:t>
      </w:r>
    </w:p>
    <w:p w14:paraId="5E98B0C8" w14:textId="77777777" w:rsidR="00B64AEC" w:rsidRPr="00B64AEC" w:rsidRDefault="00B64AEC" w:rsidP="00B64A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Дальнейшее увеличение числа компонентов не приводит к значимому росту точности, что свидетельствует о насыщении полезной информацией.</w:t>
      </w:r>
    </w:p>
    <w:p w14:paraId="22C2C92A" w14:textId="77777777" w:rsidR="00B64AEC" w:rsidRPr="00B64AEC" w:rsidRDefault="00B64AEC" w:rsidP="00B64A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4. Выводы и интерпретация</w:t>
      </w:r>
    </w:p>
    <w:p w14:paraId="25AC284D" w14:textId="77777777" w:rsidR="00B64AEC" w:rsidRPr="00B64AEC" w:rsidRDefault="00B64AEC" w:rsidP="00B64AEC">
      <w:p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Проведённое исследование позволяет сделать следующие выводы:</w:t>
      </w:r>
    </w:p>
    <w:p w14:paraId="5892D5DB" w14:textId="77777777" w:rsidR="00B64AEC" w:rsidRPr="00B64AEC" w:rsidRDefault="00B64AEC" w:rsidP="00B64A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Качество данных:</w:t>
      </w:r>
      <w:r w:rsidRPr="00B64AEC">
        <w:rPr>
          <w:rFonts w:ascii="Times New Roman" w:hAnsi="Times New Roman" w:cs="Times New Roman"/>
          <w:sz w:val="24"/>
          <w:szCs w:val="24"/>
        </w:rPr>
        <w:t xml:space="preserve"> Разработанный 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 xml:space="preserve"> предобработки успешно устраняет артефакты измерений (шум, флуоресцентный фон) и нормализует данные, делая их пригодными для дальнейшего анализа.</w:t>
      </w:r>
    </w:p>
    <w:p w14:paraId="14232221" w14:textId="77777777" w:rsidR="00B64AEC" w:rsidRPr="00B64AEC" w:rsidRDefault="00B64AEC" w:rsidP="00B64A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Структура данных:</w:t>
      </w:r>
      <w:r w:rsidRPr="00B64AEC">
        <w:rPr>
          <w:rFonts w:ascii="Times New Roman" w:hAnsi="Times New Roman" w:cs="Times New Roman"/>
          <w:sz w:val="24"/>
          <w:szCs w:val="24"/>
        </w:rPr>
        <w:t> Спектральные данные обладают сложной нелинейной структурой. Метод PCA выявляет глобальные тренды, в то время как t-SNE подтверждает наличие обособленных кластеров, соответствующих разным типам тканей.</w:t>
      </w:r>
    </w:p>
    <w:p w14:paraId="22E11139" w14:textId="77777777" w:rsidR="00B64AEC" w:rsidRPr="00B64AEC" w:rsidRDefault="00B64AEC" w:rsidP="00B64A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Разделимость классов:</w:t>
      </w:r>
    </w:p>
    <w:p w14:paraId="2F5E8B41" w14:textId="77777777" w:rsidR="00B64AEC" w:rsidRPr="00B64AEC" w:rsidRDefault="00B64AEC" w:rsidP="00B64AE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64AEC">
        <w:rPr>
          <w:rFonts w:ascii="Times New Roman" w:hAnsi="Times New Roman" w:cs="Times New Roman"/>
          <w:sz w:val="24"/>
          <w:szCs w:val="24"/>
        </w:rPr>
        <w:lastRenderedPageBreak/>
        <w:t>exo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экзокортекс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4AEC">
        <w:rPr>
          <w:rFonts w:ascii="Times New Roman" w:hAnsi="Times New Roman" w:cs="Times New Roman"/>
          <w:sz w:val="24"/>
          <w:szCs w:val="24"/>
        </w:rPr>
        <w:t> Наиболее</w:t>
      </w:r>
      <w:proofErr w:type="gramEnd"/>
      <w:r w:rsidRPr="00B64AEC">
        <w:rPr>
          <w:rFonts w:ascii="Times New Roman" w:hAnsi="Times New Roman" w:cs="Times New Roman"/>
          <w:sz w:val="24"/>
          <w:szCs w:val="24"/>
        </w:rPr>
        <w:t xml:space="preserve"> хорошо различимый класс, формирующий отдельный кластер во всех типах анализа. Это указывает на его уникальный биохимический профиль.</w:t>
      </w:r>
    </w:p>
    <w:p w14:paraId="59110465" w14:textId="77777777" w:rsidR="00B64AEC" w:rsidRPr="00B64AEC" w:rsidRDefault="00B64AEC" w:rsidP="00B64AE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64AE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 (контроль) и 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 (</w:t>
      </w:r>
      <w:proofErr w:type="spell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эндокортекс</w:t>
      </w:r>
      <w:proofErr w:type="spellEnd"/>
      <w:r w:rsidRPr="00B64AEC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B64A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4AEC">
        <w:rPr>
          <w:rFonts w:ascii="Times New Roman" w:hAnsi="Times New Roman" w:cs="Times New Roman"/>
          <w:sz w:val="24"/>
          <w:szCs w:val="24"/>
        </w:rPr>
        <w:t> Демонстрируют</w:t>
      </w:r>
      <w:proofErr w:type="gramEnd"/>
      <w:r w:rsidRPr="00B64AEC">
        <w:rPr>
          <w:rFonts w:ascii="Times New Roman" w:hAnsi="Times New Roman" w:cs="Times New Roman"/>
          <w:sz w:val="24"/>
          <w:szCs w:val="24"/>
        </w:rPr>
        <w:t xml:space="preserve"> наибольшее сходство, что приводит к частичному перекрытию на графиках и более низким метрикам классификации. Это может соответствовать биологической близости данных типов ткани.</w:t>
      </w:r>
    </w:p>
    <w:p w14:paraId="7CE270FA" w14:textId="77777777" w:rsidR="00B64AEC" w:rsidRPr="00B64AEC" w:rsidRDefault="00B64AEC" w:rsidP="00B64A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b/>
          <w:bCs/>
          <w:sz w:val="24"/>
          <w:szCs w:val="24"/>
        </w:rPr>
        <w:t>Решающая задача классификации:</w:t>
      </w:r>
    </w:p>
    <w:p w14:paraId="1615224E" w14:textId="77777777" w:rsidR="00B64AEC" w:rsidRPr="00B64AEC" w:rsidRDefault="00B64AEC" w:rsidP="00B64AE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Использование всего двух главных компонент недостаточно для построения качественной модели (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 xml:space="preserve"> ~0.51).</w:t>
      </w:r>
    </w:p>
    <w:p w14:paraId="43D1CB00" w14:textId="77777777" w:rsidR="00B64AEC" w:rsidRPr="00B64AEC" w:rsidRDefault="00B64AEC" w:rsidP="00B64AE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Оптимальная модель (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 xml:space="preserve">) на 12 главных компонентах достигает </w:t>
      </w:r>
      <w:proofErr w:type="spellStart"/>
      <w:r w:rsidRPr="00B64AE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64AEC">
        <w:rPr>
          <w:rFonts w:ascii="Times New Roman" w:hAnsi="Times New Roman" w:cs="Times New Roman"/>
          <w:sz w:val="24"/>
          <w:szCs w:val="24"/>
        </w:rPr>
        <w:t> </w:t>
      </w:r>
      <w:r w:rsidRPr="00B64AEC">
        <w:rPr>
          <w:rFonts w:ascii="Times New Roman" w:hAnsi="Times New Roman" w:cs="Times New Roman"/>
          <w:b/>
          <w:bCs/>
          <w:sz w:val="24"/>
          <w:szCs w:val="24"/>
        </w:rPr>
        <w:t>0.637</w:t>
      </w:r>
      <w:r w:rsidRPr="00B64AEC">
        <w:rPr>
          <w:rFonts w:ascii="Times New Roman" w:hAnsi="Times New Roman" w:cs="Times New Roman"/>
          <w:sz w:val="24"/>
          <w:szCs w:val="24"/>
        </w:rPr>
        <w:t>, что значительно лучше случайного угадывания и подтверждает наличие биологически значимой информации в спектрах.</w:t>
      </w:r>
    </w:p>
    <w:p w14:paraId="62658F79" w14:textId="77777777" w:rsidR="00B64AEC" w:rsidRPr="00B64AEC" w:rsidRDefault="00B64AEC" w:rsidP="00B64AE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4AEC">
        <w:rPr>
          <w:rFonts w:ascii="Times New Roman" w:hAnsi="Times New Roman" w:cs="Times New Roman"/>
          <w:sz w:val="24"/>
          <w:szCs w:val="24"/>
        </w:rPr>
        <w:t>Дальнейшее повышение качества классификации (до 0.75 и выше) возможно при переходе от PCA-проекций к работе с полными спектральными данными или при использовании методов отбора наиболее информативных спектральных диапазонов (пиков).</w:t>
      </w:r>
    </w:p>
    <w:p w14:paraId="0990F81C" w14:textId="0E408C6F" w:rsidR="00EB1A59" w:rsidRPr="00B64AEC" w:rsidRDefault="00B64AEC">
      <w:pPr>
        <w:rPr>
          <w:rFonts w:ascii="Times New Roman" w:hAnsi="Times New Roman" w:cs="Times New Roman"/>
          <w:sz w:val="24"/>
          <w:szCs w:val="24"/>
        </w:rPr>
      </w:pPr>
      <w:r w:rsidRPr="007014F6">
        <w:rPr>
          <w:noProof/>
        </w:rPr>
        <w:drawing>
          <wp:inline distT="0" distB="0" distL="0" distR="0" wp14:anchorId="5D582775" wp14:editId="5E31C95B">
            <wp:extent cx="5940425" cy="29698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A59" w:rsidRPr="00B64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3B7"/>
    <w:multiLevelType w:val="multilevel"/>
    <w:tmpl w:val="2B6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6058E"/>
    <w:multiLevelType w:val="multilevel"/>
    <w:tmpl w:val="B0E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62376"/>
    <w:multiLevelType w:val="multilevel"/>
    <w:tmpl w:val="5D34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23821"/>
    <w:multiLevelType w:val="multilevel"/>
    <w:tmpl w:val="172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52D90"/>
    <w:multiLevelType w:val="multilevel"/>
    <w:tmpl w:val="34A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F3629"/>
    <w:multiLevelType w:val="multilevel"/>
    <w:tmpl w:val="F7A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A705C"/>
    <w:multiLevelType w:val="multilevel"/>
    <w:tmpl w:val="7384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E0FD9"/>
    <w:multiLevelType w:val="multilevel"/>
    <w:tmpl w:val="401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1312C"/>
    <w:multiLevelType w:val="multilevel"/>
    <w:tmpl w:val="1DD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3271D"/>
    <w:multiLevelType w:val="multilevel"/>
    <w:tmpl w:val="8E88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C4C29"/>
    <w:multiLevelType w:val="multilevel"/>
    <w:tmpl w:val="3236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5D700C"/>
    <w:multiLevelType w:val="multilevel"/>
    <w:tmpl w:val="9A0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5939">
    <w:abstractNumId w:val="0"/>
  </w:num>
  <w:num w:numId="2" w16cid:durableId="86968604">
    <w:abstractNumId w:val="7"/>
  </w:num>
  <w:num w:numId="3" w16cid:durableId="187959077">
    <w:abstractNumId w:val="2"/>
  </w:num>
  <w:num w:numId="4" w16cid:durableId="992637543">
    <w:abstractNumId w:val="6"/>
  </w:num>
  <w:num w:numId="5" w16cid:durableId="357778084">
    <w:abstractNumId w:val="1"/>
  </w:num>
  <w:num w:numId="6" w16cid:durableId="1242836616">
    <w:abstractNumId w:val="9"/>
  </w:num>
  <w:num w:numId="7" w16cid:durableId="530218704">
    <w:abstractNumId w:val="8"/>
  </w:num>
  <w:num w:numId="8" w16cid:durableId="1144587149">
    <w:abstractNumId w:val="4"/>
  </w:num>
  <w:num w:numId="9" w16cid:durableId="1771584310">
    <w:abstractNumId w:val="11"/>
  </w:num>
  <w:num w:numId="10" w16cid:durableId="1653286701">
    <w:abstractNumId w:val="5"/>
  </w:num>
  <w:num w:numId="11" w16cid:durableId="1091466523">
    <w:abstractNumId w:val="3"/>
  </w:num>
  <w:num w:numId="12" w16cid:durableId="12754766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D5"/>
    <w:rsid w:val="004313C9"/>
    <w:rsid w:val="008A06D5"/>
    <w:rsid w:val="00AD57EF"/>
    <w:rsid w:val="00B64AEC"/>
    <w:rsid w:val="00EB1A59"/>
    <w:rsid w:val="00ED298C"/>
    <w:rsid w:val="00F8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E6A2"/>
  <w15:chartTrackingRefBased/>
  <w15:docId w15:val="{20502AA1-33ED-408E-9C5C-4EA81FD4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0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0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06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06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0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0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0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0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06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06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6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6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0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Alyona Shvetsova</dc:creator>
  <cp:keywords/>
  <dc:description/>
  <cp:lastModifiedBy>Alyona Shvetsova</cp:lastModifiedBy>
  <cp:revision>2</cp:revision>
  <dcterms:created xsi:type="dcterms:W3CDTF">2026-03-07T17:55:00Z</dcterms:created>
  <dcterms:modified xsi:type="dcterms:W3CDTF">2026-03-07T17:58:00Z</dcterms:modified>
</cp:coreProperties>
</file>