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F22A" w14:textId="77777777" w:rsidR="008E46AC" w:rsidRPr="008E46AC" w:rsidRDefault="008E46AC" w:rsidP="008E4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Отчет: Анализ спектральных данных и классификация типов тканей</w:t>
      </w:r>
    </w:p>
    <w:p w14:paraId="134B3C5B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8E46AC">
        <w:rPr>
          <w:rFonts w:ascii="Times New Roman" w:hAnsi="Times New Roman" w:cs="Times New Roman"/>
          <w:sz w:val="24"/>
          <w:szCs w:val="24"/>
        </w:rPr>
        <w:t> Обработка сырых спектров комбинационного рассеяния (КР/рамановских), снижение размерности данных, подбор оптимальной модели машинного обучения для классификации трех типов тканей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exo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и интерпретация полученных результатов.</w:t>
      </w:r>
    </w:p>
    <w:p w14:paraId="485735B7" w14:textId="77777777" w:rsidR="008E46AC" w:rsidRPr="008E46AC" w:rsidRDefault="008E46AC" w:rsidP="008E4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1. Предварительная обработка спектральных данных</w:t>
      </w:r>
    </w:p>
    <w:p w14:paraId="54B49255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На первом этапе была проведена стандартная предобработка сырых спектров, включающая коррекцию базовой линии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correction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с помощью полинома 3-й степени, сглаживание и нормализацию.</w:t>
      </w:r>
    </w:p>
    <w:p w14:paraId="2E5EB374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Результаты предобработки:</w:t>
      </w:r>
    </w:p>
    <w:p w14:paraId="01BF32E3" w14:textId="0F5D864C" w:rsidR="008E46AC" w:rsidRDefault="008E46AC" w:rsidP="008E46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Сырые спектры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Характеризуются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высоким уровнем шума, наклоном фона и плавающей базовой линией, что типично для необработанных рамановских данных.</w:t>
      </w:r>
    </w:p>
    <w:p w14:paraId="4A933AAA" w14:textId="4039BD15" w:rsidR="008E46AC" w:rsidRPr="008E46AC" w:rsidRDefault="008E46AC" w:rsidP="008E46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217A77F" wp14:editId="260BE67C">
            <wp:extent cx="5940425" cy="2719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FE02" w14:textId="77777777" w:rsidR="008E46AC" w:rsidRDefault="008E46AC" w:rsidP="008E46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Обработанные спектры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После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обработки фоновый наклон устранен, пики стали четко выраженными, а шум значительно подавлен. Нормализация привела спектры к единому масштабу, что делает их пригодными для корректного количественного сравнения.</w:t>
      </w:r>
    </w:p>
    <w:p w14:paraId="651A2826" w14:textId="40153FE8" w:rsidR="008E46AC" w:rsidRPr="008E46AC" w:rsidRDefault="008E46AC" w:rsidP="008E46A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A417ECD" wp14:editId="58763477">
            <wp:extent cx="5940425" cy="2914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1E2" w14:textId="77777777" w:rsidR="008E46AC" w:rsidRDefault="008E46AC" w:rsidP="008E46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Визуализация (до/после)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На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графиках сравнения видно, что обработка эффективно устраняет мощный фоновый сигнал, не "обнуляя" полезный сигнал, а приводя его к масштабу, в котором становятся видны все особенности спектра.</w:t>
      </w:r>
    </w:p>
    <w:p w14:paraId="1CF58A66" w14:textId="0EA8E372" w:rsidR="008E46AC" w:rsidRPr="008E46AC" w:rsidRDefault="008E46AC" w:rsidP="008E46AC">
      <w:pPr>
        <w:ind w:left="720"/>
        <w:rPr>
          <w:rFonts w:ascii="Times New Roman" w:hAnsi="Times New Roman" w:cs="Times New Roman"/>
          <w:sz w:val="24"/>
          <w:szCs w:val="24"/>
        </w:rPr>
      </w:pPr>
      <w:r w:rsidRPr="00565BEF">
        <w:rPr>
          <w:noProof/>
        </w:rPr>
        <w:drawing>
          <wp:inline distT="0" distB="0" distL="0" distR="0" wp14:anchorId="002A3D6C" wp14:editId="59F56CCF">
            <wp:extent cx="5940425" cy="2973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CABD" w14:textId="2EDE2FB9" w:rsidR="008E46AC" w:rsidRDefault="008E46AC" w:rsidP="008E46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1F62B" w14:textId="3DAE18F2" w:rsidR="008E46AC" w:rsidRPr="008E46AC" w:rsidRDefault="008E46AC" w:rsidP="008E4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2. Снижение размерности и визуализация данных</w:t>
      </w:r>
    </w:p>
    <w:p w14:paraId="755DAE41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Обработанные спектры представляют собой матрицы большой размерности (1024 точки на спектр). Для визуализации и анализа структуры данных были применены два метода снижения размерности: линейный PCA и нелинейный t-SNE.</w:t>
      </w:r>
    </w:p>
    <w:p w14:paraId="25F2DD44" w14:textId="77777777" w:rsidR="008E46AC" w:rsidRPr="008E46AC" w:rsidRDefault="008E46AC" w:rsidP="008E46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Анализ главных компонент (PCA):</w:t>
      </w:r>
    </w:p>
    <w:p w14:paraId="711F31AC" w14:textId="77777777" w:rsidR="008E46AC" w:rsidRPr="008E46AC" w:rsidRDefault="008E46AC" w:rsidP="008E46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PCA-график демонстрирует </w:t>
      </w:r>
      <w:r w:rsidRPr="008E46AC">
        <w:rPr>
          <w:rFonts w:ascii="Times New Roman" w:hAnsi="Times New Roman" w:cs="Times New Roman"/>
          <w:b/>
          <w:bCs/>
          <w:sz w:val="24"/>
          <w:szCs w:val="24"/>
        </w:rPr>
        <w:t>частичное перекрытие классов</w:t>
      </w:r>
      <w:r w:rsidRPr="008E46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exo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.</w:t>
      </w:r>
    </w:p>
    <w:p w14:paraId="54C1879F" w14:textId="77777777" w:rsidR="008E46AC" w:rsidRPr="008E46AC" w:rsidRDefault="008E46AC" w:rsidP="008E46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 xml:space="preserve">Наблюдается некоторое смещение между классами, но границы размыты, особенно между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.</w:t>
      </w:r>
    </w:p>
    <w:p w14:paraId="10E71A34" w14:textId="14D07F70" w:rsidR="008E46AC" w:rsidRPr="008E46AC" w:rsidRDefault="008E46AC" w:rsidP="008E46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Вывод:</w:t>
      </w:r>
      <w:r w:rsidRPr="008E46AC">
        <w:rPr>
          <w:rFonts w:ascii="Times New Roman" w:hAnsi="Times New Roman" w:cs="Times New Roman"/>
          <w:sz w:val="24"/>
          <w:szCs w:val="24"/>
        </w:rPr>
        <w:t> Линейные различия между спектрами выражены слабо. Это указывает на нелинейную природу данных и необходимость использования соответствующих алгоритмов классификации (например, методы на основе ядер или ансамблевые методы).</w:t>
      </w:r>
    </w:p>
    <w:p w14:paraId="11E79969" w14:textId="77777777" w:rsidR="008E46AC" w:rsidRPr="008E46AC" w:rsidRDefault="008E46AC" w:rsidP="008E46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  <w:lang w:val="en-US"/>
        </w:rPr>
        <w:t>t-distributed Stochastic Neighbor Embedding (t-SNE):</w:t>
      </w:r>
    </w:p>
    <w:p w14:paraId="7CF5012C" w14:textId="77777777" w:rsidR="008E46AC" w:rsidRPr="008E46AC" w:rsidRDefault="008E46AC" w:rsidP="008E46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Нелинейное отображение t-SNE демонстрирует </w:t>
      </w:r>
      <w:r w:rsidRPr="008E46AC">
        <w:rPr>
          <w:rFonts w:ascii="Times New Roman" w:hAnsi="Times New Roman" w:cs="Times New Roman"/>
          <w:b/>
          <w:bCs/>
          <w:sz w:val="24"/>
          <w:szCs w:val="24"/>
        </w:rPr>
        <w:t>значительно лучшее разделение классов</w:t>
      </w:r>
      <w:r w:rsidRPr="008E46AC">
        <w:rPr>
          <w:rFonts w:ascii="Times New Roman" w:hAnsi="Times New Roman" w:cs="Times New Roman"/>
          <w:sz w:val="24"/>
          <w:szCs w:val="24"/>
        </w:rPr>
        <w:t>.</w:t>
      </w:r>
    </w:p>
    <w:p w14:paraId="5E3ADF62" w14:textId="77777777" w:rsidR="008E46AC" w:rsidRPr="008E46AC" w:rsidRDefault="008E46AC" w:rsidP="008E46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Четко выделяются отдельные кластеры для каждого типа ткани. Наилучшим образом отделяется класс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exo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, в то время как классы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control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 по-прежнему частично пересекаются, но гораздо менее выраженно, чем на PCA.</w:t>
      </w:r>
    </w:p>
    <w:p w14:paraId="139889BF" w14:textId="77777777" w:rsidR="008E46AC" w:rsidRDefault="008E46AC" w:rsidP="008E46A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8E46AC">
        <w:rPr>
          <w:rFonts w:ascii="Times New Roman" w:hAnsi="Times New Roman" w:cs="Times New Roman"/>
          <w:sz w:val="24"/>
          <w:szCs w:val="24"/>
        </w:rPr>
        <w:t> В данных присутствует выраженная нелинейная структура. Кластеры, соответствующие разным тканям, подтверждают наличие биологически значимых спектральных различий. Сходство классов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control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 может отражать их биологическую близость.</w:t>
      </w:r>
    </w:p>
    <w:p w14:paraId="5C8AF5B6" w14:textId="5A013436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612608">
        <w:rPr>
          <w:noProof/>
        </w:rPr>
        <w:drawing>
          <wp:inline distT="0" distB="0" distL="0" distR="0" wp14:anchorId="7B3CE770" wp14:editId="2B7AEBCC">
            <wp:extent cx="5940425" cy="22472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2160" w14:textId="77777777" w:rsidR="008E46AC" w:rsidRPr="008E46AC" w:rsidRDefault="008E46AC" w:rsidP="008E4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3. Классификация типов тканей</w:t>
      </w:r>
    </w:p>
    <w:p w14:paraId="53B25A88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Для построения классификационной модели были протестированы различные алгоритмы. Обучение проводилось на тренировочной выборке (75%) с валидацией, оценка качества — на тестовой выборке (25%).</w:t>
      </w:r>
    </w:p>
    <w:p w14:paraId="7C47FA81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3.1. Оценка моделей на данных, сжатых до 2 главных компонент (PCA2)</w:t>
      </w:r>
    </w:p>
    <w:p w14:paraId="706224AA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Первоначальное тестирование на двумерном пространстве признаков (PC1, PC2) позволило сравнить алгоритмы в условиях сильного сжатия данных.</w:t>
      </w:r>
    </w:p>
    <w:p w14:paraId="00258D11" w14:textId="77777777" w:rsidR="008E46AC" w:rsidRPr="008E46AC" w:rsidRDefault="008E46AC" w:rsidP="008E46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Результаты:</w:t>
      </w:r>
      <w:r w:rsidRPr="008E46AC">
        <w:rPr>
          <w:rFonts w:ascii="Times New Roman" w:hAnsi="Times New Roman" w:cs="Times New Roman"/>
          <w:sz w:val="24"/>
          <w:szCs w:val="24"/>
        </w:rPr>
        <w:t xml:space="preserve"> Линейные методы показали низкую точность. SVM с RBF-ядром,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продемонстрировали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на уровне ~0.51.</w:t>
      </w:r>
    </w:p>
    <w:p w14:paraId="3BA169AB" w14:textId="77777777" w:rsidR="008E46AC" w:rsidRPr="008E46AC" w:rsidRDefault="008E46AC" w:rsidP="008E46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Лучшая модель:</w:t>
      </w:r>
      <w:r w:rsidRPr="008E46AC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показал наилучший результат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0.51,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macro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F1 ~0.50), особенно улучшив распознавание класса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. Это подтвердило его пригодность для работы с нелинейными, зашумленными данными.</w:t>
      </w:r>
    </w:p>
    <w:p w14:paraId="3A5F8A35" w14:textId="77777777" w:rsidR="008E46AC" w:rsidRDefault="008E46AC" w:rsidP="008E46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Ограничение:</w:t>
      </w:r>
      <w:r w:rsidRPr="008E46AC">
        <w:rPr>
          <w:rFonts w:ascii="Times New Roman" w:hAnsi="Times New Roman" w:cs="Times New Roman"/>
          <w:sz w:val="24"/>
          <w:szCs w:val="24"/>
        </w:rPr>
        <w:t xml:space="preserve"> Двух признаков недостаточно: при сжатии теряется 95-99% спектральной информации, что делает невозможным достижение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выше ~0.52.</w:t>
      </w:r>
    </w:p>
    <w:p w14:paraId="46C17E7D" w14:textId="081E4C0B" w:rsidR="008E46AC" w:rsidRPr="008E46AC" w:rsidRDefault="008E46AC" w:rsidP="008E46A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D57F22E" wp14:editId="01F27A53">
            <wp:extent cx="2980029" cy="23505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994" cy="23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E73F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3.2. Выбор оптимального числа главных компонент</w:t>
      </w:r>
    </w:p>
    <w:p w14:paraId="5AC54D7A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 xml:space="preserve">Была построена кривая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модели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в зависимости от числа компонент PCA.</w:t>
      </w:r>
    </w:p>
    <w:p w14:paraId="5E3A293F" w14:textId="77777777" w:rsidR="008E46AC" w:rsidRDefault="008E46AC" w:rsidP="008E46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8E46AC">
        <w:rPr>
          <w:rFonts w:ascii="Times New Roman" w:hAnsi="Times New Roman" w:cs="Times New Roman"/>
          <w:sz w:val="24"/>
          <w:szCs w:val="24"/>
        </w:rPr>
        <w:t> Максимальная точность (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accuracy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 xml:space="preserve"> = 0.637</w:t>
      </w:r>
      <w:r w:rsidRPr="008E46AC">
        <w:rPr>
          <w:rFonts w:ascii="Times New Roman" w:hAnsi="Times New Roman" w:cs="Times New Roman"/>
          <w:sz w:val="24"/>
          <w:szCs w:val="24"/>
        </w:rPr>
        <w:t>) достигается при использовании </w:t>
      </w:r>
      <w:r w:rsidRPr="008E46AC">
        <w:rPr>
          <w:rFonts w:ascii="Times New Roman" w:hAnsi="Times New Roman" w:cs="Times New Roman"/>
          <w:b/>
          <w:bCs/>
          <w:sz w:val="24"/>
          <w:szCs w:val="24"/>
        </w:rPr>
        <w:t>12 главных компонент</w:t>
      </w:r>
      <w:r w:rsidRPr="008E46AC">
        <w:rPr>
          <w:rFonts w:ascii="Times New Roman" w:hAnsi="Times New Roman" w:cs="Times New Roman"/>
          <w:sz w:val="24"/>
          <w:szCs w:val="24"/>
        </w:rPr>
        <w:t>. Это значение было выбрано для дальнейшего сравнения с моделями, обучаемыми на полных спектрах.</w:t>
      </w:r>
    </w:p>
    <w:p w14:paraId="7551545E" w14:textId="4C1E8D2A" w:rsidR="008E46AC" w:rsidRPr="008E46AC" w:rsidRDefault="008E46AC" w:rsidP="008E46AC">
      <w:pPr>
        <w:ind w:left="720"/>
        <w:rPr>
          <w:rFonts w:ascii="Times New Roman" w:hAnsi="Times New Roman" w:cs="Times New Roman"/>
          <w:sz w:val="24"/>
          <w:szCs w:val="24"/>
        </w:rPr>
      </w:pPr>
      <w:r w:rsidRPr="007014F6">
        <w:rPr>
          <w:noProof/>
        </w:rPr>
        <w:drawing>
          <wp:inline distT="0" distB="0" distL="0" distR="0" wp14:anchorId="4B1A5734" wp14:editId="79770D80">
            <wp:extent cx="5940425" cy="29698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2D40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3.3. Классификация на полных спектральных данных</w:t>
      </w:r>
    </w:p>
    <w:p w14:paraId="43CDE883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 xml:space="preserve">Модель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была обучена на исходных спектрах (без сжатия через PCA). Для улучшения качества была проведена серия донастроек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tuning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и оптимизация порогов классификации.</w:t>
      </w:r>
    </w:p>
    <w:p w14:paraId="4D5DB198" w14:textId="77777777" w:rsidR="008E46AC" w:rsidRPr="008E46AC" w:rsidRDefault="008E46AC" w:rsidP="008E46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Ключевые изменения в настройках модели:</w:t>
      </w:r>
    </w:p>
    <w:p w14:paraId="1E73036A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Введение весов классов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class_weights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для компенсации дисбаланса и улучшения чувствительности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для класса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.</w:t>
      </w:r>
    </w:p>
    <w:p w14:paraId="3D56C244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Использование стохастичности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subsample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подвыборки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признаков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colsample_bylevel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для снижения переобучения.</w:t>
      </w:r>
    </w:p>
    <w:p w14:paraId="44676C7D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Усиление L2-регуляризации (l2_leaf_reg).</w:t>
      </w:r>
    </w:p>
    <w:p w14:paraId="4EB9E3AE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lastRenderedPageBreak/>
        <w:t>Увеличение числа итераций с ранней остановкой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early_stopping_rounds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).</w:t>
      </w:r>
    </w:p>
    <w:p w14:paraId="4C60761B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Пост-оптимизация порогов решающего правила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tuning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) для максимизации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macro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F1.</w:t>
      </w:r>
    </w:p>
    <w:p w14:paraId="2B9FD93B" w14:textId="77777777" w:rsidR="008E46AC" w:rsidRPr="008E46AC" w:rsidRDefault="008E46AC" w:rsidP="008E46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Итоговые метрики качества:</w:t>
      </w:r>
    </w:p>
    <w:p w14:paraId="2E5D63BB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Accuracy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~0.68</w:t>
      </w:r>
    </w:p>
    <w:p w14:paraId="4FC7D8B8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Macro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 xml:space="preserve"> F1-score:</w:t>
      </w:r>
      <w:r w:rsidRPr="008E46AC">
        <w:rPr>
          <w:rFonts w:ascii="Times New Roman" w:hAnsi="Times New Roman" w:cs="Times New Roman"/>
          <w:sz w:val="24"/>
          <w:szCs w:val="24"/>
        </w:rPr>
        <w:t> </w:t>
      </w:r>
      <w:r w:rsidRPr="008E46AC">
        <w:rPr>
          <w:rFonts w:ascii="Times New Roman" w:hAnsi="Times New Roman" w:cs="Times New Roman"/>
          <w:b/>
          <w:bCs/>
          <w:sz w:val="24"/>
          <w:szCs w:val="24"/>
        </w:rPr>
        <w:t>0.679</w:t>
      </w:r>
      <w:r w:rsidRPr="008E46AC">
        <w:rPr>
          <w:rFonts w:ascii="Times New Roman" w:hAnsi="Times New Roman" w:cs="Times New Roman"/>
          <w:sz w:val="24"/>
          <w:szCs w:val="24"/>
        </w:rPr>
        <w:t xml:space="preserve"> (прирост +0.044 по сравнению с базовым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на PCA12).</w:t>
      </w:r>
    </w:p>
    <w:p w14:paraId="40D1F83D" w14:textId="77777777" w:rsidR="008E46AC" w:rsidRPr="008E46AC" w:rsidRDefault="008E46AC" w:rsidP="008E46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Анализ ошибок (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Confusion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 xml:space="preserve"> Matrix):</w:t>
      </w:r>
    </w:p>
    <w:p w14:paraId="522D1D7E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Наибольшее количество ошибок приходится на пару классов 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 xml:space="preserve"> ↔ 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. Модель чаще всего путает эти два типа тканей.</w:t>
      </w:r>
    </w:p>
    <w:p w14:paraId="27D142BE" w14:textId="77777777" w:rsid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exo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 распознается лучше всего (F1 = 0.60), демонстрируя наименьшее количество ложных срабатываний.</w:t>
      </w:r>
    </w:p>
    <w:p w14:paraId="6FB0B2C9" w14:textId="68C7C673" w:rsidR="00362CE5" w:rsidRPr="008E46AC" w:rsidRDefault="00362CE5" w:rsidP="00362CE5">
      <w:pPr>
        <w:ind w:left="1080"/>
        <w:rPr>
          <w:rFonts w:ascii="Times New Roman" w:hAnsi="Times New Roman" w:cs="Times New Roman"/>
          <w:sz w:val="24"/>
          <w:szCs w:val="24"/>
        </w:rPr>
      </w:pPr>
      <w:r w:rsidRPr="00A027A3">
        <w:rPr>
          <w:noProof/>
          <w:lang w:val="en-US"/>
        </w:rPr>
        <w:drawing>
          <wp:inline distT="0" distB="0" distL="0" distR="0" wp14:anchorId="53150650" wp14:editId="5FD8D0C5">
            <wp:extent cx="5940425" cy="4211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2FF1" w14:textId="77777777" w:rsidR="008E46AC" w:rsidRPr="008E46AC" w:rsidRDefault="008E46AC" w:rsidP="008E46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Интерпретация важности признаков (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Importance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60DFDE1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>Наибольший вклад в классификацию вносят узкие спектральные диапазоны (пики), а не глобальные характеристики. Топ признаков: v491, v458, v457, v490, а также блоки каналов v319-v325 и v320-v324.</w:t>
      </w:r>
    </w:p>
    <w:p w14:paraId="31D16599" w14:textId="77777777" w:rsidR="008E46AC" w:rsidRPr="008E46AC" w:rsidRDefault="008E46AC" w:rsidP="008E46A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8E46AC">
        <w:rPr>
          <w:rFonts w:ascii="Times New Roman" w:hAnsi="Times New Roman" w:cs="Times New Roman"/>
          <w:sz w:val="24"/>
          <w:szCs w:val="24"/>
        </w:rPr>
        <w:t> Модель успешно идентифицировала конкретные спектральные окна, несущие ключевую информацию о типе ткани. Это дает основу для дальнейшей целенаправленной предобработки и агрегации признаков.</w:t>
      </w:r>
    </w:p>
    <w:p w14:paraId="493375A6" w14:textId="77777777" w:rsidR="008E46AC" w:rsidRPr="008E46AC" w:rsidRDefault="008E46AC" w:rsidP="008E46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Заключение и рекомендации</w:t>
      </w:r>
    </w:p>
    <w:p w14:paraId="56353DB1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 xml:space="preserve">В ходе работы был разработан и оптимизирован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пайплайн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классификации типов тканей по спектрам КР. Итоговая модель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демонстрирует устойчивое качество (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Macro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F1 = 0.679) и позволяет интерпретировать результаты, указывая на ключевые спектральные области.</w:t>
      </w:r>
    </w:p>
    <w:p w14:paraId="538C87B7" w14:textId="77777777" w:rsidR="008E46AC" w:rsidRPr="008E46AC" w:rsidRDefault="008E46AC" w:rsidP="008E46AC">
      <w:p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sz w:val="24"/>
          <w:szCs w:val="24"/>
        </w:rPr>
        <w:t xml:space="preserve">Для дальнейшего повышения качества классификации (целевой уровень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Macro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F1 0.75+) предлагаются следующие шаги:</w:t>
      </w:r>
    </w:p>
    <w:p w14:paraId="513F5E35" w14:textId="77777777" w:rsidR="008E46AC" w:rsidRPr="008E46AC" w:rsidRDefault="008E46AC" w:rsidP="008E46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Конструирование признаков (</w:t>
      </w: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Feature</w:t>
      </w:r>
      <w:proofErr w:type="spellEnd"/>
      <w:r w:rsidRPr="008E46AC">
        <w:rPr>
          <w:rFonts w:ascii="Times New Roman" w:hAnsi="Times New Roman" w:cs="Times New Roman"/>
          <w:b/>
          <w:bCs/>
          <w:sz w:val="24"/>
          <w:szCs w:val="24"/>
        </w:rPr>
        <w:t xml:space="preserve"> Engineering)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Создать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агрегированные признаки (интеграл, максимум, среднее) для выявленных важных спектральных окон (v450-v500, v315-v330).</w:t>
      </w:r>
    </w:p>
    <w:p w14:paraId="070DF238" w14:textId="77777777" w:rsidR="008E46AC" w:rsidRPr="008E46AC" w:rsidRDefault="008E46AC" w:rsidP="008E46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Локальная предобработка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Применить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дополнительные методы сглаживания (например, фильтр Савицкого-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Голея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непосредственно к этим важным окнам перед вычислением признаков.</w:t>
      </w:r>
    </w:p>
    <w:p w14:paraId="3D121574" w14:textId="77777777" w:rsidR="008E46AC" w:rsidRPr="008E46AC" w:rsidRDefault="008E46AC" w:rsidP="008E46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Ансамблирование</w:t>
      </w:r>
      <w:proofErr w:type="spellEnd"/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Использовать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короткий ансамбль из 3-5 моделей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с разными начальными </w:t>
      </w:r>
      <w:proofErr w:type="spellStart"/>
      <w:r w:rsidRPr="008E46AC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 xml:space="preserve"> для стабилизации и небольшого повышения точности.</w:t>
      </w:r>
    </w:p>
    <w:p w14:paraId="79CDC513" w14:textId="77777777" w:rsidR="008E46AC" w:rsidRPr="008E46AC" w:rsidRDefault="008E46AC" w:rsidP="008E46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Валидация порогов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Применить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кросс-валидацию для более надежной оптимизации порогов классификации.</w:t>
      </w:r>
    </w:p>
    <w:p w14:paraId="660E641C" w14:textId="77777777" w:rsidR="008E46AC" w:rsidRPr="008E46AC" w:rsidRDefault="008E46AC" w:rsidP="008E46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46AC">
        <w:rPr>
          <w:rFonts w:ascii="Times New Roman" w:hAnsi="Times New Roman" w:cs="Times New Roman"/>
          <w:b/>
          <w:bCs/>
          <w:sz w:val="24"/>
          <w:szCs w:val="24"/>
        </w:rPr>
        <w:t>Глубокий анализ ошибок</w:t>
      </w:r>
      <w:proofErr w:type="gramStart"/>
      <w:r w:rsidRPr="008E46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E46AC">
        <w:rPr>
          <w:rFonts w:ascii="Times New Roman" w:hAnsi="Times New Roman" w:cs="Times New Roman"/>
          <w:sz w:val="24"/>
          <w:szCs w:val="24"/>
        </w:rPr>
        <w:t> Использовать</w:t>
      </w:r>
      <w:proofErr w:type="gramEnd"/>
      <w:r w:rsidRPr="008E46AC">
        <w:rPr>
          <w:rFonts w:ascii="Times New Roman" w:hAnsi="Times New Roman" w:cs="Times New Roman"/>
          <w:sz w:val="24"/>
          <w:szCs w:val="24"/>
        </w:rPr>
        <w:t xml:space="preserve"> SHAP-анализ для интерпретации ошибочных классификаций (особенно </w:t>
      </w:r>
      <w:proofErr w:type="spellStart"/>
      <w:r w:rsidRPr="008E46AC">
        <w:rPr>
          <w:rFonts w:ascii="Times New Roman" w:hAnsi="Times New Roman" w:cs="Times New Roman"/>
          <w:i/>
          <w:iCs/>
          <w:sz w:val="24"/>
          <w:szCs w:val="24"/>
        </w:rPr>
        <w:t>control→endo</w:t>
      </w:r>
      <w:proofErr w:type="spellEnd"/>
      <w:r w:rsidRPr="008E46AC">
        <w:rPr>
          <w:rFonts w:ascii="Times New Roman" w:hAnsi="Times New Roman" w:cs="Times New Roman"/>
          <w:sz w:val="24"/>
          <w:szCs w:val="24"/>
        </w:rPr>
        <w:t>) и выявления скрытых факторов.</w:t>
      </w:r>
    </w:p>
    <w:sectPr w:rsidR="008E46AC" w:rsidRPr="008E4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179"/>
    <w:multiLevelType w:val="multilevel"/>
    <w:tmpl w:val="3F54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0061C"/>
    <w:multiLevelType w:val="multilevel"/>
    <w:tmpl w:val="0B8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270A"/>
    <w:multiLevelType w:val="multilevel"/>
    <w:tmpl w:val="E5C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F2C17"/>
    <w:multiLevelType w:val="multilevel"/>
    <w:tmpl w:val="5EF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718A4"/>
    <w:multiLevelType w:val="multilevel"/>
    <w:tmpl w:val="0C70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310D9"/>
    <w:multiLevelType w:val="multilevel"/>
    <w:tmpl w:val="EFD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22B9A"/>
    <w:multiLevelType w:val="multilevel"/>
    <w:tmpl w:val="C97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298451">
    <w:abstractNumId w:val="1"/>
  </w:num>
  <w:num w:numId="2" w16cid:durableId="1984121427">
    <w:abstractNumId w:val="6"/>
  </w:num>
  <w:num w:numId="3" w16cid:durableId="1647201860">
    <w:abstractNumId w:val="3"/>
  </w:num>
  <w:num w:numId="4" w16cid:durableId="965814975">
    <w:abstractNumId w:val="5"/>
  </w:num>
  <w:num w:numId="5" w16cid:durableId="1828552528">
    <w:abstractNumId w:val="2"/>
  </w:num>
  <w:num w:numId="6" w16cid:durableId="1618101670">
    <w:abstractNumId w:val="0"/>
  </w:num>
  <w:num w:numId="7" w16cid:durableId="818307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E7"/>
    <w:rsid w:val="000C3675"/>
    <w:rsid w:val="00362CE5"/>
    <w:rsid w:val="004313C9"/>
    <w:rsid w:val="008E46AC"/>
    <w:rsid w:val="00994EE7"/>
    <w:rsid w:val="00AD57EF"/>
    <w:rsid w:val="00EB1A59"/>
    <w:rsid w:val="00ED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655CA"/>
  <w15:chartTrackingRefBased/>
  <w15:docId w15:val="{9B64A899-44F7-43A2-B7BB-FE4DCAFE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E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E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E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E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Alyona Shvetsova</dc:creator>
  <cp:keywords/>
  <dc:description/>
  <cp:lastModifiedBy>Alyona Shvetsova</cp:lastModifiedBy>
  <cp:revision>2</cp:revision>
  <dcterms:created xsi:type="dcterms:W3CDTF">2026-03-07T18:40:00Z</dcterms:created>
  <dcterms:modified xsi:type="dcterms:W3CDTF">2026-03-07T18:52:00Z</dcterms:modified>
</cp:coreProperties>
</file>