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2CE"/>
          <w:sz w:val="21"/>
        </w:rPr>
        <w:t>ПОРТФОЛИО ПРОЕКТОВ И ПРИКЛАДНЫХ ИИ-РЕШЕНИЙ</w:t>
      </w:r>
    </w:p>
    <w:p>
      <w:pPr>
        <w:spacing w:after="40"/>
      </w:pPr>
      <w:r>
        <w:rPr>
          <w:b/>
          <w:color w:val="003366"/>
          <w:sz w:val="40"/>
        </w:rPr>
        <w:t>Лаврентий Ямпуров</w:t>
        <w:br/>
      </w:r>
      <w:r>
        <w:rPr>
          <w:b/>
          <w:color w:val="0072CE"/>
          <w:sz w:val="24"/>
        </w:rPr>
        <w:t>AI Product Manager • AI Solutions Architect • Lead Systems Analyst</w:t>
      </w:r>
    </w:p>
    <w:p>
      <w:pPr>
        <w:spacing w:after="120"/>
      </w:pPr>
      <w:r>
        <w:t>Специализация: Мультиагентные системы (Multi-Agent Systems) • Industrial AI &amp; MLOps • Корпоративная аналитика • Product Delivery</w:t>
        <w:br/>
      </w:r>
      <w:r>
        <w:t>Контакты: ylv30072002@mail.ru | Telegram: @Lavr02 | +7 (981) 167-82-36 | Санкт-Петербург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9792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left w:val="single" w:sz="24" w:space="0" w:color="0072CE"/>
              <w:top w:val="none"/>
              <w:right w:val="none"/>
              <w:bottom w:val="none"/>
            </w:tcBorders>
          </w:tcPr>
          <w:p>
            <w:pPr>
              <w:spacing w:after="60" w:line="276" w:lineRule="auto"/>
            </w:pPr>
            <w:r>
              <w:rPr>
                <w:b/>
                <w:color w:val="003366"/>
                <w:sz w:val="20"/>
              </w:rPr>
              <w:t>★ ПРОФИЛЬНЫЙ ФОКУС И ЦЕННОСТНОЕ ПРЕДЛОЖЕНИЕ</w:t>
              <w:br/>
            </w:r>
            <w:r>
              <w:rPr>
                <w:color w:val="333333"/>
                <w:sz w:val="18"/>
              </w:rPr>
              <w:t>Специалист редкого гибридного профиля на стыке архитектуры ИИ-систем, системной инженерии и продуктового управления:</w:t>
              <w:br/>
              <w:t>• Архитектура современных ИИ-систем: практический опыт проектирования мультиагентных конвейеров (LangGraph StateGraph, Pydantic v2 data contracts, Model Context Protocol FastMCP, Advanced RAG с гибридным поиском и реранкингом, On-Premise инференс vLLM/Ollama, программная генерация презентаций и отчетов).</w:t>
              <w:br/>
              <w:t>• Отраслевая экспертиза в тяжелой индустрии: реальный опыт руководства цифровой трансформацией в горнорудной отрасли (Восточная горнорудная компания: агент дефектовки оборудования ТОиР с интеграцией в 1C:ERP, предиктивный контур раннего предупреждения отказов карьерной техники).</w:t>
              <w:br/>
              <w:t>• Академический стратегический фундамент: Магистратура НИУ ИТМО (Факультет технологий менеджмента и инноваций) по направлению «Технологии и стратегии бизнес-трансформации, Инноватика».</w:t>
              <w:br/>
              <w:t>• Формат реализации представленных проектов: разработаны мной лично (end-to-end от идеи и архитектуры до кода), либо в проектных кросс-функциональных командах в партнерстве со специалистами из других компаний и смежных отделов в роли AI Solutions Architect / Technical PM / Co-Developer. Моя зона ответственности: декомпозиция бизнес-целей в инженерные ТЗ, контракты данных, связывание ML/LLM-моделей в сквозные пайплайны, контроль метрик качества и интеграция в бизнес-процессы.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b/>
          <w:color w:val="003366"/>
          <w:sz w:val="23"/>
        </w:rPr>
        <w:t>1. Ключевые компетенции и технологический стек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168"/>
            <w:shd w:fill="00336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Функциональная область</w:t>
            </w:r>
          </w:p>
        </w:tc>
        <w:tc>
          <w:tcPr>
            <w:tcW w:type="dxa" w:w="6624"/>
            <w:shd w:fill="00336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Инструменты, технологии и методологии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Мультиагентные системы и LLM</w:t>
            </w:r>
          </w:p>
        </w:tc>
        <w:tc>
          <w:tcPr>
            <w:tcW w:type="dxa" w:w="6624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Multi-Agent Pipelines, LangGraph (StateGraph), Pydantic v2, FastMCP (Anthropic Model Context Protocol), Evaluator-Optimizer (Reflexion), Prompt Engineering, On-Premise vLLM / Ollama.</w:t>
            </w:r>
          </w:p>
        </w:tc>
      </w:tr>
      <w:tr>
        <w:tc>
          <w:tcPr>
            <w:tcW w:type="dxa" w:w="3168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Advanced RAG и Поиск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Гибридный поиск (Dense bge-m3 + Sparse BM25 + RRF), кросс-энкодерный реранкинг (bge-reranker-large), Layout-парсеры (Docling, Marker), векторные базы Qdrant / Chroma, метрики Ragas.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Индустриальный ML и Big Data</w:t>
            </w:r>
          </w:p>
        </w:tc>
        <w:tc>
          <w:tcPr>
            <w:tcW w:type="dxa" w:w="6624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Python 3.9+, Scikit-learn, XGBoost, ClickHouse, Apache Spark streaming logic, MLOps, MLflow, анализ промышленной телеметрии (MWD/LWD датчики бурения, вибродиагностика насосов).</w:t>
            </w:r>
          </w:p>
        </w:tc>
      </w:tr>
      <w:tr>
        <w:tc>
          <w:tcPr>
            <w:tcW w:type="dxa" w:w="3168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Product &amp; Delivery Management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Управление требованиями (BRD/FRD, User Stories, BPMN 2.0, UML), Agile/Scrum/Scrumban, аудит контрактов и рисков (Red Flags), юнит-экономика, стейкхолдер-менеджмент C-level.</w:t>
            </w:r>
          </w:p>
        </w:tc>
      </w:tr>
    </w:tbl>
    <w:p>
      <w:pPr>
        <w:spacing w:before="200" w:after="60"/>
      </w:pPr>
      <w:r>
        <w:rPr>
          <w:b/>
          <w:color w:val="003366"/>
          <w:sz w:val="23"/>
        </w:rPr>
        <w:t>2. Мультиагентные системы и корпоративный GenAI (Enterprise AI Automation)</w:t>
      </w:r>
    </w:p>
    <w:p>
      <w:pPr>
        <w:spacing w:before="100" w:after="20"/>
      </w:pPr>
      <w:r>
        <w:rPr>
          <w:b/>
          <w:color w:val="004C87"/>
          <w:sz w:val="19"/>
        </w:rPr>
        <w:t>• Мультиагентная система стратегического анализа и каскадирования инициатив (ДСИиУР)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Ведущий разработчик / AI Solutions Architect</w:t>
        <w:br/>
      </w:r>
      <w:r>
        <w:rPr>
          <w:b/>
        </w:rPr>
        <w:t xml:space="preserve">Стек: </w:t>
      </w:r>
      <w:r>
        <w:t>Python, LangGraph (StateGraph), Pydantic v2, duckduckgo-search, python-pptx, python-docx, Ragas.</w:t>
        <w:br/>
      </w:r>
      <w:r>
        <w:t>Суть решения: Сквозной конвейер из 3-х агентов для устранения разрыва коммуникации между корпоративной стратегией и подразделениями (Бурение, Логистика, ИТ). Агент 1 собирает отраслевые сигналы без платных API и формирует ранние предупреждения (Early Warnings). Агент 2 синтезирует инициативы и валидирует их в цикле рефлексии (Reflexion) по критериальной матрице с масштабированием до 1000 критериев (Map-Reduce). Агент 3 адаптирует инициативы под отраслевой сленг подразделений и генерирует презентации по брендбуку.</w:t>
        <w:br/>
      </w:r>
      <w:r>
        <w:rPr>
          <w:b/>
        </w:rPr>
        <w:t xml:space="preserve">Результат и артефакты: </w:t>
      </w:r>
      <w:r>
        <w:t>Действующий прототип конвейера run.py, стратегический питч-дек на 21 слайд (Презентация_ИИ_Агенты_ГазпромНефть.pptx), полный иллюстрированный отчет на 12 глав и открытый репозиторий на GitHub.</w:t>
      </w:r>
    </w:p>
    <w:p>
      <w:pPr>
        <w:spacing w:before="100" w:after="20"/>
      </w:pPr>
      <w:r>
        <w:rPr>
          <w:b/>
          <w:color w:val="004C87"/>
          <w:sz w:val="19"/>
        </w:rPr>
        <w:t>• Multi-Agent Judge: Двухагентный контур самокритики и арбитража решений (Evaluator-Optimizer)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AI Solutions Architect (в партнерстве со специалистами из технологических компаний)</w:t>
        <w:br/>
      </w:r>
      <w:r>
        <w:rPr>
          <w:b/>
        </w:rPr>
        <w:t xml:space="preserve">Стек: </w:t>
      </w:r>
      <w:r>
        <w:t>Python, Multi-Agent Architecture, Anthropic Building Effective Agents, LLM-as-a-Judge, Ragas.</w:t>
        <w:br/>
      </w:r>
      <w:r>
        <w:t>Суть решения: Архитектурный контур из 4-х агентов: Генератор решения -&gt; Тестировщик дефектов -&gt; Оптимизатор -&gt; Независимая Модель-Судья (Judge). Судья выставляет объективный скоринг (0-10) и при непрохождении порога возвращает задачу на доработку с замечаниями. Полностью детерминированный цикл рефлексии (Reflexion), гарантирующий исключение галлюцинаций до публикации артефактов.</w:t>
        <w:br/>
      </w:r>
      <w:r>
        <w:rPr>
          <w:b/>
        </w:rPr>
        <w:t xml:space="preserve">Результат и артефакты: </w:t>
      </w:r>
      <w:r>
        <w:t>Действующий модуль agent_evaluator_optimizer.py, 100% покрытие автотестами, детерминированная критериальная матрица.</w:t>
      </w:r>
    </w:p>
    <w:p>
      <w:pPr>
        <w:spacing w:before="100" w:after="20"/>
      </w:pPr>
      <w:r>
        <w:rPr>
          <w:b/>
          <w:color w:val="004C87"/>
          <w:sz w:val="19"/>
        </w:rPr>
        <w:t>• OilGas FastMCP Server: Высокопроизводительный сервер контекста по нормативной базе ТЭК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Architect / Developer (в партнерстве со специалистами по инфраструктуре ИИ)</w:t>
        <w:br/>
      </w:r>
      <w:r>
        <w:rPr>
          <w:b/>
        </w:rPr>
        <w:t xml:space="preserve">Стек: </w:t>
      </w:r>
      <w:r>
        <w:t>Python 3.13, FastMCP (Anthropic Model Context Protocol), Qdrant Vector DB, Sentence-Transformers.</w:t>
        <w:br/>
      </w:r>
      <w:r>
        <w:t>Суть решения: Разработка сервера контекста новейшего стандарта Anthropic MCP для интеграции LLM-агентов с нормативной базой (ГОСТ Р 53711, СТО, ФНП № 534). Позволяет любому внешнему агенту через stdio и стандартизированный JSON-RPC безопасно извлекать точные нормативные требования с миллисекундным откликом.</w:t>
        <w:br/>
      </w:r>
      <w:r>
        <w:rPr>
          <w:b/>
        </w:rPr>
        <w:t xml:space="preserve">Результат и артефакты: </w:t>
      </w:r>
      <w:r>
        <w:t>Действующий MCP-сервер с инструментами семантического поиска и верификации стандартов. Тестовый скрипт test_oilgas_mcp.py.</w:t>
      </w:r>
    </w:p>
    <w:p>
      <w:pPr>
        <w:spacing w:before="200" w:after="60"/>
      </w:pPr>
      <w:r>
        <w:rPr>
          <w:b/>
          <w:color w:val="003366"/>
          <w:sz w:val="23"/>
        </w:rPr>
        <w:t>3. Industrial AI, промышленная телеметрия и MLOps (ТЭК и Тяжелая индустрия)</w:t>
      </w:r>
    </w:p>
    <w:p>
      <w:pPr>
        <w:spacing w:before="100" w:after="20"/>
      </w:pPr>
      <w:r>
        <w:rPr>
          <w:b/>
          <w:color w:val="004C87"/>
          <w:sz w:val="19"/>
        </w:rPr>
        <w:t>• Цифровая трансформация ТОиР и контур раннего предупреждения (Восточная горнорудная компания)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Руководитель проектов цифровой трансформации (производственное внедрение)</w:t>
        <w:br/>
      </w:r>
      <w:r>
        <w:rPr>
          <w:b/>
        </w:rPr>
        <w:t xml:space="preserve">Стек: </w:t>
      </w:r>
      <w:r>
        <w:t>Python, 1C:Enterprise API, RAG по базе знаний ТОиР, телеметрия оборудования, BPMN 2.0.</w:t>
        <w:br/>
      </w:r>
      <w:r>
        <w:t>Суть решения: Разработка интеллектуального агента обработки дефектов: автоматический парсинг сообщений из корпоративного мессенджера MAX в 1С с RAG-поиском регламентов ТОиР. Проектирование предиктивного контура раннего предупреждения отказов горно-транспортного оборудования (ГТО) и системы оценки эффективности буровзрывных работ (БВР).</w:t>
        <w:br/>
      </w:r>
      <w:r>
        <w:rPr>
          <w:b/>
        </w:rPr>
        <w:t xml:space="preserve">Результат и артефакты: </w:t>
      </w:r>
      <w:r>
        <w:t>Действующий производственный контур, сокращение времени регистрации инцидентов ТОиР, система предиктивного мониторинга отказов техники.</w:t>
      </w:r>
    </w:p>
    <w:p>
      <w:pPr>
        <w:spacing w:before="100" w:after="20"/>
      </w:pPr>
      <w:r>
        <w:rPr>
          <w:b/>
          <w:color w:val="004C87"/>
          <w:sz w:val="19"/>
        </w:rPr>
        <w:t>• DrillSense: Предиктивное прогнозирование механической скорости бурения ROP (Нефтегаз)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System Architect / Co-Developer (в партнерстве со специалистами отраслевых отделов)</w:t>
        <w:br/>
      </w:r>
      <w:r>
        <w:rPr>
          <w:b/>
        </w:rPr>
        <w:t xml:space="preserve">Стек: </w:t>
      </w:r>
      <w:r>
        <w:t>Python, Scikit-learn, Random Forest, промысловая телеметрия MWD/LWD (Equinor Volve, скважина 15/9-F-9 A).</w:t>
        <w:br/>
      </w:r>
      <w:r>
        <w:t>Суть решения: Прогнозирование скорости проходки ROP в реальном времени по 5 датчикам забойной телеметрии (нагрузка на долото WOB, обороты ротора RPM, подача насосов Flow Rate, крутящий момент Torque). Автоматическое выявление аномальных технологических режимов и предупреждение рисков прихвата бурового инструмента.</w:t>
        <w:br/>
      </w:r>
      <w:r>
        <w:rPr>
          <w:b/>
        </w:rPr>
        <w:t xml:space="preserve">Результат и артефакты: </w:t>
      </w:r>
      <w:r>
        <w:t>Точность модели R2 = 0.892, MAE = 2.41 м/ч на промысловых данных Северного моря. Автономный модуль quick_predict_demo.py.</w:t>
      </w:r>
    </w:p>
    <w:p>
      <w:pPr>
        <w:spacing w:before="100" w:after="20"/>
      </w:pPr>
      <w:r>
        <w:rPr>
          <w:b/>
          <w:color w:val="004C87"/>
          <w:sz w:val="19"/>
        </w:rPr>
        <w:t>• PumpGuard: IoT MLOps конвейер предиктивного скоринга отказов погружных насосов УЭЦН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Technical Lead / Architect (в партнерстве со специалистами по Big Data и MLOps)</w:t>
        <w:br/>
      </w:r>
      <w:r>
        <w:rPr>
          <w:b/>
        </w:rPr>
        <w:t xml:space="preserve">Стек: </w:t>
      </w:r>
      <w:r>
        <w:t>Python, ClickHouse, Apache Spark streaming logic, физическая модель деградации ПЭД, MLflow.</w:t>
        <w:br/>
      </w:r>
      <w:r>
        <w:t>Суть решения: Предиктивная вибродиагностика и тепловой мониторинг фонда из 500 погружных электроцентробежных насосов. Расчет динамического индекса риска отказа (0-100) за 72 часа до инцидента на основе трендов вибрации по осям X/Y/Z и температуры обмоток.</w:t>
        <w:br/>
      </w:r>
      <w:r>
        <w:rPr>
          <w:b/>
        </w:rPr>
        <w:t xml:space="preserve">Результат и артефакты: </w:t>
      </w:r>
      <w:r>
        <w:t>Обработка потока до 5 000 замеров/сек, предотвращение аварийного подземного ремонта скважин (ПРС). Модуль quick_score_demo.py.</w:t>
      </w:r>
    </w:p>
    <w:p>
      <w:pPr>
        <w:spacing w:before="200" w:after="60"/>
      </w:pPr>
      <w:r>
        <w:rPr>
          <w:b/>
          <w:color w:val="003366"/>
          <w:sz w:val="23"/>
        </w:rPr>
        <w:t>4. FinTech, LegalTech и системы принятия решений (Decision Engines)</w:t>
      </w:r>
    </w:p>
    <w:p>
      <w:pPr>
        <w:spacing w:before="100" w:after="20"/>
      </w:pPr>
      <w:r>
        <w:rPr>
          <w:b/>
          <w:color w:val="004C87"/>
          <w:sz w:val="19"/>
        </w:rPr>
        <w:t>• Экспресс-аудит коммерческих договоров B2B и скоринг юридических рисков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Автор решения / Developer</w:t>
        <w:br/>
      </w:r>
      <w:r>
        <w:rPr>
          <w:b/>
        </w:rPr>
        <w:t xml:space="preserve">Стек: </w:t>
      </w:r>
      <w:r>
        <w:t>Python 3.9+, Pydantic v2, Decision Engine, стоп-факторы Red Flags, автогенерация протоколов.</w:t>
        <w:br/>
      </w:r>
      <w:r>
        <w:t>Суть решения: Автоматический аудит коммерческих договоров поставки и подряда: детекция кабальных условий (отсрочка платежа &gt;90 дней, односторонняя пеня &gt;0.1%/день, отсутствие форс-мажора), расчет скоринга надежности контракта (0-100) и автоматическая генерация официального протокола разногласий.</w:t>
        <w:br/>
      </w:r>
      <w:r>
        <w:rPr>
          <w:b/>
        </w:rPr>
        <w:t xml:space="preserve">Результат и артефакты: </w:t>
      </w:r>
      <w:r>
        <w:t>Работающий скрипт run.py, структурированный отчет audit.json, готовый юридический протокол protocol_of_disagreements.md.</w:t>
      </w:r>
    </w:p>
    <w:p>
      <w:pPr>
        <w:spacing w:before="100" w:after="20"/>
      </w:pPr>
      <w:r>
        <w:rPr>
          <w:b/>
          <w:color w:val="004C87"/>
          <w:sz w:val="19"/>
        </w:rPr>
        <w:t>• Telecom Churn Prediction: Прогнозирование оттока клиентов телеком-оператора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Data Analyst / ML-инженер</w:t>
        <w:br/>
      </w:r>
      <w:r>
        <w:rPr>
          <w:b/>
        </w:rPr>
        <w:t xml:space="preserve">Стек: </w:t>
      </w:r>
      <w:r>
        <w:t>Python, Pandas, Scikit-learn, XGBoost, Matplotlib, Jupyter Notebook (7 043 клиента, 21 признак).</w:t>
        <w:br/>
      </w:r>
      <w:r>
        <w:t>Суть решения: Разведочный анализ данных (EDA), выявление ключевых факторов оттока, балансировка выборки, сравнительное обучение 3-х моделей (Logistic Regression, Random Forest, XGBoost) и разработка прикладных рекомендаций для CRM по удержанию клиентской базы.</w:t>
        <w:br/>
      </w:r>
      <w:r>
        <w:rPr>
          <w:b/>
        </w:rPr>
        <w:t xml:space="preserve">Результат и артефакты: </w:t>
      </w:r>
      <w:r>
        <w:t>Лучшая модель с метриками AUC-ROC = 0.8425, Accuracy = 0.8034. Топ-факторы риска: тип контракта month-to-month, tenure, MonthlyCharges.</w:t>
      </w:r>
    </w:p>
    <w:p>
      <w:pPr>
        <w:spacing w:before="100" w:after="20"/>
      </w:pPr>
      <w:r>
        <w:rPr>
          <w:b/>
          <w:color w:val="004C87"/>
          <w:sz w:val="19"/>
        </w:rPr>
        <w:t>• Bank Marketing Campaign Analytics: Аналитический дашборд в Yandex DataLens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Бизнес-аналитик / Data Analyst</w:t>
        <w:br/>
      </w:r>
      <w:r>
        <w:rPr>
          <w:b/>
        </w:rPr>
        <w:t xml:space="preserve">Стек: </w:t>
      </w:r>
      <w:r>
        <w:t>Yandex DataLens, SQL, Excel, датасет UCI Bank Marketing (41 188 записей).</w:t>
        <w:br/>
      </w:r>
      <w:r>
        <w:t>Суть решения: Анализ конверсии маркетинговых кампаний банка по привлечению депозитов: расчет 3 KPI, построение 5 интерактивных визуализаций, сегментация клиентов и выявление ключевых паттернов (звонки длительностью 5+ минут обеспечивают трехкратный рост конверсии).</w:t>
        <w:br/>
      </w:r>
      <w:r>
        <w:rPr>
          <w:b/>
        </w:rPr>
        <w:t xml:space="preserve">Результат и артефакты: </w:t>
      </w:r>
      <w:r>
        <w:t>Интерактивный BI-дашборд с кросс-фильтрацией, прикладные рекомендации по оптимизации сезонных маркетинговых бюджетов.</w:t>
      </w:r>
    </w:p>
    <w:p>
      <w:pPr>
        <w:spacing w:before="200" w:after="60"/>
      </w:pPr>
      <w:r>
        <w:rPr>
          <w:b/>
          <w:color w:val="003366"/>
          <w:sz w:val="23"/>
        </w:rPr>
        <w:t>5. Продуктовые сервисы, Ритейл и E-commerce Аналитика</w:t>
      </w:r>
    </w:p>
    <w:p>
      <w:pPr>
        <w:spacing w:before="100" w:after="20"/>
      </w:pPr>
      <w:r>
        <w:rPr>
          <w:b/>
          <w:color w:val="004C87"/>
          <w:sz w:val="19"/>
        </w:rPr>
        <w:t>• StockFlow: ИИ-агент прогнозирования спроса и рекомендаций по закупкам в ритейле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Системный инженер (кросс-функциональная команда, 7 человек)</w:t>
        <w:br/>
      </w:r>
      <w:r>
        <w:rPr>
          <w:b/>
        </w:rPr>
        <w:t xml:space="preserve">Стек: </w:t>
      </w:r>
      <w:r>
        <w:t>Python, SQL, Time-Series ML, BPMN 2.0, User Stories, Scrumban, Jira.</w:t>
        <w:br/>
      </w:r>
      <w:r>
        <w:t>Суть решения: Проектирование архитектуры ИИ-агента для прогнозирования потребительского спроса на 14 дней вперед для розничной сети: формализация бизнес-процессов в BPMN, проектирование User Flow веб-интерфейса, постановка ТЗ для ML-модели и ETL-контуров, реестр рисков качества данных и координация спринтов команды.</w:t>
        <w:br/>
      </w:r>
      <w:r>
        <w:rPr>
          <w:b/>
        </w:rPr>
        <w:t xml:space="preserve">Результат и артефакты: </w:t>
      </w:r>
      <w:r>
        <w:t>Прототип с точностью ~75% на исторических данных, полный комплект проектных спецификаций, целевое снижение дефицита полок на 15%.</w:t>
      </w:r>
    </w:p>
    <w:p>
      <w:pPr>
        <w:spacing w:before="100" w:after="20"/>
      </w:pPr>
      <w:r>
        <w:rPr>
          <w:b/>
          <w:color w:val="004C87"/>
          <w:sz w:val="19"/>
        </w:rPr>
        <w:t>• Умный мониторинг рынка и цен конкурентов (E-commerce Retail Analytics)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Автор решения / Developer</w:t>
        <w:br/>
      </w:r>
      <w:r>
        <w:rPr>
          <w:b/>
        </w:rPr>
        <w:t xml:space="preserve">Стек: </w:t>
      </w:r>
      <w:r>
        <w:t>Python 3.9+, Pydantic v2, потоковая валидация данных, HTML5/CSS3 дашборды.</w:t>
        <w:br/>
      </w:r>
      <w:r>
        <w:t>Суть решения: Автоматический мониторинг ценообразования и складских остатков: детекция недобросовестного демпинга (&gt;20%), дефицита на складах конкурентов и всплесков рекламаций. Автоматическое формирование сводки управленческих рекомендаций для коммерческого директора.</w:t>
        <w:br/>
      </w:r>
      <w:r>
        <w:rPr>
          <w:b/>
        </w:rPr>
        <w:t xml:space="preserve">Результат и артефакты: </w:t>
      </w:r>
      <w:r>
        <w:t>Интерактивный адаптивный дашборд competitor_dashboard.html, машиночитаемый журнал сигналов competitor_analysis.json.</w:t>
      </w:r>
    </w:p>
    <w:p>
      <w:pPr>
        <w:spacing w:before="100" w:after="20"/>
      </w:pPr>
      <w:r>
        <w:rPr>
          <w:b/>
          <w:color w:val="004C87"/>
          <w:sz w:val="19"/>
        </w:rPr>
        <w:t>• DetailLab: Автоматизированный генератор отраслевого контента на базе LLM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Product Manager / Prompt Engineer</w:t>
        <w:br/>
      </w:r>
      <w:r>
        <w:rPr>
          <w:b/>
        </w:rPr>
        <w:t xml:space="preserve">Стек: </w:t>
      </w:r>
      <w:r>
        <w:t>Claude API, ChatGPT, Telegram Bot API, библиотека специализированных промптов, Google Sheets.</w:t>
        <w:br/>
      </w:r>
      <w:r>
        <w:t>Суть решения: Разработка Telegram-бота для владельцев детейлинг-центров: автоматическая генерация постов и описаний услуг с сохранением Tone of Voice. Проведение CustDev (интервью с 50+ предпринимателями), расчет юнит-экономики (LTV/CAC, модель монетизации по подписке).</w:t>
        <w:br/>
      </w:r>
      <w:r>
        <w:rPr>
          <w:b/>
        </w:rPr>
        <w:t xml:space="preserve">Результат и артефакты: </w:t>
      </w:r>
      <w:r>
        <w:t>Рабочий прототип бота, 78% контента принимается заказчиками без ручных правок, сокращение времени подготовки поста с 45 мин до 30 сек.</w:t>
      </w:r>
    </w:p>
    <w:p>
      <w:pPr>
        <w:spacing w:before="160" w:after="60"/>
      </w:pPr>
      <w:r>
        <w:rPr>
          <w:b/>
          <w:color w:val="003366"/>
          <w:sz w:val="23"/>
        </w:rPr>
        <w:t>6. Управленческий и продуктовый трек-рекорд (Delivery &amp; Scale)</w:t>
      </w:r>
    </w:p>
    <w:p>
      <w:pPr>
        <w:spacing w:before="40" w:after="20"/>
      </w:pPr>
      <w:r>
        <w:rPr>
          <w:b/>
          <w:color w:val="003366"/>
          <w:sz w:val="18"/>
        </w:rPr>
        <w:t>• Управление масштабными офлайн-событиями (до 3 000 участников)</w:t>
      </w:r>
    </w:p>
    <w:p>
      <w:pPr>
        <w:spacing w:after="20"/>
        <w:ind w:left="259"/>
      </w:pPr>
      <w:r>
        <w:rPr>
          <w:i/>
        </w:rPr>
        <w:t xml:space="preserve">Роль: Проджект-менеджер, организатор. </w:t>
      </w:r>
      <w:r>
        <w:t>Организация мероприятий крупного масштаба с привлечением более 10 субподрядчиков (звук/свет, безопасность, кейтеринг). 100% соблюдение сметы, полные аншлаги, эффективный кризис-менеджмент.</w:t>
      </w:r>
    </w:p>
    <w:p>
      <w:pPr>
        <w:spacing w:before="40" w:after="20"/>
      </w:pPr>
      <w:r>
        <w:rPr>
          <w:b/>
          <w:color w:val="003366"/>
          <w:sz w:val="18"/>
        </w:rPr>
        <w:t>• Федеральная партнерская интеграция с футбольным клубом «Зенит»</w:t>
      </w:r>
    </w:p>
    <w:p>
      <w:pPr>
        <w:spacing w:after="20"/>
        <w:ind w:left="259"/>
      </w:pPr>
      <w:r>
        <w:rPr>
          <w:i/>
        </w:rPr>
        <w:t xml:space="preserve">Роль: Координатор кампании, инфлюенсер. </w:t>
      </w:r>
      <w:r>
        <w:t>Прямые переговоры с PR-отделом клуба федерального уровня, согласование совместной медиа-стратегии. Выход сюжета на телеканале «78», высокий уровень вовлеченности аудитории.</w:t>
      </w:r>
    </w:p>
    <w:p>
      <w:pPr>
        <w:spacing w:before="40" w:after="20"/>
      </w:pPr>
      <w:r>
        <w:rPr>
          <w:b/>
          <w:color w:val="003366"/>
          <w:sz w:val="18"/>
        </w:rPr>
        <w:t>• Запуск и операционное руководство товарным бизнесом</w:t>
      </w:r>
    </w:p>
    <w:p>
      <w:pPr>
        <w:spacing w:after="20"/>
        <w:ind w:left="259"/>
      </w:pPr>
      <w:r>
        <w:rPr>
          <w:i/>
        </w:rPr>
        <w:t xml:space="preserve">Роль: Инициатор, операционный директор. </w:t>
      </w:r>
      <w:r>
        <w:t>CustDev-исследование ниши, аудит фабрик, брендинг, логистика и контроль маржинальности. Успешный запуск и выход на плановую окупаемость.</w:t>
      </w:r>
    </w:p>
    <w:p>
      <w:pPr>
        <w:spacing w:before="40" w:after="20"/>
      </w:pPr>
      <w:r>
        <w:rPr>
          <w:b/>
          <w:color w:val="003366"/>
          <w:sz w:val="18"/>
        </w:rPr>
        <w:t>• Организация спортивного турнира полного цикла</w:t>
      </w:r>
    </w:p>
    <w:p>
      <w:pPr>
        <w:spacing w:after="20"/>
        <w:ind w:left="259"/>
      </w:pPr>
      <w:r>
        <w:rPr>
          <w:i/>
        </w:rPr>
        <w:t xml:space="preserve">Роль: Инициатор и проджект-менеджер. </w:t>
      </w:r>
      <w:r>
        <w:t>Любительский турнир (12 команд, 200+ участников, зрители, судейская коллегия). Соблюдение сметы и сроков на 100%, получение плановой прибыли.</w:t>
      </w:r>
    </w:p>
    <w:p>
      <w:pPr>
        <w:spacing w:before="120" w:after="40"/>
      </w:pPr>
      <w:r>
        <w:rPr>
          <w:b/>
          <w:color w:val="003366"/>
          <w:sz w:val="23"/>
        </w:rPr>
        <w:t>7. Профессиональные принципы</w:t>
      </w:r>
    </w:p>
    <w:p>
      <w:pPr>
        <w:spacing w:after="20"/>
        <w:ind w:left="259"/>
      </w:pPr>
      <w:r>
        <w:rPr>
          <w:b/>
          <w:color w:val="0072CE"/>
        </w:rPr>
        <w:t>✔ Proof of Work:</w:t>
      </w:r>
      <w:r>
        <w:t xml:space="preserve"> Экспертиза подтверждается работающим кодом и готовыми артефактами, а не презентационными обещаниями.</w:t>
      </w:r>
    </w:p>
    <w:p>
      <w:pPr>
        <w:spacing w:after="20"/>
        <w:ind w:left="259"/>
      </w:pPr>
      <w:r>
        <w:rPr>
          <w:b/>
          <w:color w:val="0072CE"/>
        </w:rPr>
        <w:t>✔ System First:</w:t>
      </w:r>
      <w:r>
        <w:t xml:space="preserve"> Любая комплексная задача раскладывается на детерминированные процессы, строгие контракты данных и контрольные точки.</w:t>
      </w:r>
    </w:p>
    <w:p>
      <w:pPr>
        <w:spacing w:after="20"/>
        <w:ind w:left="259"/>
      </w:pPr>
      <w:r>
        <w:rPr>
          <w:b/>
          <w:color w:val="0072CE"/>
        </w:rPr>
        <w:t>✔ Синтез Бизнеса и ИТ:</w:t>
      </w:r>
      <w:r>
        <w:t xml:space="preserve"> Способность защищать экономический эффект (ROI) перед топ-менеджментом и самостоятельно проектировать архитектуру.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