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03366"/>
          <w:sz w:val="36"/>
        </w:rPr>
        <w:t>Лаврентий Ямпуров</w:t>
        <w:br/>
      </w:r>
      <w:r>
        <w:rPr>
          <w:b/>
          <w:color w:val="0072CE"/>
          <w:sz w:val="23"/>
        </w:rPr>
        <w:t>AI Product Manager • AI Solutions Architect • Lead Systems Analyst</w:t>
      </w:r>
    </w:p>
    <w:p>
      <w:pPr>
        <w:spacing w:after="120"/>
      </w:pPr>
      <w:r>
        <w:t>Контакты: +7 (981) 167-82-36 | ylv30072002@mail.ru | Telegram: @Lavr02 | Санкт-Петербург</w:t>
        <w:br/>
      </w:r>
      <w:r>
        <w:t>GitHub: github.com/Lavrentiy123 | Резюме актуально на 2026 год</w:t>
      </w:r>
    </w:p>
    <w:p>
      <w:pPr>
        <w:spacing w:before="160" w:after="40"/>
      </w:pPr>
      <w:r>
        <w:rPr>
          <w:b/>
          <w:color w:val="003366"/>
          <w:sz w:val="22"/>
        </w:rPr>
        <w:t>ЦЕЛЕВОЙ ПРОФИЛЬ И СИНЕРГИЯ КОМПЕТЕНЦИЙ</w:t>
      </w:r>
    </w:p>
    <w:p>
      <w:pPr>
        <w:spacing w:after="80" w:line="276" w:lineRule="auto"/>
      </w:pPr>
      <w:r>
        <w:t>Специалист редкого гибридного профиля: объединяю глубокое понимание архитектуры мультиагентных систем и прикладного машинного обучения с опытом управления цифровой трансформацией в тяжелой промышленности (ВГК) и академическим базисом в области стратегического менеджмента (Магистратура НИУ ИТМО по инноватике и стратегиям трансформации).</w:t>
        <w:br/>
        <w:t>Ключевой фокус: проектирование и сквозной запуск корпоративных ИИ-продуктов (Multi-Agent Systems, Advanced RAG, Predictive Maintenance, FastMCP, Decision Engines, On-Premise LLM) от выявления потребностей бизнеса и ТЗ до архитектуры, интеграции в ERP/DWH и защиты ROI перед C-level.</w:t>
      </w:r>
    </w:p>
    <w:p>
      <w:pPr>
        <w:spacing w:before="160" w:after="40"/>
      </w:pPr>
      <w:r>
        <w:rPr>
          <w:b/>
          <w:color w:val="003366"/>
          <w:sz w:val="22"/>
        </w:rPr>
        <w:t>КЛЮЧЕВЫЕ НАВЫКИ И ТЕХНОЛОГИЧЕСКИЙ СТЕК</w:t>
      </w:r>
    </w:p>
    <w:p>
      <w:pPr>
        <w:spacing w:after="30" w:line="264" w:lineRule="auto"/>
        <w:ind w:left="216"/>
      </w:pPr>
      <w:r>
        <w:rPr>
          <w:b/>
          <w:color w:val="004C87"/>
          <w:sz w:val="17"/>
        </w:rPr>
        <w:t xml:space="preserve">• Мультиагентные системы и LLM: </w:t>
      </w:r>
      <w:r>
        <w:rPr>
          <w:sz w:val="17"/>
        </w:rPr>
        <w:t>Multi-Agent Orchestration, LangGraph (StateGraph), Pydantic v2, FastMCP (Anthropic Model Context Protocol), Evaluator-Optimizer (Reflexion Loop), Prompt Engineering, On-Premise vLLM / Ollama (Qwen, DeepSeek).</w:t>
      </w:r>
    </w:p>
    <w:p>
      <w:pPr>
        <w:spacing w:after="30" w:line="264" w:lineRule="auto"/>
        <w:ind w:left="216"/>
      </w:pPr>
      <w:r>
        <w:rPr>
          <w:b/>
          <w:color w:val="004C87"/>
          <w:sz w:val="17"/>
        </w:rPr>
        <w:t xml:space="preserve">• Advanced RAG и Поиск: </w:t>
      </w:r>
      <w:r>
        <w:rPr>
          <w:sz w:val="17"/>
        </w:rPr>
        <w:t>Гибридный поиск (Dense bge-m3 + Sparse BM25 + RRF), кросс-энкодерный реранкинг (bge-reranker-large), Layout-парсеры (Docling, Marker), векторные базы Qdrant / Chroma, метрики качества Ragas.</w:t>
      </w:r>
    </w:p>
    <w:p>
      <w:pPr>
        <w:spacing w:after="30" w:line="264" w:lineRule="auto"/>
        <w:ind w:left="216"/>
      </w:pPr>
      <w:r>
        <w:rPr>
          <w:b/>
          <w:color w:val="004C87"/>
          <w:sz w:val="17"/>
        </w:rPr>
        <w:t xml:space="preserve">• Индустриальный ML и Big Data: </w:t>
      </w:r>
      <w:r>
        <w:rPr>
          <w:sz w:val="17"/>
        </w:rPr>
        <w:t>Python 3.9+, Scikit-learn, XGBoost, ClickHouse, Apache Spark streaming logic, MLflow, MLOps, анализ промышленной телеметрии (датчики MWD/LWD бурения, вибродиагностика насосов УЭЦН).</w:t>
      </w:r>
    </w:p>
    <w:p>
      <w:pPr>
        <w:spacing w:after="30" w:line="264" w:lineRule="auto"/>
        <w:ind w:left="216"/>
      </w:pPr>
      <w:r>
        <w:rPr>
          <w:b/>
          <w:color w:val="004C87"/>
          <w:sz w:val="17"/>
        </w:rPr>
        <w:t xml:space="preserve">• Системный и Бизнес-анализ: </w:t>
      </w:r>
      <w:r>
        <w:rPr>
          <w:sz w:val="17"/>
        </w:rPr>
        <w:t>BPMN 2.0, UML, User Stories, Use Cases, BRD / FRD, проектирование REST API, JSON-RPC, интеграции с 1C:ERP.</w:t>
      </w:r>
    </w:p>
    <w:p>
      <w:pPr>
        <w:spacing w:after="30" w:line="264" w:lineRule="auto"/>
        <w:ind w:left="216"/>
      </w:pPr>
      <w:r>
        <w:rPr>
          <w:b/>
          <w:color w:val="004C87"/>
          <w:sz w:val="17"/>
        </w:rPr>
        <w:t xml:space="preserve">• Product &amp; Delivery Management: </w:t>
      </w:r>
      <w:r>
        <w:rPr>
          <w:sz w:val="17"/>
        </w:rPr>
        <w:t>Agile, Scrum, Scrumban, приоритизация бэклога (RICE/ICE), юнит-экономика, CustDev, риск-менеджмент (Red Flags), стейкхолдер-менеджмент C-level.</w:t>
      </w:r>
    </w:p>
    <w:p>
      <w:pPr>
        <w:spacing w:after="30" w:line="264" w:lineRule="auto"/>
        <w:ind w:left="216"/>
      </w:pPr>
      <w:r>
        <w:rPr>
          <w:b/>
          <w:color w:val="004C87"/>
          <w:sz w:val="17"/>
        </w:rPr>
        <w:t xml:space="preserve">• BI и Отчетность: </w:t>
      </w:r>
      <w:r>
        <w:rPr>
          <w:sz w:val="17"/>
        </w:rPr>
        <w:t>Yandex DataLens, SQL, Excel/Power Query, программная генерация презентаций (python-pptx) и отчетов (python-docx).</w:t>
      </w:r>
    </w:p>
    <w:p>
      <w:pPr>
        <w:spacing w:before="160" w:after="40"/>
      </w:pPr>
      <w:r>
        <w:rPr>
          <w:b/>
          <w:color w:val="003366"/>
          <w:sz w:val="22"/>
        </w:rPr>
        <w:t>ОПЫТ РАБОТЫ</w:t>
      </w:r>
    </w:p>
    <w:p>
      <w:pPr>
        <w:spacing w:before="60" w:after="20"/>
      </w:pPr>
      <w:r>
        <w:rPr>
          <w:b/>
          <w:color w:val="003366"/>
          <w:sz w:val="19"/>
        </w:rPr>
        <w:t>Восточная горнорудная компания (ВГК) | Руководитель проектов цифровой трансформации</w:t>
      </w:r>
    </w:p>
    <w:p>
      <w:pPr>
        <w:spacing w:after="40"/>
      </w:pPr>
      <w:r>
        <w:rPr>
          <w:i/>
          <w:sz w:val="16"/>
        </w:rPr>
        <w:t>Август 2026 — настоящее время | Горнорудная промышленность, добыча и обогащение полезных ископаемых</w:t>
      </w:r>
    </w:p>
    <w:p>
      <w:pPr>
        <w:spacing w:after="30" w:line="269" w:lineRule="auto"/>
        <w:ind w:left="216"/>
      </w:pPr>
      <w:r>
        <w:rPr>
          <w:b/>
          <w:sz w:val="17"/>
        </w:rPr>
        <w:t xml:space="preserve">– Интеллектуальный агент обработки дефектов ТОиР: </w:t>
      </w:r>
      <w:r>
        <w:rPr>
          <w:sz w:val="17"/>
        </w:rPr>
        <w:t>спроектировал и внедрил автоматизированный контур парсинга сообщений мастеров из мессенджера MAX в 1C:ERP через API с RAG-поиском по регламентам ремонтов. Результат: резкое сокращение времени регистрации инцидентов и исключение ошибок ручного ввода.</w:t>
      </w:r>
    </w:p>
    <w:p>
      <w:pPr>
        <w:spacing w:after="30" w:line="269" w:lineRule="auto"/>
        <w:ind w:left="216"/>
      </w:pPr>
      <w:r>
        <w:rPr>
          <w:b/>
          <w:sz w:val="17"/>
        </w:rPr>
        <w:t xml:space="preserve">– Контур раннего предупреждения отказов оборудования (ГТО): </w:t>
      </w:r>
      <w:r>
        <w:rPr>
          <w:sz w:val="17"/>
        </w:rPr>
        <w:t>архитектура предиктивного мониторинга карьерных экскаваторов и самосвалов по телеметрии вибро- и термодатчиков. Переход к предиктивному обслуживанию (PdM).</w:t>
      </w:r>
    </w:p>
    <w:p>
      <w:pPr>
        <w:spacing w:after="30" w:line="269" w:lineRule="auto"/>
        <w:ind w:left="216"/>
      </w:pPr>
      <w:r>
        <w:rPr>
          <w:b/>
          <w:sz w:val="17"/>
        </w:rPr>
        <w:t xml:space="preserve">– Оценка эффективности буровзрывных работ (БВР): </w:t>
      </w:r>
      <w:r>
        <w:rPr>
          <w:sz w:val="17"/>
        </w:rPr>
        <w:t>автоматизация сопоставления параметров бурения и качества дробления породы для снижения себестоимости добычи.</w:t>
      </w:r>
    </w:p>
    <w:p>
      <w:pPr>
        <w:spacing w:before="80" w:after="20"/>
      </w:pPr>
      <w:r>
        <w:rPr>
          <w:b/>
          <w:color w:val="003366"/>
          <w:sz w:val="19"/>
        </w:rPr>
        <w:t>Руководитель прикладных ИИ-разработок и продуктовых решений | 2025 — настоящее время</w:t>
      </w:r>
    </w:p>
    <w:p>
      <w:pPr>
        <w:spacing w:after="40"/>
      </w:pPr>
      <w:r>
        <w:rPr>
          <w:i/>
          <w:sz w:val="16"/>
        </w:rPr>
        <w:t>Личные end-to-end проекты и разработка в партнерстве со специалистами из технологических компаний и отраслевых подразделений</w:t>
      </w:r>
    </w:p>
    <w:p>
      <w:pPr>
        <w:spacing w:after="30" w:line="269" w:lineRule="auto"/>
        <w:ind w:left="216"/>
      </w:pPr>
      <w:r>
        <w:rPr>
          <w:b/>
          <w:sz w:val="17"/>
        </w:rPr>
        <w:t xml:space="preserve">– Мультиагентный конвейер ДСИиУР (Газпром нефть): </w:t>
      </w:r>
      <w:r>
        <w:rPr>
          <w:sz w:val="17"/>
        </w:rPr>
        <w:t>сквозная система из 3 агентов на LangGraph: сбор отраслевых сигналов (Early Warnings), генерация инициатив с циклом рефлексии (Reflexion) по критериальной матрице, автоматическая сборка презентаций PPTX по брендбуку. Готовый прототип run.py, питч-дек на 21 слайд.</w:t>
      </w:r>
    </w:p>
    <w:p>
      <w:pPr>
        <w:spacing w:after="30" w:line="269" w:lineRule="auto"/>
        <w:ind w:left="216"/>
      </w:pPr>
      <w:r>
        <w:rPr>
          <w:b/>
          <w:sz w:val="17"/>
        </w:rPr>
        <w:t xml:space="preserve">– Multi-Agent Judge &amp; Reflexion System: </w:t>
      </w:r>
      <w:r>
        <w:rPr>
          <w:sz w:val="17"/>
        </w:rPr>
        <w:t>архитектурный контур из 4-х агентов по паттерну Anthropic Building Effective Agents (Evaluator-Optimizer) с метриками Ragas для гарантированного отсечения галлюцинаций в корпоративных отчетах.</w:t>
      </w:r>
    </w:p>
    <w:p>
      <w:pPr>
        <w:spacing w:after="30" w:line="269" w:lineRule="auto"/>
        <w:ind w:left="216"/>
      </w:pPr>
      <w:r>
        <w:rPr>
          <w:b/>
          <w:sz w:val="17"/>
        </w:rPr>
        <w:t xml:space="preserve">– OilGas FastMCP Server: </w:t>
      </w:r>
      <w:r>
        <w:rPr>
          <w:sz w:val="17"/>
        </w:rPr>
        <w:t>сервер контекста по стандарту Model Context Protocol (FastMCP + Qdrant) для семантического поиска по нормативной базе ТЭК (ГОСТ, СТО, ФНП) с миллисекундным временем отклика через stdio / JSON-RPC.</w:t>
      </w:r>
    </w:p>
    <w:p>
      <w:pPr>
        <w:spacing w:after="30" w:line="269" w:lineRule="auto"/>
        <w:ind w:left="216"/>
      </w:pPr>
      <w:r>
        <w:rPr>
          <w:b/>
          <w:sz w:val="17"/>
        </w:rPr>
        <w:t xml:space="preserve">– DrillSense (Предиктивное бурение): </w:t>
      </w:r>
      <w:r>
        <w:rPr>
          <w:sz w:val="17"/>
        </w:rPr>
        <w:t>ML-модель прогнозирования скорости проходки ROP по телеметрии MWD/LWD скважины 15/9-F-9 A (Equinor Volve Data Village). Точность R2 = 0.892, MAE = 2.41 м/ч.</w:t>
      </w:r>
    </w:p>
    <w:p>
      <w:pPr>
        <w:spacing w:after="30" w:line="269" w:lineRule="auto"/>
        <w:ind w:left="216"/>
      </w:pPr>
      <w:r>
        <w:rPr>
          <w:b/>
          <w:sz w:val="17"/>
        </w:rPr>
        <w:t xml:space="preserve">– PumpGuard (IoT MLOps): </w:t>
      </w:r>
      <w:r>
        <w:rPr>
          <w:sz w:val="17"/>
        </w:rPr>
        <w:t>высоконагруженный конвейер мониторинга фонда 500 погружных насосов УЭЦН (ClickHouse 5000 строк/сек + Spark + MLflow), расчет риска отказа за 72 часа до инцидента.</w:t>
      </w:r>
    </w:p>
    <w:p>
      <w:pPr>
        <w:spacing w:after="30" w:line="269" w:lineRule="auto"/>
        <w:ind w:left="216"/>
      </w:pPr>
      <w:r>
        <w:rPr>
          <w:b/>
          <w:sz w:val="17"/>
        </w:rPr>
        <w:t xml:space="preserve">– B2B Contract Risk Checker: </w:t>
      </w:r>
      <w:r>
        <w:rPr>
          <w:sz w:val="17"/>
        </w:rPr>
        <w:t>экспресс-аудит коммерческих договоров с детекцией Red Flags стоп-факторов и автогенерацией официального протокола разногласий на Pydantic v2.</w:t>
      </w:r>
    </w:p>
    <w:p>
      <w:pPr>
        <w:spacing w:after="30" w:line="269" w:lineRule="auto"/>
        <w:ind w:left="216"/>
      </w:pPr>
      <w:r>
        <w:rPr>
          <w:b/>
          <w:sz w:val="17"/>
        </w:rPr>
        <w:t xml:space="preserve">– StockFlow (Ритейл): </w:t>
      </w:r>
      <w:r>
        <w:rPr>
          <w:sz w:val="17"/>
        </w:rPr>
        <w:t>системная инженерия ИИ-агента прогнозирования спроса на 14 дней вперед в команде из 7 человек, точность ~75%, целевое снижение дефицита полок на 15%.</w:t>
      </w:r>
    </w:p>
    <w:p>
      <w:pPr>
        <w:spacing w:after="30" w:line="269" w:lineRule="auto"/>
        <w:ind w:left="216"/>
      </w:pPr>
      <w:r>
        <w:rPr>
          <w:b/>
          <w:sz w:val="17"/>
        </w:rPr>
        <w:t xml:space="preserve">– Telecom Churn &amp; Bank Marketing: </w:t>
      </w:r>
      <w:r>
        <w:rPr>
          <w:sz w:val="17"/>
        </w:rPr>
        <w:t>модель прогнозирования оттока клиентов (XGBoost, AUC-ROC = 0.8425) и интерактивный BI-дашборд в Yandex DataLens по 41 000+ контактов.</w:t>
      </w:r>
    </w:p>
    <w:p>
      <w:pPr>
        <w:spacing w:before="160" w:after="40"/>
      </w:pPr>
      <w:r>
        <w:rPr>
          <w:b/>
          <w:color w:val="003366"/>
          <w:sz w:val="22"/>
        </w:rPr>
        <w:t>УПРАВЛЕНЧЕСКИЙ ТРЕК-РЕКОРД И ПРЕДПРИНИМАТЕЛЬСТВО</w:t>
      </w:r>
    </w:p>
    <w:p>
      <w:pPr>
        <w:spacing w:after="30" w:line="264" w:lineRule="auto"/>
        <w:ind w:left="216"/>
      </w:pPr>
      <w:r>
        <w:rPr>
          <w:sz w:val="17"/>
        </w:rPr>
        <w:t>• Организация масштабных офлайн-мероприятий (до 3 000 участников) с 10+ субподрядчиками: 100% соблюдение сметы, успешный кризис-менеджмент.</w:t>
      </w:r>
    </w:p>
    <w:p>
      <w:pPr>
        <w:spacing w:after="30" w:line="264" w:lineRule="auto"/>
        <w:ind w:left="216"/>
      </w:pPr>
      <w:r>
        <w:rPr>
          <w:sz w:val="17"/>
        </w:rPr>
        <w:t>• Федеральная партнерская интеграция с ФК «Зенит»: прямые переговоры с PR-отделом клуба, федеральные охваты, сюжет на телеканале «78».</w:t>
      </w:r>
    </w:p>
    <w:p>
      <w:pPr>
        <w:spacing w:after="30" w:line="264" w:lineRule="auto"/>
        <w:ind w:left="216"/>
      </w:pPr>
      <w:r>
        <w:rPr>
          <w:sz w:val="17"/>
        </w:rPr>
        <w:t>• Запуск товарного e-commerce бизнеса: CustDev ниши, аудит фабрик, брендинг, логистика, аналитика, рост продаж на 300%.</w:t>
      </w:r>
    </w:p>
    <w:p>
      <w:pPr>
        <w:spacing w:after="30" w:line="264" w:lineRule="auto"/>
        <w:ind w:left="216"/>
      </w:pPr>
      <w:r>
        <w:rPr>
          <w:sz w:val="17"/>
        </w:rPr>
        <w:t>• Организация футбольного турнира полного цикла в СПб на 200+ участников (12 команд, спонсорские контракты на 500 тыс. руб., плановая прибыль).</w:t>
      </w:r>
    </w:p>
    <w:p>
      <w:pPr>
        <w:spacing w:before="160" w:after="40"/>
      </w:pPr>
      <w:r>
        <w:rPr>
          <w:b/>
          <w:color w:val="003366"/>
          <w:sz w:val="22"/>
        </w:rPr>
        <w:t>ОБРАЗОВАНИЕ И КВАЛИФИКАЦИЯ</w:t>
      </w:r>
    </w:p>
    <w:p>
      <w:pPr>
        <w:spacing w:after="30" w:line="264" w:lineRule="auto"/>
        <w:ind w:left="216"/>
      </w:pPr>
      <w:r>
        <w:rPr>
          <w:b/>
          <w:sz w:val="17"/>
        </w:rPr>
        <w:t>• 2025 — 2027 (Магистратура): Национальный исследовательский университет ИТМО, Санкт-Петербург</w:t>
        <w:br/>
        <w:t xml:space="preserve">  </w:t>
      </w:r>
      <w:r>
        <w:rPr>
          <w:sz w:val="17"/>
        </w:rPr>
        <w:t>Факультет технологий менеджмента и инноваций. Направление: «Технологии и стратегии бизнес-трансформации, Инноватика». Научный фокус: применение LLM и мультиагентных систем в корпоративной аналитике и трансформации.</w:t>
      </w:r>
    </w:p>
    <w:p>
      <w:pPr>
        <w:spacing w:after="30" w:line="264" w:lineRule="auto"/>
        <w:ind w:left="216"/>
      </w:pPr>
      <w:r>
        <w:rPr>
          <w:b/>
          <w:sz w:val="17"/>
        </w:rPr>
        <w:t>• 2021 — 2025 (Бакалавриат): СПбГУТ им. проф. М.А. Бонч-Бруевича, Санкт-Петербург</w:t>
        <w:br/>
        <w:t xml:space="preserve">  </w:t>
      </w:r>
      <w:r>
        <w:rPr>
          <w:sz w:val="17"/>
        </w:rPr>
        <w:t>ЦЭУБИ. Направление: «Менеджмент цифровых технологий». ВКР: «Анализ потребительского поведения на основе больших данных».</w:t>
      </w:r>
    </w:p>
    <w:p>
      <w:pPr>
        <w:spacing w:after="30" w:line="264" w:lineRule="auto"/>
        <w:ind w:left="216"/>
      </w:pPr>
      <w:r>
        <w:rPr>
          <w:b/>
          <w:sz w:val="17"/>
        </w:rPr>
        <w:t>• Профессиональная переподготовка: СПбГУТ им. Бонч-Бруевича</w:t>
        <w:br/>
        <w:t xml:space="preserve">  </w:t>
      </w:r>
      <w:r>
        <w:rPr>
          <w:sz w:val="17"/>
        </w:rPr>
        <w:t>Программа «Основы программирования и технологий искусственного интеллекта в экономике и финансах». Квалификация: Специалист по информационным системам.</w:t>
      </w:r>
    </w:p>
    <w:p>
      <w:pPr>
        <w:spacing w:before="160" w:after="40"/>
      </w:pPr>
      <w:r>
        <w:rPr>
          <w:b/>
          <w:color w:val="003366"/>
          <w:sz w:val="22"/>
        </w:rPr>
        <w:t>ДОСТИЖЕНИЯ И ДОПОЛНИТЕЛЬНАЯ ИНФОРМАЦИЯ</w:t>
      </w:r>
    </w:p>
    <w:p>
      <w:pPr>
        <w:spacing w:after="30" w:line="264" w:lineRule="auto"/>
        <w:ind w:left="216"/>
      </w:pPr>
      <w:r>
        <w:rPr>
          <w:sz w:val="17"/>
        </w:rPr>
        <w:t>✔ Двукратный финалист Финансовой олимпиады МГУ.</w:t>
      </w:r>
    </w:p>
    <w:p>
      <w:pPr>
        <w:spacing w:after="30" w:line="264" w:lineRule="auto"/>
        <w:ind w:left="216"/>
      </w:pPr>
      <w:r>
        <w:rPr>
          <w:sz w:val="17"/>
        </w:rPr>
        <w:t>✔ Выпускник Лидерской программы Evercode: Business Development Manager.</w:t>
      </w:r>
    </w:p>
    <w:p>
      <w:pPr>
        <w:spacing w:after="30" w:line="264" w:lineRule="auto"/>
        <w:ind w:left="216"/>
      </w:pPr>
      <w:r>
        <w:rPr>
          <w:sz w:val="17"/>
        </w:rPr>
        <w:t>✔ Кандидат в мастера спорта (КМС) по дзюдо; член сборной Университета ИТМО по футболу.</w:t>
      </w:r>
    </w:p>
    <w:p>
      <w:pPr>
        <w:spacing w:after="30" w:line="264" w:lineRule="auto"/>
        <w:ind w:left="216"/>
      </w:pPr>
      <w:r>
        <w:rPr>
          <w:sz w:val="17"/>
        </w:rPr>
        <w:t>✔ Языки: Русский (родной), Английский (B2 — Upper-Intermediate / профессиональная ИТ-терминология).</w:t>
      </w:r>
    </w:p>
    <w:sectPr w:rsidR="00FC693F" w:rsidRPr="0006063C" w:rsidSect="00034616">
      <w:pgSz w:w="12240" w:h="15840"/>
      <w:pgMar w:top="720" w:right="936" w:bottom="72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