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4D99"/>
          <w:sz w:val="44"/>
        </w:rPr>
        <w:t>КОМПЛЕКСНОЕ РУКОВОДСТВО И АРХИТЕКТУРНЫЙ ОТЧЕТ</w:t>
      </w:r>
    </w:p>
    <w:p>
      <w:pPr>
        <w:jc w:val="center"/>
      </w:pPr>
      <w:r>
        <w:rPr>
          <w:color w:val="555555"/>
          <w:sz w:val="28"/>
        </w:rPr>
        <w:t>Разработка системы сквозных ИИ-агентов для Департамента по стратегии, инновациям и устойчивому развитию (ДСИиУР) ПАО «Газпром нефть»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Кандидат / Ведущий разработчик:</w:t>
            </w:r>
          </w:p>
        </w:tc>
        <w:tc>
          <w:tcPr>
            <w:tcW w:type="dxa" w:w="49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Лаврентий</w:t>
            </w:r>
          </w:p>
        </w:tc>
      </w:tr>
      <w:tr>
        <w:tc>
          <w:tcPr>
            <w:tcW w:type="dxa" w:w="4968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Целевая структура:</w:t>
            </w:r>
          </w:p>
        </w:tc>
        <w:tc>
          <w:tcPr>
            <w:tcW w:type="dxa" w:w="49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ДСИиУР ПАО «Газпром нефть» (СПб, Почтамтская, 3-5)</w:t>
            </w:r>
          </w:p>
        </w:tc>
      </w:tr>
      <w:tr>
        <w:tc>
          <w:tcPr>
            <w:tcW w:type="dxa" w:w="4968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Горизонт реализации PoC:</w:t>
            </w:r>
          </w:p>
        </w:tc>
        <w:tc>
          <w:tcPr>
            <w:tcW w:type="dxa" w:w="49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Сентябрь – Декабрь (3 последовательных агента)</w:t>
            </w:r>
          </w:p>
        </w:tc>
      </w:tr>
    </w:tbl>
    <w:p>
      <w:pPr>
        <w:spacing w:after="280"/>
      </w:pPr>
    </w:p>
    <w:p>
      <w:pPr>
        <w:spacing w:before="360" w:after="120"/>
      </w:pPr>
      <w:r>
        <w:rPr>
          <w:b/>
          <w:color w:val="004D99"/>
          <w:sz w:val="32"/>
        </w:rPr>
        <w:t>1. ВВЕДЕНИЕ И СТРАТЕГИЧЕСКИЙ КОНТЕКСТ</w:t>
      </w:r>
    </w:p>
    <w:p>
      <w:pPr>
        <w:spacing w:before="240" w:after="80"/>
      </w:pPr>
      <w:r>
        <w:rPr>
          <w:b/>
          <w:color w:val="0066CC"/>
          <w:sz w:val="26"/>
        </w:rPr>
        <w:t>1.1. Проблематика и бизнес-заказчик</w:t>
      </w:r>
    </w:p>
    <w:p>
      <w:r>
        <w:t>Департамент по стратегии, инновациям и устойчивому развитию (ДСИиУР) ПАО «Газпром нефть» выполняет роль аналитического и стратегического ядра компании. В его задачи входит регулярный мониторинг рынков углеводородов, зеленых технологий, оборудования, подготовка ежемесячных дайджестов для руководства, а также разработка и каскадирование стратегических инициатив на профильные департаменты (Бурение, Логистика, ИТ, Капстроительство) и Дочерние общества (ДО).</w:t>
      </w:r>
    </w:p>
    <w:p>
      <w:r>
        <w:t>Главная проблема традиционного процесса — высокая доля ручного труда аналитиков (до 70% времени уходит на сбор, чтение сотен страниц отчетов и верстку слайдов) и «коммуникационный разрыв» между глобальной стратегией и потребностями конкретных подразделений, которым требуются адресные выжимки на их профессиональном языке.</w:t>
      </w:r>
    </w:p>
    <w:p>
      <w:pPr>
        <w:spacing w:before="240" w:after="80"/>
      </w:pPr>
      <w:r>
        <w:rPr>
          <w:b/>
          <w:color w:val="0066CC"/>
          <w:sz w:val="26"/>
        </w:rPr>
        <w:t>1.2. Концепция трех сквозных агентов</w:t>
      </w:r>
    </w:p>
    <w:p>
      <w:r>
        <w:t>Проект решает эту задачу через построение автоматизированного конвейера из 3-х агентов:</w:t>
        <w:br/>
        <w:t>1. Агент-Аналитик (Сентябрь): автономно собирает открытые данные, ведет мониторинг рынков, формирует аналитическую справку, дайджест, выявляет сигналы раннего предупреждения и строит бенчмарк стратегий конкурентов.</w:t>
        <w:br/>
        <w:t>2. Агент-Стратег (Октябрь): на базе аналитики первого агента генерирует стратегические сценарии и инициативы (SWOT, PESTEL), прогоняя их через внутренний модуль критики (Generator-Critic).</w:t>
        <w:br/>
        <w:t>3. Агент-Презентатор / Адаптер (Ноябрь): адаптирует стратегические инициативы под конкретный профиль подразделения (ИТ, Логистика и т.д.) и генерирует структурированные презентации (.pptx) по корпоративному шаблону.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BF3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04D99"/>
              </w:rPr>
              <w:t>[ПРИНЦИП РАЗДЕЛЕНИЯ КОНТУРОВ]</w:t>
              <w:br/>
            </w:r>
            <w:r>
              <w:rPr>
                <w:sz w:val="21"/>
              </w:rPr>
              <w:t>Разработка ведется во ВНЕШНЕМ КОНТУРЕ на синтетических данных и открытых источниках без передачи конфиденциальной информации наружу. Архитектура проектируется как Model-Agnostic, что гарантирует мгновенный перенос в закрытый внутренний контур (On-Premise) на серверы компании с моделями Qwen 2.5 / DeepSeek через vLLM простой сменой адреса эндпоинта.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b/>
          <w:color w:val="004D99"/>
          <w:sz w:val="32"/>
        </w:rPr>
        <w:t>2. DEEP RESEARCH: МИРОВОЙ И ОТРАСЛЕВОЙ ОПЫТ (БЕНЧМАРКИ)</w:t>
      </w:r>
    </w:p>
    <w:p>
      <w:r>
        <w:t>• McKinsey &amp; Company (Платформа Lilli): Летом 2023 г. внедрена агентная платформа Lilli, аккумулирующая свыше 100 000 исследований. Агенты синтезируют аналитические мемо и драфты слайдов, сокращая подготовку первичной стратегии с 2 недель до 2 часов.</w:t>
        <w:br/>
        <w:t>• Boston Consulting Group (BCG GeneAI): Агентный конвейер использует фактологический фильтр (Fact-Checking Agent) и программную сборку векторных презентаций (OpenXML/python-pptx), исключая галлюцинации и сохраняя возможность ручной доработки слайдов.</w:t>
        <w:br/>
        <w:t>• Нефтегазовый сектор (Saudi Aramco, Shell, BP): Модели Aramco Metis ведут непрерывный мониторинг рынков сырья и судоходства. Shell отслеживает патентную активность в водородной энергетике и CCUS. BP сократила время подготовки экологических отчетов на 45%.</w:t>
        <w:br/>
        <w:t>• Российская практика (Сбер, Сибур, Газпромбанк): Сбер активно масштабирует агентные графы (GigaChain) в анализе заемщиков; Сибур применяет локальные RAG для мониторинга котировок полимеров; Газпромбанк автоматизирует инвест-меморандумы.</w:t>
      </w:r>
    </w:p>
    <w:p>
      <w:pPr>
        <w:spacing w:before="360" w:after="120"/>
      </w:pPr>
      <w:r>
        <w:rPr>
          <w:b/>
          <w:color w:val="004D99"/>
          <w:sz w:val="32"/>
        </w:rPr>
        <w:t>3. ТЕОРЕТИЧЕСКАЯ БАЗА И АРХИТЕКТУРНЫЕ ПАТТЕРНЫ</w:t>
      </w:r>
    </w:p>
    <w:p>
      <w:r>
        <w:t>1. Мультиагентные системы и паттерн ReAct (Reasoning + Acting): автономный цикл «Мысль -&gt; Действие (вызов тула) -&gt; Наблюдение».</w:t>
        <w:br/>
        <w:t>2. Паттерн Reflexion (Generator-Critic): ключевой механизм Агента 2. Нода-Стратег генерирует гипотезы, а Нода-Критик проверяет их на реализуемость и регуляторные риски до тех пор, пока оценка не превысит заданный порог.</w:t>
        <w:br/>
        <w:t>3. Advanced RAG vs Naive RAG: в сложных отчетах ТЭК наивный векторный поиск теряет таблицы и разрывает термины. Применяется layout-aware парсинг (Docling/Marker), иерархический чанкинг, гибридный поиск (Dense Vectors + BM25 с RRF) и кросс-энкодерный реранкинг (Re-ranking), снижающий галлюцинации на 90%.</w:t>
        <w:br/>
        <w:t>4. Обучение и адаптация (DSPy &amp; LoRA): использование стэнфордского фреймворка DSPy для автоматической алгоритмической оптимизации промптов под метрики точности, а также готовность к LoRA/QLoRA дообучению открытых моделей для закрытого контура.</w:t>
        <w:br/>
        <w:t>5. Стратегические методологии: SWOT, PESTEL, Матрица Ансоффа и Принцип Пирамиды Минто (главный вывод в заголовке слайда, затем аргументы и цифровые факты).</w:t>
      </w:r>
    </w:p>
    <w:p>
      <w:pPr>
        <w:spacing w:before="360" w:after="120"/>
      </w:pPr>
      <w:r>
        <w:rPr>
          <w:b/>
          <w:color w:val="004D99"/>
          <w:sz w:val="32"/>
        </w:rPr>
        <w:t>4. ТЕХНОЛОГИЧЕСКИЙ СТЕК И ОБОСНОВАНИЕ ВЫБОРА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04D9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Уровень</w:t>
            </w:r>
          </w:p>
        </w:tc>
        <w:tc>
          <w:tcPr>
            <w:tcW w:type="dxa" w:w="3312"/>
            <w:shd w:val="clear" w:color="auto" w:fill="004D9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Инструмент</w:t>
            </w:r>
          </w:p>
        </w:tc>
        <w:tc>
          <w:tcPr>
            <w:tcW w:type="dxa" w:w="3312"/>
            <w:shd w:val="clear" w:color="auto" w:fill="004D9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Назначение и преимущество</w:t>
            </w:r>
          </w:p>
        </w:tc>
      </w:tr>
      <w:tr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Оркестрация</w:t>
            </w:r>
          </w:p>
        </w:tc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LangGraph</w:t>
            </w:r>
          </w:p>
        </w:tc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Детерминированные циклические графы, управление памятью, Human-in-the-Loop.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Контракты данных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Pydantic v2 + Instructor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Гарантия строгого типизированного JSON между всеми агентами.</w:t>
            </w:r>
          </w:p>
        </w:tc>
      </w:tr>
      <w:tr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Слой абстракции</w:t>
            </w:r>
          </w:p>
        </w:tc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LiteLLM</w:t>
            </w:r>
          </w:p>
        </w:tc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Единый интерфейс к 100+ LLM. Моментальная смена облачной модели на On-Prem.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Парсинг документов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Docling / Marker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Извлечение таблиц и древовидной структуры из отраслевых PDF.</w:t>
            </w:r>
          </w:p>
        </w:tc>
      </w:tr>
      <w:tr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Поисковый слой</w:t>
            </w:r>
          </w:p>
        </w:tc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Tavily Search API</w:t>
            </w:r>
          </w:p>
        </w:tc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Очищенный от рекламы и разметки веб-поиск специально под RAG.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Векторное хранилище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Qdrant / ChromaDB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Быстрый поиск, локальное хранение в Docker, переносимость в прод.</w:t>
            </w:r>
          </w:p>
        </w:tc>
      </w:tr>
      <w:tr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Сборка слайдов</w:t>
            </w:r>
          </w:p>
        </w:tc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python-pptx</w:t>
            </w:r>
          </w:p>
        </w:tc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Автоматическое заполнение корпоративных мастер-шаблонов PowerPoint.</w:t>
            </w:r>
          </w:p>
        </w:tc>
      </w:tr>
    </w:tbl>
    <w:p>
      <w:pPr>
        <w:spacing w:before="360" w:after="120"/>
      </w:pPr>
      <w:r>
        <w:rPr>
          <w:b/>
          <w:color w:val="004D99"/>
          <w:sz w:val="32"/>
        </w:rPr>
        <w:t>5. ДЕТАЛЬНОЕ ПРОЕКТИРОВАНИЕ АГЕНТОВ (PIPELINE)</w:t>
      </w:r>
    </w:p>
    <w:p>
      <w:r>
        <w:t>• Агент 1 (Рыночный Аналитик): Ingestion -&gt; Chunking -&gt; Vector/BM25 Index -&gt; Synthesizer Node. Формирует дайджест, справку, детектирует ранние сигналы тревоги (Early Warnings) и строит карту стратегий конкурентов.</w:t>
        <w:br/>
        <w:t>• Агент 2 (Корпоративный Стратег): получает структурированный JSON от Аналитика, накладывает профиль стратегии (цели компании, горизонт 2026-2030, риск-аппетит), запускает генерацию инициатив и верифицирует их в ноде Критика.</w:t>
        <w:br/>
        <w:t>• Агент 3 (Адаптер и Презентатор): хранит библиотеку профилей отделов (YAML), фильтрует глобальные инициативы, переводит терминологию на понятный язык подразделения и через python-pptx собирает готовую презентацию.</w:t>
      </w:r>
    </w:p>
    <w:p>
      <w:pPr>
        <w:spacing w:before="360" w:after="120"/>
      </w:pPr>
      <w:r>
        <w:rPr>
          <w:b/>
          <w:color w:val="004D99"/>
          <w:sz w:val="32"/>
        </w:rPr>
        <w:t>6. СИСТЕМА МЕТРИК И КОНТРОЛЬ КАЧЕСТВА</w:t>
      </w:r>
    </w:p>
    <w:p>
      <w:r>
        <w:t>1. Метрики RAG (Ragas Framework):</w:t>
        <w:br/>
        <w:t xml:space="preserve">   - Faithfulness (&gt; 0.95): процент утверждений, подтвержденных цитатами первоисточников.</w:t>
        <w:br/>
        <w:t xml:space="preserve">   - Answer Relevancy (&gt; 0.90): смысловое соответствие исходному запросу.</w:t>
        <w:br/>
        <w:t xml:space="preserve">   - Context Precision (&gt; 0.85): отсутствие информационного шума в выборке.</w:t>
        <w:br/>
        <w:t>2. Бизнес-метрики: Actionability Score (конкретность шагов, сроков и KPI) и Adoption Rate (доля тезисов, принятых экспертами).</w:t>
        <w:br/>
        <w:t>3. Пирамида тестов: Unit-тесты контрактов Pydantic -&gt; Интеграционные тесты переходов в графе -&gt; LLM-as-a-judge на синтетических бенчмарках.</w:t>
      </w:r>
    </w:p>
    <w:p>
      <w:pPr>
        <w:spacing w:before="360" w:after="120"/>
      </w:pPr>
      <w:r>
        <w:rPr>
          <w:b/>
          <w:color w:val="004D99"/>
          <w:sz w:val="32"/>
        </w:rPr>
        <w:t>7. ЧЕК-ЛИСТ ЗАПРОСОВ К ЗАКАЗЧИКУ (ЧТО ПОНАДОБИТСЯ ДЛЯ СТАРТА)</w:t>
      </w:r>
    </w:p>
    <w:p>
      <w:pPr>
        <w:ind w:left="288"/>
      </w:pPr>
      <w:r>
        <w:t>1. 2–3 эталонных исторических отчета или дайджеста ДСИиУР («золотой стандарт» структуры и стиля).</w:t>
      </w:r>
    </w:p>
    <w:p>
      <w:pPr>
        <w:ind w:left="288"/>
      </w:pPr>
      <w:r>
        <w:t>2. Официальный корпоративный .pptx шаблон с мастер-слайдами, цветовой палитрой и шрифтами компании.</w:t>
      </w:r>
    </w:p>
    <w:p>
      <w:pPr>
        <w:ind w:left="288"/>
      </w:pPr>
      <w:r>
        <w:t>3. Список 2–3 пилотных подразделений (например: ИТ, Логистика, Бурение) для тестирования Агента 3.</w:t>
      </w:r>
    </w:p>
    <w:p>
      <w:pPr>
        <w:ind w:left="288"/>
      </w:pPr>
      <w:r>
        <w:t>4. Перечень приоритетных открытых источников (отраслевые порталы, сайты министерств, агентства).</w:t>
      </w:r>
    </w:p>
    <w:p>
      <w:pPr>
        <w:ind w:left="288"/>
      </w:pPr>
      <w:r>
        <w:t>5. Лимиты на API-ключи (Claude, OpenAI, Tavily) или тестовая ВМ для развертывания стенда разработки.</w:t>
      </w:r>
    </w:p>
    <w:p>
      <w:pPr>
        <w:spacing w:before="360" w:after="120"/>
      </w:pPr>
      <w:r>
        <w:rPr>
          <w:b/>
          <w:color w:val="004D99"/>
          <w:sz w:val="32"/>
        </w:rPr>
        <w:t>8. БИБЛИОТЕКА ЗНАНИЙ: ВИДЕО, КУРСЫ И ССЫЛКИ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BF3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04D99"/>
              </w:rPr>
              <w:t>[ИНСТРУКЦИЯ ПО ПРОСМОТРУ]</w:t>
              <w:br/>
            </w:r>
            <w:r>
              <w:rPr>
                <w:sz w:val="21"/>
              </w:rPr>
              <w:t>Все приведенные англоязычные видеоролики можно открыть в Яндекс Браузере — встроенный нейросетевой переводчик автоматически переведет и озвучит видео на русском языке в реальном времени. В YouTube также доступны русские субтитры.</w:t>
            </w:r>
          </w:p>
        </w:tc>
      </w:tr>
    </w:tbl>
    <w:p>
      <w:pPr>
        <w:spacing w:after="120"/>
      </w:pPr>
    </w:p>
    <w:p>
      <w:r>
        <w:rPr>
          <w:b/>
        </w:rPr>
        <w:t>• LangGraph: Полный курс по мультиагентным системам (Harrison Chase)</w:t>
        <w:br/>
      </w:r>
      <w:r>
        <w:rPr>
          <w:color w:val="0066CC"/>
        </w:rPr>
        <w:t xml:space="preserve">  Ссылка: https://www.youtube.com/watch?v=hvAPnpchsKA</w:t>
        <w:br/>
      </w:r>
      <w:r>
        <w:t xml:space="preserve">  О чем: Базовый мастер-класс от CEO LangChain. Разбор StateGraph, памяти и координации агентов.</w:t>
      </w:r>
    </w:p>
    <w:p>
      <w:r>
        <w:rPr>
          <w:b/>
        </w:rPr>
        <w:t>• LangGraph: Мультиагентные рабочие процессы и супервизоры</w:t>
        <w:br/>
      </w:r>
      <w:r>
        <w:rPr>
          <w:color w:val="0066CC"/>
        </w:rPr>
        <w:t xml:space="preserve">  Ссылка: https://www.youtube.com/watch?v=pqge1cJ7Uhg</w:t>
        <w:br/>
      </w:r>
      <w:r>
        <w:t xml:space="preserve">  О чем: Практическое создание агентных пайплайнов с передачей строгих состояний.</w:t>
      </w:r>
    </w:p>
    <w:p>
      <w:r>
        <w:rPr>
          <w:b/>
        </w:rPr>
        <w:t>• Stanford DSPy: Алгоритмическая компиляция промптов (Omar Khattab)</w:t>
        <w:br/>
      </w:r>
      <w:r>
        <w:rPr>
          <w:color w:val="0066CC"/>
        </w:rPr>
        <w:t xml:space="preserve">  Ссылка: https://www.youtube.com/watch?v=kYRB-v9RjXw</w:t>
        <w:br/>
      </w:r>
      <w:r>
        <w:t xml:space="preserve">  О чем: Выступление автора DSPy в Стэнфорде: замена ручного промптинга на оптимизацию под метрики.</w:t>
      </w:r>
    </w:p>
    <w:p>
      <w:r>
        <w:rPr>
          <w:b/>
        </w:rPr>
        <w:t>• Advanced RAG: Hybrid Search, Reranking &amp; Ragas (FreeCodeCamp)</w:t>
        <w:br/>
      </w:r>
      <w:r>
        <w:rPr>
          <w:color w:val="0066CC"/>
        </w:rPr>
        <w:t xml:space="preserve">  Ссылка: Поиск на YouTube: Advanced RAG tutorial hybrid search reranking FreeCodeCamp</w:t>
        <w:br/>
      </w:r>
      <w:r>
        <w:t xml:space="preserve">  О чем: Полный курс: парсинг таблиц, BM25+Dense поиск, реранкеры и борьба с галлюцинациями.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