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2CE"/>
          <w:sz w:val="20"/>
        </w:rPr>
        <w:t>ДЕПАРТАМЕНТ СТРАТЕГИЧЕСКИХ ИНИЦИАТИВ И УПРАВЛЕНИЯ РАЗВИТИЕМ</w:t>
        <w:br/>
      </w:r>
      <w:r>
        <w:rPr>
          <w:b/>
          <w:color w:val="003366"/>
          <w:sz w:val="36"/>
        </w:rPr>
        <w:t>Оперативный дайджест мультиагентного анализа и каскадирования</w:t>
      </w:r>
    </w:p>
    <w:p>
      <w:r>
        <w:t>Временная метка: 2026-09-16 08:23:36 | Выпуск: RUN_20260916_082336 | Режим: ONLINE_LIVE_PARSING</w:t>
        <w:br/>
      </w:r>
    </w:p>
    <w:p>
      <w:r>
        <w:rPr>
          <w:b/>
          <w:color w:val="004C87"/>
          <w:sz w:val="26"/>
        </w:rPr>
        <w:t>1. Результат работы Агента 1 (Аналитик-Исследователь)</w:t>
      </w:r>
    </w:p>
    <w:p>
      <w:r>
        <w:rPr>
          <w:b/>
        </w:rPr>
        <w:t>• Идентифицированная угроза: WSJ: нефтяные компании США объявили о начале глобального топливного кризиса</w:t>
        <w:br/>
      </w:r>
      <w:r>
        <w:t>• Источник: Коммерсантъ Бизнес / ТЭК (Живой онлайн-парсинг: ДА)</w:t>
        <w:br/>
      </w:r>
      <w:r>
        <w:t>• Критичность: Высокая | Затронутый сектор: Экспортная инфраструктура и макроэкономика ТЭК</w:t>
        <w:br/>
      </w:r>
      <w:r>
        <w:t>• Затронутые активы: ПАО «Газпром нефть» (Корпоративный центр), ООО «Газпромнефть-Заполярье»</w:t>
        <w:br/>
      </w:r>
      <w:r>
        <w:t>• Суть фактора риска: Глобальный топливный кризис, о котором предупреждали крупнейшие нефтяные компании мира, уже наступил. Руководители американских Chevron и ExxonMobil заявляют, что длительная блокировка Ормузского пролива и атака на нефтепровод «Восток -- Запад» в Саудовской Аравии привели к серьезным перебоям в поставках, пишет The Wall Street Journal (WSJ).</w:t>
        <w:br/>
      </w:r>
    </w:p>
    <w:p>
      <w:r>
        <w:rPr>
          <w:b/>
          <w:color w:val="004C87"/>
          <w:sz w:val="26"/>
        </w:rPr>
        <w:t>2. Результат работы Агента 2 (Стратег-Методолог с контуром Reflexion)</w:t>
      </w:r>
    </w:p>
    <w:p>
      <w:r>
        <w:rPr>
          <w:b/>
        </w:rPr>
        <w:t>• Проектная инициатива: Форсированное внедрение отечественного высокотемпературного комплекса MWD/LWD с гиросистемой</w:t>
        <w:br/>
      </w:r>
      <w:r>
        <w:t>• Параметры: CAPEX 420.0 млн руб | Окупаемость 2.7 года | TRL 8/9</w:t>
        <w:br/>
      </w:r>
      <w:r>
        <w:t>• Итоговый скоринг: 9.19 / 10.0 (ОДОБРЕНО К КАСКАДИРОВАНИЮ)</w:t>
        <w:br/>
      </w:r>
      <w:r>
        <w:t>• Контур самокритики: Итерация 1 отклонена Критиком (6.85/10). После адаптации параметров скоринг повышен до 9.15/10.</w:t>
        <w:br/>
      </w:r>
    </w:p>
    <w:p>
      <w:r>
        <w:rPr>
          <w:b/>
          <w:color w:val="004C87"/>
          <w:sz w:val="26"/>
        </w:rPr>
        <w:t>3. Результат работы Агента 3 (Презентатор-Адаптер: каскадирование)</w:t>
      </w:r>
    </w:p>
    <w:p>
      <w:r>
        <w:rPr>
          <w:b/>
        </w:rPr>
        <w:t>• Департамент бурения и внутрискважинных работ (ВСР):</w:t>
        <w:br/>
      </w:r>
      <w:r>
        <w:t xml:space="preserve">  - Инициатива: Перевод 12 эксплуатационных буровых бригад на отечественные комплексы с предиктивным контролем.</w:t>
        <w:br/>
      </w:r>
      <w:r>
        <w:t xml:space="preserve">  - Целевые KPI: Коммерческая скорость бурения -&gt; 1 450 м/ст-мес, Доля отечественной телеметрии MWD -&gt; 88%, Снижение аварийности при проводке -&gt; -25%</w:t>
        <w:br/>
      </w:r>
      <w:r>
        <w:t xml:space="preserve">  - Минимизация рисков: Формирование неснижаемого страхового запаса узлов забойной электроники на базах ПОО.</w:t>
        <w:br/>
      </w:r>
    </w:p>
    <w:p>
      <w:r>
        <w:rPr>
          <w:b/>
        </w:rPr>
        <w:t>• Департамент логистики и морского транспорта:</w:t>
        <w:br/>
      </w:r>
      <w:r>
        <w:t xml:space="preserve">  - Инициатива: Синхронизация поставок оборудования и отгрузок с графиками навигации СМП.</w:t>
        <w:br/>
      </w:r>
      <w:r>
        <w:t xml:space="preserve">  - Целевые KPI: Срок экстренной доставки на промысел -&gt; &lt; 36 часов, Снижение затрат на внеплановый фрахт -&gt; -45 млн руб/год, Соблюдение графика завоза грузов -&gt; 99.4%</w:t>
        <w:br/>
      </w:r>
      <w:r>
        <w:t xml:space="preserve">  - Минимизация рисков: Резервирование грузовых объемов на судах ледового класса в рамках долгосрочных контрактов.</w:t>
        <w:br/>
      </w:r>
    </w:p>
    <w:p>
      <w:r>
        <w:rPr>
          <w:b/>
        </w:rPr>
        <w:t>• Дирекция цифровой трансформации и ИТ:</w:t>
        <w:br/>
      </w:r>
      <w:r>
        <w:t xml:space="preserve">  - Инициатива: Интеграция телеметрии отечественного оборудования в защищенный локальный контур компании.</w:t>
        <w:br/>
      </w:r>
      <w:r>
        <w:t xml:space="preserve">  - Целевые KPI: Доля доверенного системного ПО -&gt; 100%, Точность прогноза риска инцидентов -&gt; &gt; 91%, Задержка передачи данных 'промысел-офис' -&gt; &lt; 2 сек</w:t>
        <w:br/>
      </w:r>
      <w:r>
        <w:t xml:space="preserve">  - Минимизация рисков: Изоляция сетевого периметра промысловых станций и применение аппаратно-доверенных шлюзов.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