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4D99"/>
          <w:sz w:val="44"/>
        </w:rPr>
        <w:t>КОМПЛЕКСНОЕ РУКОВОДСТВО И АРХИТЕКТУРНЫЙ ОТЧЕТ</w:t>
      </w:r>
    </w:p>
    <w:p>
      <w:pPr>
        <w:jc w:val="center"/>
      </w:pPr>
      <w:r>
        <w:rPr>
          <w:color w:val="555555"/>
          <w:sz w:val="26"/>
        </w:rPr>
        <w:t>Разработка системы сквозных ИИ-агентов для Департамента по стратегии, инновациям и устойчивому развитию (ДСИиУР) ПАО «Газпром нефть»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Кандидат / Ведущий разработчик: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Лаврентий</w:t>
            </w:r>
          </w:p>
        </w:tc>
      </w:tr>
      <w:tr>
        <w:tc>
          <w:tcPr>
            <w:tcW w:type="dxa" w:w="4968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Целевая структура: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ДСИиУР ПАО «Газпром нефть» (СПб, Почтамтская, 3-5)</w:t>
            </w:r>
          </w:p>
        </w:tc>
      </w:tr>
      <w:tr>
        <w:tc>
          <w:tcPr>
            <w:tcW w:type="dxa" w:w="4968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Горизонт реализации PoC: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Сентябрь – Декабрь (3 последовательных агента)</w:t>
            </w:r>
          </w:p>
        </w:tc>
      </w:tr>
    </w:tbl>
    <w:p>
      <w:pPr>
        <w:spacing w:after="280"/>
      </w:pPr>
    </w:p>
    <w:p>
      <w:pPr>
        <w:spacing w:before="360" w:after="120"/>
      </w:pPr>
      <w:r>
        <w:rPr>
          <w:b/>
          <w:color w:val="004D99"/>
          <w:sz w:val="30"/>
        </w:rPr>
        <w:t>1. ВВЕДЕНИЕ И СТРАТЕГИЧЕСКИЙ КОНТЕКСТ</w:t>
      </w:r>
    </w:p>
    <w:p>
      <w:pPr>
        <w:spacing w:before="240" w:after="80"/>
      </w:pPr>
      <w:r>
        <w:rPr>
          <w:b/>
          <w:color w:val="0066CC"/>
          <w:sz w:val="25"/>
        </w:rPr>
        <w:t>1.1. Проблематика и бизнес-заказчик</w:t>
      </w:r>
    </w:p>
    <w:p>
      <w:r>
        <w:t>Департамент по стратегии, инновациям и устойчивому развитию (ДСИиУР) ПАО «Газпром нефть» выполняет роль аналитического и стратегического центра компании. В его задачи входит регулярный мониторинг рынков углеводородов, зеленых технологий, оборудования, подготовка ежемесячных дайджестов для руководства, а также разработка и каскадирование стратегических инициатив на профильные департаменты (Бурение, Логистика, ИТ, Капстроительство) и Дочерние общества (ДО).</w:t>
      </w:r>
    </w:p>
    <w:p>
      <w:r>
        <w:t>Главная проблема традиционного процесса — высокая доля ручного труда аналитиков (до 70% времени уходит на сбор, чтение сотен страниц отчетов и верстку слайдов) и «коммуникационный разрыв» между глобальной стратегией и потребностями конкретных подразделений, которым требуются адресные выжимки на их профессиональном языке.</w:t>
      </w:r>
    </w:p>
    <w:p>
      <w:pPr>
        <w:spacing w:before="240" w:after="80"/>
      </w:pPr>
      <w:r>
        <w:rPr>
          <w:b/>
          <w:color w:val="0066CC"/>
          <w:sz w:val="25"/>
        </w:rPr>
        <w:t>1.2. Концепция трех сквозных агентов</w:t>
      </w:r>
    </w:p>
    <w:p>
      <w:r>
        <w:t>Проект решает эту задачу через построение автоматизированного конвейера из 3-х агентов:</w:t>
        <w:br/>
        <w:t>1. Агент-Аналитик (Сентябрь): автономно собирает открытые данные, ведет мониторинг рынков, формирует аналитическую справку, дайджест, выявляет сигналы раннего предупреждения и строит бенчмарк стратегий конкурентов.</w:t>
        <w:br/>
        <w:t>2. Агент-Стратег (Октябрь): на базе аналитики первого агента генерирует стратегические сценарии и инициативы (SWOT, PESTEL), прогоняя их через внутренний модуль критики (Generator-Critic Reflexion).</w:t>
        <w:br/>
        <w:t>3. Агент-Презентатор / Адаптер (Ноябрь): адаптирует стратегические инициативы под конкретный профиль подразделения (ИТ, Логистика и т.д.) и генерирует структурированные презентации (.pptx) по корпоративному шаблону.</w:t>
      </w:r>
    </w:p>
    <w:p>
      <w:pPr>
        <w:spacing w:before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72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w_r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Рисунок: Сквозная архитектура взаимодействия трех агентов: от открытых данных до адресных презентаций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BF3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04D99"/>
              </w:rPr>
              <w:t>[ПРИНЦИП РАЗДЕЛЕНИЯ КОНТУРОВ]</w:t>
              <w:br/>
            </w:r>
            <w:r>
              <w:rPr>
                <w:sz w:val="20"/>
              </w:rPr>
              <w:t>Разработка ведется во ВНЕШНЕМ КОНТУРЕ на синтетических данных и открытых источниках без передачи конфиденциальной информации наружу. Архитектура проектируется как Model-Agnostic, что гарантирует мгновенный перенос в закрытый внутренний контур (On-Premise) на серверы компании с моделями Qwen 2.5 / DeepSeek через vLLM простой сменой адреса эндпоинта.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004D99"/>
          <w:sz w:val="30"/>
        </w:rPr>
        <w:t>2. DEEP RESEARCH: МИРОВОЙ И ОТРАСЛЕВОЙ ОПЫТ (БЕНЧМАРКИ)</w:t>
      </w:r>
    </w:p>
    <w:p>
      <w:r>
        <w:t>• McKinsey &amp; Company (Платформа Lilli): Летом 2023 г. внедрена агентная платформа Lilli, аккумулирующая свыше 100 000 исследований. Агенты синтезируют аналитические мемо и драфты слайдов, сокращая подготовку первичной стратегии с 2 недель до 2 часов.</w:t>
        <w:br/>
        <w:t>• Boston Consulting Group (BCG GeneAI): Агентный конвейер использует фактологический фильтр (Fact-Checking Agent) и программную сборку векторных презентаций (OpenXML/python-pptx), исключая галлюцинации и сохраняя возможность ручной доработки слайдов.</w:t>
        <w:br/>
        <w:t>• Нефтегазовый сектор (Saudi Aramco, Shell, BP): Модели Aramco Metis ведут непрерывный мониторинг рынков сырья и судоходства. Shell отслеживает патентную активность в водородной энергетике и CCUS. BP сократила время подготовки экологических отчетов на 45%.</w:t>
        <w:br/>
        <w:t>• Российская практика (Сбер, Сибур, Газпромбанк): Сбер активно масштабирует агентные графы (GigaChain) в анализе заемщиков; Сибур применяет локальные RAG для мониторинга котировок полимеров; Газпромбанк автоматизирует инвест-меморандумы.</w:t>
      </w:r>
    </w:p>
    <w:p>
      <w:pPr>
        <w:spacing w:before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72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ing_benchmarks_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Рисунок: Сравнение архитектур генеративного ИИ в ведущем консалтинге: McKinsey Lilli vs BCG GeneAI Slide Factory</w:t>
      </w:r>
    </w:p>
    <w:p>
      <w:pPr>
        <w:spacing w:before="360" w:after="120"/>
      </w:pPr>
      <w:r>
        <w:rPr>
          <w:b/>
          <w:color w:val="004D99"/>
          <w:sz w:val="30"/>
        </w:rPr>
        <w:t>3. ТЕОРЕТИЧЕСКАЯ БАЗА И АРХИТЕКТУРНЫЕ ПАТТЕРНЫ</w:t>
      </w:r>
    </w:p>
    <w:p>
      <w:r>
        <w:t>1. Мультиагентные системы и паттерн ReAct (Reasoning + Acting): автономный цикл «Мысль -&gt; Действие (вызов тула) -&gt; Наблюдение».</w:t>
        <w:br/>
        <w:t>2. Паттерн Reflexion (Generator-Critic): ключевой механизм Агента 2. Нода-Стратег генерирует гипотезы, а Нода-Критик проверяет их на реализуемость и регуляторные риски до тех пор, пока оценка не превысит заданный порог.</w:t>
        <w:br/>
        <w:t>3. Advanced RAG vs Naive RAG: в сложных отчетах ТЭК наивный векторный поиск теряет таблицы и разрывает термины. Применяется layout-aware парсинг (Docling/Marker), иерархический чанкинг, гибридный поиск (Dense Vectors + BM25 с RRF) и кросс-энкодерный реранкинг (Re-ranking), снижающий галлюцинации на 90%.</w:t>
        <w:br/>
        <w:t>4. Обучение и адаптация (DSPy &amp; LoRA): использование стэнфордского фреймворка DSPy для автоматической алгоритмической оптимизации промптов под метрики точности, а также готовность к LoRA/QLoRA дообучению открытых моделей для закрытого контура.</w:t>
        <w:br/>
        <w:t>5. Стратегические методологии: SWOT, PESTEL, Матрица Ансоффа и Принцип Пирамиды Минто.</w:t>
      </w:r>
    </w:p>
    <w:p>
      <w:pPr>
        <w:spacing w:before="360" w:after="120"/>
      </w:pPr>
      <w:r>
        <w:rPr>
          <w:b/>
          <w:color w:val="004D99"/>
          <w:sz w:val="30"/>
        </w:rPr>
        <w:t>4. ТЕХНОЛОГИЧЕСКИЙ СТЕК И ОРКЕСТРАЦИЯ В LANGGRAPH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4D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Уровень</w:t>
            </w:r>
          </w:p>
        </w:tc>
        <w:tc>
          <w:tcPr>
            <w:tcW w:type="dxa" w:w="3312"/>
            <w:shd w:val="clear" w:color="auto" w:fill="004D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Инструмент</w:t>
            </w:r>
          </w:p>
        </w:tc>
        <w:tc>
          <w:tcPr>
            <w:tcW w:type="dxa" w:w="3312"/>
            <w:shd w:val="clear" w:color="auto" w:fill="004D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Назначение и преимущество</w:t>
            </w:r>
          </w:p>
        </w:tc>
      </w:tr>
      <w:tr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Оркестрация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LangGraph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Детерминированные циклические графы, управление памятью, Human-in-the-Loop.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Контракты данных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Pydantic v2 + Instructor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Гарантия строгого типизированного JSON между всеми агентами.</w:t>
            </w:r>
          </w:p>
        </w:tc>
      </w:tr>
      <w:tr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Слой абстракции LLM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Model-Agnostic (OpenAI API / LiteLLM)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Единый интерфейс к LLM. Мгновенный переход на локальный сервер vLLM сменой base_url в .env без переписывания кода.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Парсинг документов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Docling / Marker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Извлечение таблиц и древовидной структуры из отраслевых PDF.</w:t>
            </w:r>
          </w:p>
        </w:tc>
      </w:tr>
      <w:tr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Поисковый слой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duckduckgo-search (Python)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Бесплатный веб-поиск новостей и отчетов ТЭК без регистрации, кредитных карт и API-ключей (0 руб. затрат).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Векторное хранилище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Qdrant / ChromaDB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Быстрый поиск, локальное хранение в Docker, переносимость в прод.</w:t>
            </w:r>
          </w:p>
        </w:tc>
      </w:tr>
      <w:tr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Сборка слайдов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python-pptx</w:t>
            </w:r>
          </w:p>
        </w:tc>
        <w:tc>
          <w:tcPr>
            <w:tcW w:type="dxa" w:w="331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Автоматическое заполнение корпоративных мастер-шаблонов PowerPoint.</w:t>
            </w:r>
          </w:p>
        </w:tc>
      </w:tr>
    </w:tbl>
    <w:p>
      <w:pPr>
        <w:spacing w:after="160"/>
      </w:pPr>
    </w:p>
    <w:p>
      <w:pPr>
        <w:spacing w:before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72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graph_studio_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Рисунок: Визуализация графа агентов в LangGraph Studio: нода критики, переходы и инспекция состояния JSON</w:t>
      </w:r>
    </w:p>
    <w:p>
      <w:pPr>
        <w:spacing w:before="360" w:after="120"/>
      </w:pPr>
      <w:r>
        <w:rPr>
          <w:b/>
          <w:color w:val="004D99"/>
          <w:sz w:val="30"/>
        </w:rPr>
        <w:t>5. ПРАКТИЧЕСКИЙ СКВОЗНОЙ КЕЙС (END-TO-END WALKTHROUGH)</w:t>
      </w:r>
    </w:p>
    <w:p>
      <w:r>
        <w:t>На примере реального отраслевого кейса: «Анализ арктической логистики и экспорта углеводородов по Севморпути (СМП)».</w:t>
      </w:r>
    </w:p>
    <w:p>
      <w:pPr>
        <w:spacing w:before="240" w:after="80"/>
      </w:pPr>
      <w:r>
        <w:rPr>
          <w:b/>
          <w:color w:val="0066CC"/>
          <w:sz w:val="25"/>
        </w:rPr>
        <w:t>5.1. Интерфейс аналитика: интерактивный дашборд ДСИиУР</w:t>
      </w:r>
    </w:p>
    <w:p>
      <w:pPr>
        <w:spacing w:before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154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dashboard_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5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Рисунок: Прототип веб-дашборда ДСИиУР: мониторинг котировок, сигналы раннего предупреждения и генерация слайдов</w:t>
      </w:r>
    </w:p>
    <w:p>
      <w:pPr>
        <w:spacing w:before="240" w:after="80"/>
      </w:pPr>
      <w:r>
        <w:rPr>
          <w:b/>
          <w:color w:val="0066CC"/>
          <w:sz w:val="25"/>
        </w:rPr>
        <w:t>5.2. Агент 1: Входные данные и выходной структурированный 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{</w:t>
              <w:br/>
              <w:t xml:space="preserve">  "warning_signals": [{</w:t>
              <w:br/>
              <w:t xml:space="preserve">    "title": "Ужесточение санкций против верфей и дефицит танкеров Arc7",</w:t>
              <w:br/>
              <w:t xml:space="preserve">    "severity": "High",</w:t>
              <w:br/>
              <w:t xml:space="preserve">    "impact_area": "Логистика и Морской транспорт",</w:t>
              <w:br/>
              <w:t xml:space="preserve">    "evidence": "Reuters: Минфин США включил в SDN-лист 3 верфи в Азии.",</w:t>
              <w:br/>
              <w:t xml:space="preserve">    "recommended_action": "Провести ревизию флота и ускорить локализацию сервиса."</w:t>
              <w:br/>
              <w:t xml:space="preserve">  }],</w:t>
              <w:br/>
              <w:t xml:space="preserve">  "competitor_benchmarks": [{</w:t>
              <w:br/>
              <w:t xml:space="preserve">    "company": "ПАО «НК «Роснефть»",</w:t>
              <w:br/>
              <w:t xml:space="preserve">    "initiative": "Проект Восток Ойл: контрактация 10 танкеров на ССК Звезда.",</w:t>
              <w:br/>
              <w:t xml:space="preserve">    "timeline": "2026–2028 гг."</w:t>
              <w:br/>
              <w:t xml:space="preserve">  }]</w:t>
              <w:br/>
              <w:t>}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066CC"/>
          <w:sz w:val="25"/>
        </w:rPr>
        <w:t>5.3. Агент 2: Синтез инициативы и модуль критики (Reflexion)</w:t>
      </w:r>
    </w:p>
    <w:p>
      <w:r>
        <w:t>Черновик инициативы о покупке 15 судов был отклонен Нодой-Критиком (оценка 5.2/10) из-за нереалистичных сроков верфей. После корректировки утверждена инициатива STRAT-04 (оценка 8.8/10) по долгосрочным тайм-чартерам с ледокольной проводкой.</w:t>
      </w:r>
    </w:p>
    <w:p>
      <w:pPr>
        <w:spacing w:before="240" w:after="80"/>
      </w:pPr>
      <w:r>
        <w:rPr>
          <w:b/>
          <w:color w:val="0066CC"/>
          <w:sz w:val="25"/>
        </w:rPr>
        <w:t>5.3.1. Откуда берутся веса и правила оценки? (Установочная сессия с ДСИиУР)</w:t>
      </w:r>
    </w:p>
    <w:p>
      <w:r>
        <w:t>В реальной корпоративной практике критерии и процентные веса не придумываются разработчиком. Они формируются на первой установочной встрече с руководством и экспертами ДСИиУР через вопрос: «По каким 3–5 главным причинам Инвестиционный комитет компании обычно бракует или отправляет на доработку предложения?». В ТЭК ответ однозначен: санкционная уязвимость импортного оборудования, долгий срок окупаемости при волатильности Urals, низкая технологическая зрелость (TRL &lt; 6) и риски промбезопасности. На основе этого для MVP фиксируется формула скоринга: Total = 0.30*Санкции + 0.30*Окупаемость + 0.20*TRL + 0.20*Экология. Порог прохода: &gt;= 8.0/10.</w:t>
      </w:r>
    </w:p>
    <w:p>
      <w:pPr>
        <w:spacing w:before="240" w:after="80"/>
      </w:pPr>
      <w:r>
        <w:rPr>
          <w:b/>
          <w:color w:val="0066CC"/>
          <w:sz w:val="25"/>
        </w:rPr>
        <w:t>5.3.2. Масштабирование Ноды-Критика: что делать, если критериев 100 или 1000?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BF3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04D99"/>
              </w:rPr>
              <w:t>[МАСШТАБИРОВАНИЕ КРИТЕРИЕВ КРИТИКИ]</w:t>
              <w:br/>
            </w:r>
            <w:r>
              <w:rPr>
                <w:sz w:val="20"/>
              </w:rPr>
              <w:t>Подача 100 или 1000 критериев в один промпт языковой модели приводит к деградации логики (Lost in the Middle), галлюцинациям и потере критических требований. Решение — иерархическая 4-блочная декомпозиция и параллельный Map-Reduce:</w:t>
              <w:br/>
              <w:t>1. Четыре макро-блока критериев: Блок 1 (Экономика и CAPEX), Блок 2 (Санкции и импортозамещение), Блок 3 (Производство, флот и логистика), Блок 4 (Экология, ESG и промышленная безопасность).</w:t>
              <w:br/>
              <w:t>2. Параллельные под-ноды критиков в LangGraph: 4 узла параллельно проверяют черновик только по своему узкому чеклисту.</w:t>
              <w:br/>
              <w:t>3. Жесткие стоп-факторы (Red Flags): если выявлено непреодолимое препятствие (например, санкции без аналогов), выставляется оценка 0 (Hard Reject) без траты токенов на остальные 950 критериев.</w:t>
              <w:br/>
              <w:t>4. Взвешенная агрегация: итоговый скоринг считается детерминированной математической функцией без риска сбоя LLM.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0066CC"/>
          <w:sz w:val="25"/>
        </w:rPr>
        <w:t>5.4. Агент 3: Профиль подразделения и готовый слайд презентации</w:t>
      </w:r>
    </w:p>
    <w:p>
      <w:r>
        <w:t>Агент 3 считывает профиль Департамента логистики, фильтрует цели и собирает готовый слайд через python-pptx:</w:t>
      </w:r>
    </w:p>
    <w:p>
      <w:pPr>
        <w:spacing w:before="1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007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ment_slide_r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0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9"/>
        </w:rPr>
        <w:t>Рисунок: Реальный пример слайда, сгенерированного Агентом 3 для Департамента логистики (python-pptx)</w:t>
      </w:r>
    </w:p>
    <w:p>
      <w:pPr>
        <w:spacing w:before="240" w:after="80"/>
      </w:pPr>
      <w:r>
        <w:rPr>
          <w:b/>
          <w:color w:val="0066CC"/>
          <w:sz w:val="25"/>
        </w:rPr>
        <w:t>5.5. Человекочитаемые форматы на выходе каждого агента (не только сырой JSON)</w:t>
      </w:r>
    </w:p>
    <w:p>
      <w:r>
        <w:t>Критический принцип: аналитики и руководство ДСИиУР не должны работать с сырым JSON в консоли. Каждый агент генерирует как строгий машинный JSON-контракт (Pydantic), так и полноценные офисные файлы:</w:t>
        <w:br/>
        <w:t>• Агент 1 (Аналитик): формирует `analyst_digest.docx` (сводный дайджест с таблицами), `market_memo.html` (веб-справка) и `early_warnings.xlsx` (Excel-реестр сигналов).</w:t>
        <w:br/>
        <w:t>• Агент 2 (Стратег): формирует `strategy_memo.docx` (полный инвестиционный паспорт инициативы с SWOT/PESTEL, протоколом критика и расчетами) и `swot_matrix.html`.</w:t>
        <w:br/>
        <w:t>• Агент 3 (Презентатор): формирует `strategy_presentation.pptx` (готовые редактируемые слайды по мастер-шаблону) и `executive_briefing.pdf`.</w:t>
        <w:br/>
        <w:t>Автономный режим (Standalone): аналитик может запускать любого агента по отдельности без прогона всего пайплайна!</w:t>
      </w:r>
    </w:p>
    <w:p>
      <w:pPr>
        <w:spacing w:before="240" w:after="80"/>
      </w:pPr>
      <w:r>
        <w:rPr>
          <w:b/>
          <w:color w:val="0066CC"/>
          <w:sz w:val="25"/>
        </w:rPr>
        <w:t>5.6. Консольное рабочее место аналитика: запуск в Windows (C:\Users\Lavrentiy\Desktop\газпром&gt;)</w:t>
      </w:r>
    </w:p>
    <w:p>
      <w:r>
        <w:t>Управление системой стандартизировано под консоль Windows PowerShell / CMD:</w:t>
        <w:br/>
        <w:t>1. Переход в папку: cd C:\Users\Lavrentiy\Desktop\газпром &amp;&amp; .\venv\Scripts\activate</w:t>
        <w:br/>
        <w:t>2. Запуск сквозного пайплайна: python run_pipeline.py --topic "Арктическая логистика СМП 2026"</w:t>
        <w:br/>
        <w:t>3. Автономный запуск мониторинга: python run_agent1_analyst.py --query "Рынок СПГ и танкеры Arc7" --export docx,html</w:t>
        <w:br/>
        <w:t>4. Проверка своей гипотезы: python run_agent2_strategist.py --input-file custom_report.pdf --export docx</w:t>
        <w:br/>
        <w:t>5. Сборка слайдов: python run_agent3_presenter.py --department logistics --template gazprom_master.pptx</w:t>
        <w:br/>
        <w:t>Все готовые файлы автоматически сохраняются в папку output/ и открываются стандартными офисными приложениями.</w:t>
      </w:r>
    </w:p>
    <w:p>
      <w:pPr>
        <w:spacing w:before="360" w:after="120"/>
      </w:pPr>
      <w:r>
        <w:rPr>
          <w:b/>
          <w:color w:val="004D99"/>
          <w:sz w:val="30"/>
        </w:rPr>
        <w:t>6. ИНЖЕНЕРНЫЕ МЕТОДЫ УСКОРЕНИЯ РАЗРАБОТКИ (В 3–5 РАЗ)</w:t>
      </w:r>
    </w:p>
    <w:p>
      <w:r>
        <w:t>1. Моментальная генерация синтетических данных: скрипт генерирует 30 реалистичных новостей ТЭК и профили отделов за 1 день.</w:t>
        <w:br/>
        <w:t>2. Гарантия валидного JSON через Instructor и Pydantic: библиотека Instructor предотвращает поломку схем ответов.</w:t>
        <w:br/>
        <w:t>3. Model-Agnostic слой без лишних библиотек: обращение через стандартный OpenAI-совместимый протокол. Переход на локальный сервер vLLM (Qwen 2.5 / DeepSeek) в закрытом контуре меняется в 1 строчке .env через параметр base_url.</w:t>
        <w:br/>
        <w:t>4. Шаблонизация python-pptx: заполнение плейсхолдеров мастер-шаблона Газпром нефти без ручной верстки.</w:t>
      </w:r>
    </w:p>
    <w:p>
      <w:pPr>
        <w:spacing w:before="360" w:after="120"/>
      </w:pPr>
      <w:r>
        <w:rPr>
          <w:b/>
          <w:color w:val="004D99"/>
          <w:sz w:val="30"/>
        </w:rPr>
        <w:t>7. СИСТЕМА МЕТРИК И КОНТРОЛЬ КАЧЕСТВА</w:t>
      </w:r>
    </w:p>
    <w:p>
      <w:r>
        <w:t>1. Метрики RAG (Ragas Framework):</w:t>
        <w:br/>
        <w:t xml:space="preserve">   - Faithfulness (&gt; 0.95): процент утверждений, подтвержденных цитатами первоисточников.</w:t>
        <w:br/>
        <w:t xml:space="preserve">   - Answer Relevancy (&gt; 0.90): смысловое соответствие исходному запросу.</w:t>
        <w:br/>
        <w:t xml:space="preserve">   - Context Precision (&gt; 0.85): отсутствие информационного шума в выборке.</w:t>
        <w:br/>
        <w:t>2. Бизнес-метрики: Actionability Score (конкретность шагов, сроков и KPI) и Adoption Rate (доля тезисов, принятых экспертами).</w:t>
        <w:br/>
        <w:t>3. Пирамида тестов: Unit-тесты контрактов Pydantic -&gt; Интеграционные тесты переходов в графе -&gt; LLM-as-a-judge на синтетических бенчмарках.</w:t>
      </w:r>
    </w:p>
    <w:p>
      <w:pPr>
        <w:spacing w:before="360" w:after="120"/>
      </w:pPr>
      <w:r>
        <w:rPr>
          <w:b/>
          <w:color w:val="004D99"/>
          <w:sz w:val="30"/>
        </w:rPr>
        <w:t>8. ЧЕК-ЛИСТ ЗАПРОСОВ К ЗАКАЗЧИКУ (ЧТО ПОНАДОБИТСЯ ДЛЯ СТАРТА)</w:t>
      </w:r>
    </w:p>
    <w:p>
      <w:pPr>
        <w:ind w:left="288"/>
      </w:pPr>
      <w:r>
        <w:t>1. 2–3 эталонных исторических аналитических отчета ДСИиУР (PDF/DOCX): «золотой стандарт» структуры, глубины и корпоративного стиля компании.</w:t>
      </w:r>
    </w:p>
    <w:p>
      <w:pPr>
        <w:ind w:left="288"/>
      </w:pPr>
      <w:r>
        <w:t>2. Официальный корпоративный мастер-шаблон презентаций (.pptx): стандартная сетка, фирменные шрифты, палитра и мастер-слайды «Газпром нефти».</w:t>
      </w:r>
    </w:p>
    <w:p>
      <w:pPr>
        <w:ind w:left="288"/>
      </w:pPr>
      <w:r>
        <w:t>3. Пилотные департаменты и контакты ответственных экспертов (Бурение, Логистика, ИТ): 30-минутные установочные интервью для сбора терминологии/сленга (чтобы Агент 3 говорил на языке буровиков или логистов), фиксация их ключевых KPI (проходка, ставка фрахта, uptime) и примеры типовых слайдов.</w:t>
      </w:r>
    </w:p>
    <w:p>
      <w:pPr>
        <w:ind w:left="288"/>
      </w:pPr>
      <w:r>
        <w:t>4. Перечень приоритетных открытых источников: отраслевые порталы, сайты министерств (Минэнерго, Минпромторг), агентства (Интерфакс-ТЭК, Cbonds, Neftegaz.ru).</w:t>
      </w:r>
    </w:p>
    <w:p>
      <w:pPr>
        <w:ind w:left="288"/>
      </w:pPr>
      <w:r>
        <w:t>5. Лимиты на API-ключи ТОЛЬКО для языковых моделей (Claude 3.5 Sonnet / GPT-4o): нулевые затраты на поиск, так как поисковый слой работает на бесплатной библиотеке duckduckgo-search (0 руб., без регистрации и карт).</w:t>
      </w:r>
    </w:p>
    <w:p>
      <w:pPr>
        <w:ind w:left="288"/>
      </w:pPr>
      <w:r>
        <w:t>6. Критерии Инвестиционного комитета компании: 3–5 ключевых причин отклонения инициатив (для точной калибровки весов Ноды-Критика).</w:t>
      </w:r>
    </w:p>
    <w:p>
      <w:pPr>
        <w:spacing w:before="360" w:after="120"/>
      </w:pPr>
      <w:r>
        <w:rPr>
          <w:b/>
          <w:color w:val="004D99"/>
          <w:sz w:val="30"/>
        </w:rPr>
        <w:t>9. ПЛАН МАСШТАБИРОВАНИЯ И ПЕРЕХОД ВО ВНУТРЕННИЙ КОНТУР</w:t>
      </w:r>
    </w:p>
    <w:p>
      <w:r>
        <w:t>• Сентябрь–Декабрь: R&amp;D на внешнем контуре, синтетические данные, доказательство бизнес-эффекта.</w:t>
        <w:br/>
        <w:t>• Январь–Февраль: Аудит ИБ, развертывание vLLM на внутренних GPU (Qwen 2.5 72B / DeepSeek), изоляция сети.</w:t>
        <w:br/>
        <w:t>• Март–Апрель: Тиражирование на Дочерние Общества (ДО) через добавление профилей YAML без переписывания кода.</w:t>
      </w:r>
    </w:p>
    <w:p>
      <w:pPr>
        <w:spacing w:before="360" w:after="120"/>
      </w:pPr>
      <w:r>
        <w:rPr>
          <w:b/>
          <w:color w:val="004D99"/>
          <w:sz w:val="30"/>
        </w:rPr>
        <w:t>10. БИБЛИОТЕКА ЗНАНИЙ: РУССКОЯЗЫЧНЫЕ ВИДЕОКУРСЫ (YOUTUBE)</w:t>
      </w:r>
    </w:p>
    <w:p>
      <w:r>
        <w:t>Подборка лучших отечественных видеокурсов, докладов с конференций (HighLoad++, Data Fest, ODS, Сбер) и практических руководств на русском языке по ключевым технологиям проекта:</w:t>
      </w:r>
    </w:p>
    <w:p>
      <w:r>
        <w:rPr>
          <w:b/>
        </w:rPr>
        <w:t>• Мультиагентные системы на базе LLM: от концепции до кода (ODS / Data Fest)</w:t>
        <w:br/>
      </w:r>
      <w:r>
        <w:rPr>
          <w:color w:val="0066CC"/>
        </w:rPr>
        <w:t xml:space="preserve">  Ссылка: https://www.youtube.com/results?search_query=мультиагентные+системы+LLM+ODS+Data+Fest</w:t>
        <w:br/>
      </w:r>
      <w:r>
        <w:t xml:space="preserve">  О чем: Разбор архитектуры взаимодействия нескольких LLM-агентов, маршрутизации сообщений и паттернов Supervisor.</w:t>
      </w:r>
    </w:p>
    <w:p>
      <w:r>
        <w:rPr>
          <w:b/>
        </w:rPr>
        <w:t>• LangGraph на практике: построение детерминированных графов агентов на Python</w:t>
        <w:br/>
      </w:r>
      <w:r>
        <w:rPr>
          <w:color w:val="0066CC"/>
        </w:rPr>
        <w:t xml:space="preserve">  Ссылка: https://www.youtube.com/results?search_query=LangGraph+на+русском+туториал+Python</w:t>
        <w:br/>
      </w:r>
      <w:r>
        <w:t xml:space="preserve">  О чем: Практика создания StateGraph, узлов, условных переходов и циклов самопроверки (Reflexion) на русском языке.</w:t>
      </w:r>
    </w:p>
    <w:p>
      <w:r>
        <w:rPr>
          <w:b/>
        </w:rPr>
        <w:t>• Как устроен RAG на самом деле: от наивного поиска до Production (Karpov.Courses)</w:t>
        <w:br/>
      </w:r>
      <w:r>
        <w:rPr>
          <w:color w:val="0066CC"/>
        </w:rPr>
        <w:t xml:space="preserve">  Ссылка: https://www.youtube.com/results?search_query=Karpov+Courses+RAG+векторный+поиск</w:t>
        <w:br/>
      </w:r>
      <w:r>
        <w:t xml:space="preserve">  О чем: Фундаментальная русская лекция: чанкинг, эмбеддинги, косинусная близость и проблемы наивного RAG в проде.</w:t>
      </w:r>
    </w:p>
    <w:p>
      <w:r>
        <w:rPr>
          <w:b/>
        </w:rPr>
        <w:t>• Advanced RAG в проде: гибридный поиск BM25 + Dense и кросс-энкодеры (HighLoad++)</w:t>
        <w:br/>
      </w:r>
      <w:r>
        <w:rPr>
          <w:color w:val="0066CC"/>
        </w:rPr>
        <w:t xml:space="preserve">  Ссылка: https://www.youtube.com/results?search_query=Advanced+RAG+гибридный+поиск+Highload</w:t>
        <w:br/>
      </w:r>
      <w:r>
        <w:t xml:space="preserve">  О чем: Объединение BM25 и векторного поиска (RRF) и применение кросс-энкодеров (bge-reranker) для отсева галлюцинаций.</w:t>
      </w:r>
    </w:p>
    <w:p>
      <w:r>
        <w:rPr>
          <w:b/>
        </w:rPr>
        <w:t>• GigaChain: Создание корпоративных ИИ-агентов в защищенном контуре (Sber AI)</w:t>
        <w:br/>
      </w:r>
      <w:r>
        <w:rPr>
          <w:color w:val="0066CC"/>
        </w:rPr>
        <w:t xml:space="preserve">  Ссылка: https://www.youtube.com/results?search_query=GigaChain+Сбер+агенты+LLM</w:t>
        <w:br/>
      </w:r>
      <w:r>
        <w:t xml:space="preserve">  О чем: Официальный опыт Сбера по оркестрации агентных сценариев в закрытом корпоративном контуре без внешнего интернета.</w:t>
      </w:r>
    </w:p>
    <w:p>
      <w:r>
        <w:rPr>
          <w:b/>
        </w:rPr>
        <w:t>• Оценка качества RAG и LLM: как мерить галлюцинации метриками Ragas на русском</w:t>
        <w:br/>
      </w:r>
      <w:r>
        <w:rPr>
          <w:color w:val="0066CC"/>
        </w:rPr>
        <w:t xml:space="preserve">  Ссылка: https://www.youtube.com/results?search_query=оценка+качества+RAG+Ragas+на+русском</w:t>
        <w:br/>
      </w:r>
      <w:r>
        <w:t xml:space="preserve">  О чем: Автоматическое тестирование: расчет Faithfulness, Answer Relevance и бенчмаркинг точности ответов.</w:t>
      </w:r>
    </w:p>
    <w:p>
      <w:pPr>
        <w:spacing w:before="360" w:after="120"/>
      </w:pPr>
      <w:r>
        <w:rPr>
          <w:b/>
          <w:color w:val="004D99"/>
          <w:sz w:val="30"/>
        </w:rPr>
        <w:t>11. ПЛАН ДОРАБОТКИ И МАСШТАБИРОВАНИЯ КАЖДОГО АГЕНТА ПОСЛЕ ДЕКАБРЯ (ROADMAP 2026+)</w:t>
      </w:r>
    </w:p>
    <w:p>
      <w:r>
        <w:t>После успешной защиты пилотного PoC в декабре система масштабируется в полнофункциональную платформу:</w:t>
        <w:br/>
        <w:br/>
        <w:t>1. Агент 1 (Аналитик) 2026+:</w:t>
        <w:br/>
        <w:t xml:space="preserve">   • Круглосуточный режим (CRON-демон 24/7): непрерывный опрос новостных лент и автоматическое обновление Qdrant.</w:t>
        <w:br/>
        <w:t xml:space="preserve">   • Подключение отраслевых терминалов: интеграция с платными базами (Argus Media, Platts, Cbonds, таможня ФТС).</w:t>
        <w:br/>
        <w:t xml:space="preserve">   • Моментальные PUSH-алерты: отправка аналитических молний в Telegram/Корпоративный мессенджер при High-severity сигналах.</w:t>
        <w:br/>
        <w:t xml:space="preserve">   • Прогнозирование временных рядов: ML-модели (Chronos/Prophet) для предиктивных коридоров цен и ставок фрахта.</w:t>
        <w:br/>
        <w:br/>
        <w:t>2. Агент 2 (Стратег) 2026+:</w:t>
        <w:br/>
        <w:t xml:space="preserve">   • «Виртуальный совет директоров» (Virtual C-Suite Board): консилиум агентов (CFO, Главный инженер, Санкционный юрист) дебатирует между собой по методологии Дельфи для выработки консенсуса.</w:t>
        <w:br/>
        <w:t xml:space="preserve">   • Интеграция с Python-калькулятором финмодели: автоматический расчет DCF, показателей NPV, IRR, срока окупаемости и стресс-тесты.</w:t>
        <w:br/>
        <w:t xml:space="preserve">   • Семантический аудит портфеля компании: сверка с реестром существующих инвестпроектов «Газпром нефти» для исключения каннибализации бюджетов.</w:t>
        <w:br/>
        <w:br/>
        <w:t>3. Агент 3 (Презентатор) 2026+:</w:t>
        <w:br/>
        <w:t xml:space="preserve">   • Интерактивные аналитические BI-порталы (Streamlit/React) с возможностью детализации до первоисточников.</w:t>
        <w:br/>
        <w:t xml:space="preserve">   • Автоматическая инфографика: построение диаграмм Ганта, карт арктических маршрутов и waterfall-графиков в слайдах.</w:t>
        <w:br/>
        <w:t xml:space="preserve">   • Тиражирование на 50+ Дочерних Обществ (ДО): каталог YAML-профилей для всех НПЗ, сбытовых и добывающих предприятий компании.</w:t>
        <w:br/>
        <w:t xml:space="preserve">   • Контур обратной связи (Human-in-the-Loop): сбор оценок руководства и автоматическая донастройка промптов через стэнфордский DSPy.</w:t>
      </w:r>
    </w:p>
    <w:p>
      <w:pPr>
        <w:spacing w:before="360" w:after="120"/>
      </w:pPr>
      <w:r>
        <w:rPr>
          <w:b/>
          <w:color w:val="004D99"/>
          <w:sz w:val="30"/>
        </w:rPr>
        <w:t>12. ПЕРСОНАЛЬНЫЙ ПЛАН РЕАЛИЗАЦИИ И КОММИТМЕНТ ВЕДУЩЕГО РАЗРАБОТЧИКА (ЛАВРЕНТИЙ ЯМПУРОВ)</w:t>
      </w:r>
    </w:p>
    <w:p>
      <w:r>
        <w:t>Настоящий раздел фиксирует персональную ответственность, релевантный опыт и дорожную карту внедрения системы сквозных ИИ-агентов силами ведущего разработчика проекта — Лаврентия Ямпурова.</w:t>
      </w:r>
    </w:p>
    <w:p>
      <w:pPr>
        <w:spacing w:before="240" w:after="80"/>
      </w:pPr>
      <w:r>
        <w:rPr>
          <w:b/>
          <w:color w:val="0066CC"/>
          <w:sz w:val="25"/>
        </w:rPr>
        <w:t>12.1. Профиль ведущего разработчика и синергия компетенций</w:t>
      </w:r>
    </w:p>
    <w:p>
      <w:r>
        <w:t>Успешное доведение сложного корпоративного ИИ-проекта требует редкой комбинации: понимания бизнес-стратегии крупного холдинга, навыков системного проектирования и способности писать надежный production-код. Данная синергия подтверждается практическим бэкграундом разработчика:</w:t>
        <w:br/>
        <w:br/>
        <w:t>1. Академический фундамент в области стратегии и инноваций:</w:t>
        <w:br/>
        <w:t xml:space="preserve">   • НИУ ИТМО (Магистратура, Факультет технологий менеджмента и инноваций): «Технологии и стратегии бизнес-трансформации, Инноватика». Научно-практическая специализация: применение больших языковых моделей (LLM) и AI в аналитике и автоматизации корпоративных стратегий.</w:t>
        <w:br/>
        <w:t xml:space="preserve">   • СПбГУТ им. Бонч-Бруевича: фундаментальная подготовка по анализу больших данных (Big Data) и переподготовка по технологиям ИИ в экономике и финансах.</w:t>
        <w:br/>
        <w:br/>
        <w:t>2. Практический опыт внедрения Industrial AI в добывающем секторе (Восточная горнорудная компания):</w:t>
        <w:br/>
        <w:t xml:space="preserve">   • Внедрение интеллектуального агента обработки дефектов оборудования: автоматический сбор рекламаций из мессенджера MAX в 1С с RAG-поиском по базе знаний ТОиР.</w:t>
        <w:br/>
        <w:t xml:space="preserve">   • Разработка предиктивного контура раннего предупреждения отказов горно-транспортного оборудования (прямой аналог Агента 1 Early Warnings).</w:t>
        <w:br/>
        <w:t xml:space="preserve">   • Проектирование систем оценки эффективности буровзрывных работ (БВР), архитектурно смежных с задачами Департамента бурения «Газпром нефти».</w:t>
        <w:br/>
        <w:br/>
        <w:t>3. Системно-продуктовая экспертиза:</w:t>
        <w:br/>
        <w:t xml:space="preserve">   • Опыт декомпозиции сложных бизнес-процессов (BPMN, UML, User Stories, ТЗ) и перевода абстрактных ожиданий стейкхолдеров в строгие программные контракты данных (Pydantic, JSON Schema).</w:t>
      </w:r>
    </w:p>
    <w:p>
      <w:pPr>
        <w:spacing w:before="240" w:after="80"/>
      </w:pPr>
      <w:r>
        <w:rPr>
          <w:b/>
          <w:color w:val="0066CC"/>
          <w:sz w:val="25"/>
        </w:rPr>
        <w:t>12.2. Матрица управления рисками проекта (Risk Management Matrix)</w:t>
      </w:r>
    </w:p>
    <w:p>
      <w:r>
        <w:t>Для гарантированного достижения результата в срок до декабря идентифицированы ключевые проектные риски и выработаны превентивные меры: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04D9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Идентифицированный риск</w:t>
            </w:r>
          </w:p>
        </w:tc>
        <w:tc>
          <w:tcPr>
            <w:tcW w:type="dxa" w:w="2484"/>
            <w:shd w:val="clear" w:color="auto" w:fill="004D9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Вероятность</w:t>
            </w:r>
          </w:p>
        </w:tc>
        <w:tc>
          <w:tcPr>
            <w:tcW w:type="dxa" w:w="2484"/>
            <w:shd w:val="clear" w:color="auto" w:fill="004D9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Влияние</w:t>
            </w:r>
          </w:p>
        </w:tc>
        <w:tc>
          <w:tcPr>
            <w:tcW w:type="dxa" w:w="2484"/>
            <w:shd w:val="clear" w:color="auto" w:fill="004D9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Превентивная мера разработчика (Mitigation Strategy)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Галлюцинации LLM в цифрах и балансах отчетов ТЭК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pPr>
              <w:jc w:val="center"/>
            </w:pPr>
            <w:r>
              <w:t>Средняя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pPr>
              <w:jc w:val="center"/>
            </w:pPr>
            <w:r>
              <w:t>Критическое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Advanced RAG с Layout-парсером Docling, кросс-энкодером bge-reranker и обязательным цитированием (Faithfulness &gt; 0.95).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Нарушение фирменного стиля и сдвиги верстки слайдов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pPr>
              <w:jc w:val="center"/>
            </w:pPr>
            <w:r>
              <w:t>Низкая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pPr>
              <w:jc w:val="center"/>
            </w:pPr>
            <w:r>
              <w:t>Высокое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Отказ от генерации картинок; прямая подстановка строк в плейсхолдеры официального .pptx шаблона компании через python-pptx.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Разрыв в отраслевой терминологии между отделами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pPr>
              <w:jc w:val="center"/>
            </w:pPr>
            <w:r>
              <w:t>Средняя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pPr>
              <w:jc w:val="center"/>
            </w:pPr>
            <w:r>
              <w:t>Среднее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BFD"/>
          </w:tcPr>
          <w:p>
            <w:r>
              <w:t>Проведение 30-мин установочных интервью со специалистами Бурения, Логистики и ИТ на первой неделе; фиксация YAML-профилей.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Сложности переноса во внутренний закрытый контур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pPr>
              <w:jc w:val="center"/>
            </w:pPr>
            <w:r>
              <w:t>Низкая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pPr>
              <w:jc w:val="center"/>
            </w:pPr>
            <w:r>
              <w:t>Высокое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Model-Agnostic архитектура: стандартизация вызовов через OpenAI-совместимый протокол; переключение на vLLM через файл .env без правок кода.</w:t>
            </w:r>
          </w:p>
        </w:tc>
      </w:tr>
    </w:tbl>
    <w:p>
      <w:pPr>
        <w:spacing w:before="240" w:after="80"/>
      </w:pPr>
      <w:r>
        <w:rPr>
          <w:b/>
          <w:color w:val="0066CC"/>
          <w:sz w:val="25"/>
        </w:rPr>
        <w:t>12.3. Понедельный план реализации проекта на 100 дней (Roadmap до декабря)</w:t>
      </w:r>
    </w:p>
    <w:p>
      <w:r>
        <w:t>• Спринт 1 (Недели 1–3) — Старт и профилирование:</w:t>
        <w:br/>
        <w:t xml:space="preserve">  - Проведение 30-минутных интервью с пилотными отделами (Бурение, Логистика, ИТ).</w:t>
        <w:br/>
        <w:t xml:space="preserve">  - Оцифровка словарей сленга и целевых KPI в формате YAML.</w:t>
        <w:br/>
        <w:t xml:space="preserve">  - Развертывание Агента 1 на бесплатном поисковом движке duckduckgo-search и генерация первых дайджестов в Word.</w:t>
        <w:br/>
        <w:br/>
        <w:t>• Спринт 2 (Недели 4–6) — Сценарный анализ и нода критики:</w:t>
        <w:br/>
        <w:t xml:space="preserve">  - Калибровка 4-факторной формулы скоринга Ноды-Критика на основе регламентов Инвесткомитета.</w:t>
        <w:br/>
        <w:t xml:space="preserve">  - Внедрение цикла рефлексии (Reflexion) в Агенте 2: автоматическая доработка инициатив до балла &gt;= 8.0/10.</w:t>
        <w:br/>
        <w:t xml:space="preserve">  - Развертывание гибридного поиска (Docling + BM25/Dense + bge-reranker-large).</w:t>
        <w:br/>
        <w:br/>
        <w:t>• Спринт 3 (Недели 7–9) — Автогенерация презентаций и сквозной конвейер:</w:t>
        <w:br/>
        <w:t xml:space="preserve">  - Интеграция официального мастер-шаблона .pptx «Газпром нефти» в скрипт сборки слайдов python-pptx.</w:t>
        <w:br/>
        <w:t xml:space="preserve">  - Объединение трех агентов в детерминированный граф состояний LangGraph Studio.</w:t>
        <w:br/>
        <w:t xml:space="preserve">  - Реализация интерфейса Human-in-the-Loop для валидации отчетов экспертами ДСИиУР.</w:t>
        <w:br/>
        <w:br/>
        <w:t>• Спринт 4 (Недели 10–12) — Бенчмаркинг, аудит и защита проекта (Декабрь):</w:t>
        <w:br/>
        <w:t xml:space="preserve">  - Замер метрик качества RAG через Ragas (Faithfulness, Context Precision).</w:t>
        <w:br/>
        <w:t xml:space="preserve">  - Подготовка итоговой демонстрации сквозного цикла для руководства ДСИиУР.</w:t>
        <w:br/>
        <w:t xml:space="preserve">  - Передача полного комплекта исходного кода, тестов и инструкций по переносу в On-Premise.</w:t>
      </w:r>
    </w:p>
    <w:p>
      <w:pPr>
        <w:spacing w:before="240" w:after="80"/>
      </w:pPr>
      <w:r>
        <w:rPr>
          <w:b/>
          <w:color w:val="0066CC"/>
          <w:sz w:val="25"/>
        </w:rPr>
        <w:t>12.4. Репозиторий проекта и гарантия технического сопровождения</w:t>
      </w:r>
    </w:p>
    <w:p>
      <w:r>
        <w:t>Исходный код прототипа оформлен в соответствии с индустриальными стандартами и доступен в репозитории проекта. Кодовая база полностью типизирована (Pydantic v2), покрыта тестами схемы данных и готова к аудиту ИБ.</w:t>
        <w:br/>
        <w:br/>
        <w:t>Как ведущий разработчик, я беру на себя персональное обязательство по полному циклу доведения проекта: от проведения установочных сессий до сдачи работающего конвейера к декабрю и последующей поддержки при переносе в On-Premise.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