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1"/>
        </w:rPr>
        <w:t xml:space="preserve">בבית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לענייני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משפחה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</w:t>
      </w:r>
    </w:p>
    <w:p w:rsidR="00000000" w:rsidDel="00000000" w:rsidP="00000000" w:rsidRDefault="00000000" w:rsidRPr="00000000" w14:paraId="00000002">
      <w:pPr>
        <w:bidi w:val="1"/>
        <w:jc w:val="both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בתל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אביב</w:t>
      </w:r>
      <w:r w:rsidDel="00000000" w:rsidR="00000000" w:rsidRPr="00000000">
        <w:rPr>
          <w:b w:val="1"/>
          <w:sz w:val="18"/>
          <w:szCs w:val="18"/>
          <w:rtl w:val="0"/>
        </w:rPr>
        <w:t xml:space="preserve">                                                                                     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בפני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כב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השו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'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ענת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הלר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כריש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03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בעניין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הקטינים</w:t>
      </w:r>
      <w:r w:rsidDel="00000000" w:rsidR="00000000" w:rsidRPr="00000000">
        <w:rPr>
          <w:b w:val="1"/>
          <w:sz w:val="18"/>
          <w:szCs w:val="18"/>
          <w:rtl w:val="0"/>
        </w:rPr>
        <w:t xml:space="preserve">:       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{{childrenList}}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}}</w:t>
      </w:r>
    </w:p>
    <w:p w:rsidR="00000000" w:rsidDel="00000000" w:rsidP="00000000" w:rsidRDefault="00000000" w:rsidRPr="00000000" w14:paraId="00000005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{{</w:t>
      </w:r>
      <w:r w:rsidDel="00000000" w:rsidR="00000000" w:rsidRPr="00000000">
        <w:rPr>
          <w:sz w:val="18"/>
          <w:szCs w:val="18"/>
          <w:rtl w:val="0"/>
        </w:rPr>
        <w:t xml:space="preserve">address</w:t>
      </w:r>
      <w:r w:rsidDel="00000000" w:rsidR="00000000" w:rsidRPr="00000000">
        <w:rPr>
          <w:sz w:val="18"/>
          <w:szCs w:val="18"/>
          <w:rtl w:val="1"/>
        </w:rPr>
        <w:t xml:space="preserve">}}  </w:t>
        <w:tab/>
        <w:tab/>
        <w:t xml:space="preserve"> </w:t>
      </w:r>
    </w:p>
    <w:p w:rsidR="00000000" w:rsidDel="00000000" w:rsidP="00000000" w:rsidRDefault="00000000" w:rsidRPr="00000000" w14:paraId="00000006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ab/>
        <w:tab/>
        <w:t xml:space="preserve">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באמצעות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כ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עוה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אריאל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דרור</w:t>
      </w:r>
      <w:r w:rsidDel="00000000" w:rsidR="00000000" w:rsidRPr="00000000">
        <w:rPr>
          <w:b w:val="1"/>
          <w:sz w:val="18"/>
          <w:szCs w:val="18"/>
          <w:rtl w:val="1"/>
        </w:rPr>
        <w:t xml:space="preserve"> (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ר</w:t>
      </w:r>
      <w:r w:rsidDel="00000000" w:rsidR="00000000" w:rsidRPr="00000000">
        <w:rPr>
          <w:b w:val="1"/>
          <w:sz w:val="18"/>
          <w:szCs w:val="18"/>
          <w:rtl w:val="1"/>
        </w:rPr>
        <w:t xml:space="preserve"> 31892)</w:t>
      </w:r>
    </w:p>
    <w:p w:rsidR="00000000" w:rsidDel="00000000" w:rsidP="00000000" w:rsidRDefault="00000000" w:rsidRPr="00000000" w14:paraId="00000007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 xml:space="preserve">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מרח</w:t>
      </w:r>
      <w:r w:rsidDel="00000000" w:rsidR="00000000" w:rsidRPr="00000000">
        <w:rPr>
          <w:sz w:val="18"/>
          <w:szCs w:val="18"/>
          <w:rtl w:val="1"/>
        </w:rPr>
        <w:t xml:space="preserve">' </w:t>
      </w:r>
      <w:r w:rsidDel="00000000" w:rsidR="00000000" w:rsidRPr="00000000">
        <w:rPr>
          <w:sz w:val="18"/>
          <w:szCs w:val="18"/>
          <w:rtl w:val="1"/>
        </w:rPr>
        <w:t xml:space="preserve">אבא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שאול</w:t>
      </w:r>
      <w:r w:rsidDel="00000000" w:rsidR="00000000" w:rsidRPr="00000000">
        <w:rPr>
          <w:sz w:val="18"/>
          <w:szCs w:val="18"/>
          <w:rtl w:val="1"/>
        </w:rPr>
        <w:t xml:space="preserve"> 15, </w:t>
      </w:r>
      <w:r w:rsidDel="00000000" w:rsidR="00000000" w:rsidRPr="00000000">
        <w:rPr>
          <w:sz w:val="18"/>
          <w:szCs w:val="18"/>
          <w:rtl w:val="1"/>
        </w:rPr>
        <w:t xml:space="preserve">רמת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גן</w:t>
      </w:r>
      <w:r w:rsidDel="00000000" w:rsidR="00000000" w:rsidRPr="00000000">
        <w:rPr>
          <w:sz w:val="18"/>
          <w:szCs w:val="18"/>
          <w:rtl w:val="1"/>
        </w:rPr>
        <w:t xml:space="preserve"> </w:t>
      </w:r>
    </w:p>
    <w:p w:rsidR="00000000" w:rsidDel="00000000" w:rsidP="00000000" w:rsidRDefault="00000000" w:rsidRPr="00000000" w14:paraId="00000008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ab/>
        <w:tab/>
        <w:t xml:space="preserve">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03-6951408   </w:t>
      </w:r>
      <w:r w:rsidDel="00000000" w:rsidR="00000000" w:rsidRPr="00000000">
        <w:rPr>
          <w:sz w:val="18"/>
          <w:szCs w:val="18"/>
          <w:rtl w:val="1"/>
        </w:rPr>
        <w:t xml:space="preserve">פקס</w:t>
      </w:r>
      <w:r w:rsidDel="00000000" w:rsidR="00000000" w:rsidRPr="00000000">
        <w:rPr>
          <w:sz w:val="18"/>
          <w:szCs w:val="18"/>
          <w:rtl w:val="1"/>
        </w:rPr>
        <w:t xml:space="preserve">: 03-6951683                  </w:t>
      </w:r>
    </w:p>
    <w:p w:rsidR="00000000" w:rsidDel="00000000" w:rsidP="00000000" w:rsidRDefault="00000000" w:rsidRPr="00000000" w14:paraId="00000009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                                                 </w:t>
      </w:r>
      <w:r w:rsidDel="00000000" w:rsidR="00000000" w:rsidRPr="00000000">
        <w:rPr>
          <w:b w:val="1"/>
          <w:sz w:val="18"/>
          <w:szCs w:val="18"/>
          <w:rtl w:val="1"/>
        </w:rPr>
        <w:t xml:space="preserve">נגד</w:t>
      </w:r>
    </w:p>
    <w:p w:rsidR="00000000" w:rsidDel="00000000" w:rsidP="00000000" w:rsidRDefault="00000000" w:rsidRPr="00000000" w14:paraId="0000000A">
      <w:pPr>
        <w:bidi w:val="1"/>
        <w:jc w:val="both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u w:val="single"/>
          <w:rtl w:val="1"/>
        </w:rPr>
        <w:t xml:space="preserve">הנתבע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0"/>
        </w:rPr>
        <w:t xml:space="preserve">: </w:t>
        <w:tab/>
        <w:t xml:space="preserve">                     {{</w:t>
      </w:r>
      <w:r w:rsidDel="00000000" w:rsidR="00000000" w:rsidRPr="00000000">
        <w:rPr>
          <w:b w:val="1"/>
          <w:sz w:val="18"/>
          <w:szCs w:val="18"/>
          <w:rtl w:val="0"/>
        </w:rPr>
        <w:t xml:space="preserve">fullName</w:t>
      </w:r>
      <w:r w:rsidDel="00000000" w:rsidR="00000000" w:rsidRPr="00000000">
        <w:rPr>
          <w:b w:val="1"/>
          <w:sz w:val="18"/>
          <w:szCs w:val="18"/>
          <w:rtl w:val="1"/>
        </w:rPr>
        <w:t xml:space="preserve">2}} </w:t>
      </w:r>
      <w:r w:rsidDel="00000000" w:rsidR="00000000" w:rsidRPr="00000000">
        <w:rPr>
          <w:b w:val="1"/>
          <w:sz w:val="18"/>
          <w:szCs w:val="18"/>
          <w:rtl w:val="1"/>
        </w:rPr>
        <w:t xml:space="preserve">מ</w:t>
      </w:r>
      <w:r w:rsidDel="00000000" w:rsidR="00000000" w:rsidRPr="00000000">
        <w:rPr>
          <w:b w:val="1"/>
          <w:sz w:val="18"/>
          <w:szCs w:val="18"/>
          <w:rtl w:val="1"/>
        </w:rPr>
        <w:t xml:space="preserve">"</w:t>
      </w:r>
      <w:r w:rsidDel="00000000" w:rsidR="00000000" w:rsidRPr="00000000">
        <w:rPr>
          <w:b w:val="1"/>
          <w:sz w:val="18"/>
          <w:szCs w:val="18"/>
          <w:rtl w:val="1"/>
        </w:rPr>
        <w:t xml:space="preserve">ז</w:t>
      </w:r>
      <w:r w:rsidDel="00000000" w:rsidR="00000000" w:rsidRPr="00000000">
        <w:rPr>
          <w:b w:val="1"/>
          <w:sz w:val="18"/>
          <w:szCs w:val="18"/>
          <w:rtl w:val="1"/>
        </w:rPr>
        <w:t xml:space="preserve"> {{</w:t>
      </w:r>
      <w:r w:rsidDel="00000000" w:rsidR="00000000" w:rsidRPr="00000000">
        <w:rPr>
          <w:b w:val="1"/>
          <w:sz w:val="18"/>
          <w:szCs w:val="18"/>
          <w:rtl w:val="0"/>
        </w:rPr>
        <w:t xml:space="preserve">idNumber</w:t>
      </w:r>
      <w:r w:rsidDel="00000000" w:rsidR="00000000" w:rsidRPr="00000000">
        <w:rPr>
          <w:b w:val="1"/>
          <w:sz w:val="18"/>
          <w:szCs w:val="18"/>
          <w:rtl w:val="1"/>
        </w:rPr>
        <w:t xml:space="preserve">2}}</w:t>
      </w:r>
    </w:p>
    <w:p w:rsidR="00000000" w:rsidDel="00000000" w:rsidP="00000000" w:rsidRDefault="00000000" w:rsidRPr="00000000" w14:paraId="0000000B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טל</w:t>
      </w:r>
      <w:r w:rsidDel="00000000" w:rsidR="00000000" w:rsidRPr="00000000">
        <w:rPr>
          <w:sz w:val="18"/>
          <w:szCs w:val="18"/>
          <w:rtl w:val="1"/>
        </w:rPr>
        <w:t xml:space="preserve">: {{</w:t>
      </w:r>
      <w:r w:rsidDel="00000000" w:rsidR="00000000" w:rsidRPr="00000000">
        <w:rPr>
          <w:sz w:val="18"/>
          <w:szCs w:val="18"/>
          <w:rtl w:val="0"/>
        </w:rPr>
        <w:t xml:space="preserve">phone</w:t>
      </w:r>
      <w:r w:rsidDel="00000000" w:rsidR="00000000" w:rsidRPr="00000000">
        <w:rPr>
          <w:sz w:val="18"/>
          <w:szCs w:val="18"/>
          <w:rtl w:val="1"/>
        </w:rPr>
        <w:t xml:space="preserve">2}}                                                      </w:t>
      </w:r>
    </w:p>
    <w:p w:rsidR="00000000" w:rsidDel="00000000" w:rsidP="00000000" w:rsidRDefault="00000000" w:rsidRPr="00000000" w14:paraId="0000000C">
      <w:pPr>
        <w:bidi w:val="1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18"/>
          <w:szCs w:val="18"/>
          <w:rtl w:val="1"/>
        </w:rPr>
        <w:t xml:space="preserve">                                         </w:t>
      </w:r>
      <w:r w:rsidDel="00000000" w:rsidR="00000000" w:rsidRPr="00000000">
        <w:rPr>
          <w:sz w:val="18"/>
          <w:szCs w:val="18"/>
          <w:rtl w:val="1"/>
        </w:rPr>
        <w:t xml:space="preserve">דוא</w:t>
      </w:r>
      <w:r w:rsidDel="00000000" w:rsidR="00000000" w:rsidRPr="00000000">
        <w:rPr>
          <w:sz w:val="18"/>
          <w:szCs w:val="18"/>
          <w:rtl w:val="1"/>
        </w:rPr>
        <w:t xml:space="preserve">"</w:t>
      </w:r>
      <w:r w:rsidDel="00000000" w:rsidR="00000000" w:rsidRPr="00000000">
        <w:rPr>
          <w:sz w:val="18"/>
          <w:szCs w:val="18"/>
          <w:rtl w:val="1"/>
        </w:rPr>
        <w:t xml:space="preserve">ל</w:t>
      </w:r>
      <w:r w:rsidDel="00000000" w:rsidR="00000000" w:rsidRPr="00000000">
        <w:rPr>
          <w:sz w:val="18"/>
          <w:szCs w:val="18"/>
          <w:rtl w:val="1"/>
        </w:rPr>
        <w:t xml:space="preserve">: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{{email2}}</w:t>
      </w:r>
      <w:r w:rsidDel="00000000" w:rsidR="00000000" w:rsidRPr="00000000">
        <w:rPr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0D">
      <w:pPr>
        <w:bidi w:val="1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תביעת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b w:val="1"/>
          <w:sz w:val="30"/>
          <w:szCs w:val="30"/>
          <w:u w:val="single"/>
          <w:rtl w:val="1"/>
        </w:rPr>
        <w:t xml:space="preserve">משמורת</w:t>
      </w:r>
    </w:p>
    <w:p w:rsidR="00000000" w:rsidDel="00000000" w:rsidP="00000000" w:rsidRDefault="00000000" w:rsidRPr="00000000" w14:paraId="0000000E">
      <w:pPr>
        <w:bidi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התובעת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מתכבדת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להגיש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לכבוד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המשפט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את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כתב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התביעה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בעניין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משמורת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הקטינות</w:t>
      </w:r>
      <w:r w:rsidDel="00000000" w:rsidR="00000000" w:rsidRPr="00000000">
        <w:rPr>
          <w:b w:val="1"/>
          <w:sz w:val="20"/>
          <w:szCs w:val="20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סכום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אגרת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משפט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388₪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סעיף</w:t>
      </w:r>
      <w:r w:rsidDel="00000000" w:rsidR="00000000" w:rsidRPr="00000000">
        <w:rPr>
          <w:sz w:val="20"/>
          <w:szCs w:val="20"/>
          <w:rtl w:val="1"/>
        </w:rPr>
        <w:t xml:space="preserve"> 6</w:t>
      </w:r>
      <w:r w:rsidDel="00000000" w:rsidR="00000000" w:rsidRPr="00000000">
        <w:rPr>
          <w:sz w:val="20"/>
          <w:szCs w:val="20"/>
          <w:rtl w:val="1"/>
        </w:rPr>
        <w:t xml:space="preserve">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לתוספת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הראשונה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אגרות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תשנ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ו</w:t>
      </w:r>
      <w:r w:rsidDel="00000000" w:rsidR="00000000" w:rsidRPr="00000000">
        <w:rPr>
          <w:sz w:val="20"/>
          <w:szCs w:val="20"/>
          <w:rtl w:val="1"/>
        </w:rPr>
        <w:t xml:space="preserve">-1995.</w:t>
      </w:r>
    </w:p>
    <w:p w:rsidR="00000000" w:rsidDel="00000000" w:rsidP="00000000" w:rsidRDefault="00000000" w:rsidRPr="00000000" w14:paraId="00000010">
      <w:pPr>
        <w:bidi w:val="1"/>
        <w:spacing w:after="12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הליכים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נוספים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ככל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שיש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spacing w:after="6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לדין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הואיל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והתובעת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הגישה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תביעה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נגדך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אתה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מוזמן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להגיש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בתוך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שלושים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ימים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מיום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שהומצאה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לך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הזמנה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זו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13(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)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בית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משפט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לענייני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משפחה</w:t>
      </w:r>
      <w:r w:rsidDel="00000000" w:rsidR="00000000" w:rsidRPr="00000000">
        <w:rPr>
          <w:sz w:val="20"/>
          <w:szCs w:val="20"/>
          <w:rtl w:val="1"/>
        </w:rPr>
        <w:t xml:space="preserve"> (</w:t>
      </w:r>
      <w:r w:rsidDel="00000000" w:rsidR="00000000" w:rsidRPr="00000000">
        <w:rPr>
          <w:sz w:val="20"/>
          <w:szCs w:val="20"/>
          <w:rtl w:val="1"/>
        </w:rPr>
        <w:t xml:space="preserve">סדרי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), </w:t>
      </w:r>
      <w:r w:rsidDel="00000000" w:rsidR="00000000" w:rsidRPr="00000000">
        <w:rPr>
          <w:sz w:val="20"/>
          <w:szCs w:val="20"/>
          <w:rtl w:val="1"/>
        </w:rPr>
        <w:t xml:space="preserve">התשפ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א</w:t>
      </w:r>
      <w:r w:rsidDel="00000000" w:rsidR="00000000" w:rsidRPr="00000000">
        <w:rPr>
          <w:sz w:val="20"/>
          <w:szCs w:val="20"/>
          <w:rtl w:val="1"/>
        </w:rPr>
        <w:t xml:space="preserve">-2020.</w:t>
      </w:r>
    </w:p>
    <w:p w:rsidR="00000000" w:rsidDel="00000000" w:rsidP="00000000" w:rsidRDefault="00000000" w:rsidRPr="00000000" w14:paraId="00000013">
      <w:pPr>
        <w:bidi w:val="1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1"/>
        </w:rPr>
        <w:t xml:space="preserve">לתשומת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לבך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אם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תגיש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כתב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הגנה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אזי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לפי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תקנה</w:t>
      </w:r>
      <w:r w:rsidDel="00000000" w:rsidR="00000000" w:rsidRPr="00000000">
        <w:rPr>
          <w:sz w:val="20"/>
          <w:szCs w:val="20"/>
          <w:rtl w:val="1"/>
        </w:rPr>
        <w:t xml:space="preserve"> 130 </w:t>
      </w:r>
      <w:r w:rsidDel="00000000" w:rsidR="00000000" w:rsidRPr="00000000">
        <w:rPr>
          <w:sz w:val="20"/>
          <w:szCs w:val="20"/>
          <w:rtl w:val="1"/>
        </w:rPr>
        <w:t xml:space="preserve">לתקנות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סדר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האזרחי</w:t>
      </w:r>
      <w:r w:rsidDel="00000000" w:rsidR="00000000" w:rsidRPr="00000000">
        <w:rPr>
          <w:sz w:val="20"/>
          <w:szCs w:val="20"/>
          <w:rtl w:val="1"/>
        </w:rPr>
        <w:t xml:space="preserve">, </w:t>
      </w:r>
      <w:r w:rsidDel="00000000" w:rsidR="00000000" w:rsidRPr="00000000">
        <w:rPr>
          <w:sz w:val="20"/>
          <w:szCs w:val="20"/>
          <w:rtl w:val="1"/>
        </w:rPr>
        <w:t xml:space="preserve">התשע</w:t>
      </w:r>
      <w:r w:rsidDel="00000000" w:rsidR="00000000" w:rsidRPr="00000000">
        <w:rPr>
          <w:sz w:val="20"/>
          <w:szCs w:val="20"/>
          <w:rtl w:val="1"/>
        </w:rPr>
        <w:t xml:space="preserve">"</w:t>
      </w:r>
      <w:r w:rsidDel="00000000" w:rsidR="00000000" w:rsidRPr="00000000">
        <w:rPr>
          <w:sz w:val="20"/>
          <w:szCs w:val="20"/>
          <w:rtl w:val="1"/>
        </w:rPr>
        <w:t xml:space="preserve">ט</w:t>
      </w:r>
      <w:r w:rsidDel="00000000" w:rsidR="00000000" w:rsidRPr="00000000">
        <w:rPr>
          <w:sz w:val="20"/>
          <w:szCs w:val="20"/>
          <w:rtl w:val="1"/>
        </w:rPr>
        <w:t xml:space="preserve">-2018, </w:t>
      </w:r>
      <w:r w:rsidDel="00000000" w:rsidR="00000000" w:rsidRPr="00000000">
        <w:rPr>
          <w:sz w:val="20"/>
          <w:szCs w:val="20"/>
          <w:rtl w:val="1"/>
        </w:rPr>
        <w:t xml:space="preserve">תהיה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לתובעת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הזכות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לקבל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פסק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דין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שלא</w:t>
      </w:r>
      <w:r w:rsidDel="00000000" w:rsidR="00000000" w:rsidRPr="00000000">
        <w:rPr>
          <w:sz w:val="20"/>
          <w:szCs w:val="20"/>
          <w:rtl w:val="1"/>
        </w:rPr>
        <w:t xml:space="preserve"> </w:t>
      </w:r>
      <w:r w:rsidDel="00000000" w:rsidR="00000000" w:rsidRPr="00000000">
        <w:rPr>
          <w:sz w:val="20"/>
          <w:szCs w:val="20"/>
          <w:rtl w:val="1"/>
        </w:rPr>
        <w:t xml:space="preserve">בפניך</w:t>
      </w:r>
      <w:r w:rsidDel="00000000" w:rsidR="00000000" w:rsidRPr="00000000">
        <w:rPr>
          <w:sz w:val="20"/>
          <w:szCs w:val="2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ind w:left="60" w:firstLine="0"/>
        <w:jc w:val="both"/>
        <w:rPr>
          <w:sz w:val="21"/>
          <w:szCs w:val="2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עיקר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הטענות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1.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תיאור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של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בעלי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הדין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bidi w:val="1"/>
        <w:spacing w:after="240" w:before="240" w:lineRule="auto"/>
        <w:ind w:left="720" w:hanging="36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Copy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from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רכושית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like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make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same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ind w:left="60" w:firstLine="0"/>
        <w:jc w:val="both"/>
        <w:rPr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2.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הסעד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המבוקש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באופן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 </w:t>
      </w:r>
      <w:r w:rsidDel="00000000" w:rsidR="00000000" w:rsidRPr="00000000">
        <w:rPr>
          <w:b w:val="1"/>
          <w:sz w:val="21"/>
          <w:szCs w:val="21"/>
          <w:u w:val="single"/>
          <w:rtl w:val="1"/>
        </w:rPr>
        <w:t xml:space="preserve">תמציתי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bidi w:val="1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למנות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פקיד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סעד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שיתן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תסקיר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bidi w:val="1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לקבוע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הסדרי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ראיה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וחלוקת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זמנים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בפועל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לפי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טובת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הילדים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ליתן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סעדים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זמנים</w:t>
      </w:r>
      <w:r w:rsidDel="00000000" w:rsidR="00000000" w:rsidRPr="00000000">
        <w:rPr>
          <w:sz w:val="18"/>
          <w:szCs w:val="18"/>
          <w:rtl w:val="1"/>
        </w:rPr>
        <w:t xml:space="preserve">, </w:t>
      </w:r>
      <w:r w:rsidDel="00000000" w:rsidR="00000000" w:rsidRPr="00000000">
        <w:rPr>
          <w:sz w:val="18"/>
          <w:szCs w:val="18"/>
          <w:rtl w:val="1"/>
        </w:rPr>
        <w:t xml:space="preserve">ככל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שבית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המשפט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יחשוב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שזה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עולה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בקנה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אחד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עם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טובת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הילדים</w:t>
      </w:r>
      <w:r w:rsidDel="00000000" w:rsidR="00000000" w:rsidRPr="00000000">
        <w:rPr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bidi w:val="1"/>
        <w:ind w:left="60" w:firstLine="0"/>
        <w:jc w:val="both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ind w:left="60" w:firstLine="0"/>
        <w:jc w:val="both"/>
        <w:rPr>
          <w:sz w:val="21"/>
          <w:szCs w:val="21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חלק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פירוט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העובדות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המבססות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טענות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התובעת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bidi w:val="1"/>
        <w:ind w:left="60" w:firstLine="0"/>
        <w:jc w:val="both"/>
        <w:rPr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תאריך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נישואין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bidi w:val="1"/>
        <w:spacing w:after="0" w:after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הצדדים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same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as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היחסים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in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רכושית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but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without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ילדים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bidi w:val="1"/>
        <w:spacing w:after="120" w:lineRule="auto"/>
        <w:ind w:left="720" w:hanging="360"/>
        <w:rPr>
          <w:rFonts w:ascii="David" w:cs="David" w:eastAsia="David" w:hAnsi="David"/>
          <w:b w:val="1"/>
          <w:sz w:val="28"/>
          <w:szCs w:val="28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something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like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0"/>
        </w:rPr>
        <w:t xml:space="preserve">this</w:t>
      </w:r>
      <w:r w:rsidDel="00000000" w:rsidR="00000000" w:rsidRPr="00000000">
        <w:rPr>
          <w:rFonts w:ascii="David" w:cs="David" w:eastAsia="David" w:hAnsi="David"/>
          <w:b w:val="1"/>
          <w:sz w:val="28"/>
          <w:szCs w:val="28"/>
          <w:u w:val="single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להב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235138419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235138419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2021-08-05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כתובת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יצחק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שדה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1113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אזור</w:t>
      </w:r>
      <w:r w:rsidDel="00000000" w:rsidR="00000000" w:rsidRPr="00000000">
        <w:rPr>
          <w:color w:val="1a1a1a"/>
          <w:sz w:val="18"/>
          <w:szCs w:val="18"/>
          <w:rtl w:val="1"/>
        </w:rPr>
        <w:br w:type="textWrapping"/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ההורה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שלא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התובע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דניאל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</w:p>
    <w:p w:rsidR="00000000" w:rsidDel="00000000" w:rsidP="00000000" w:rsidRDefault="00000000" w:rsidRPr="00000000" w14:paraId="00000022">
      <w:pPr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Detailed explanation ritten in third person based on the relationship with each child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ind w:left="720" w:firstLine="0"/>
        <w:jc w:val="both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•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ליאו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235138427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235138427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״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2021-08-05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כתובת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יצחק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שדה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1113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אזור</w:t>
      </w:r>
      <w:r w:rsidDel="00000000" w:rsidR="00000000" w:rsidRPr="00000000">
        <w:rPr>
          <w:color w:val="1a1a1a"/>
          <w:sz w:val="18"/>
          <w:szCs w:val="18"/>
          <w:rtl w:val="1"/>
        </w:rPr>
        <w:br w:type="textWrapping"/>
        <w:tab/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ההורה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שלא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התובע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: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דניאל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גמבר</w:t>
      </w:r>
    </w:p>
    <w:p w:rsidR="00000000" w:rsidDel="00000000" w:rsidP="00000000" w:rsidRDefault="00000000" w:rsidRPr="00000000" w14:paraId="00000024">
      <w:pPr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Detailed explanation ritten in third person based on the relationship with each child</w:t>
      </w:r>
    </w:p>
    <w:p w:rsidR="00000000" w:rsidDel="00000000" w:rsidP="00000000" w:rsidRDefault="00000000" w:rsidRPr="00000000" w14:paraId="00000025">
      <w:pPr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0"/>
        </w:rPr>
        <w:t xml:space="preserve">A summary of relationship written with ai- example:</w:t>
      </w:r>
    </w:p>
    <w:p w:rsidR="00000000" w:rsidDel="00000000" w:rsidP="00000000" w:rsidRDefault="00000000" w:rsidRPr="00000000" w14:paraId="00000027">
      <w:pPr>
        <w:spacing w:after="120" w:lineRule="auto"/>
        <w:ind w:left="720" w:firstLine="0"/>
        <w:rPr>
          <w:color w:val="1a1a1a"/>
          <w:sz w:val="18"/>
          <w:szCs w:val="18"/>
        </w:rPr>
      </w:pPr>
      <w:r w:rsidDel="00000000" w:rsidR="00000000" w:rsidRPr="00000000">
        <w:rPr>
          <w:color w:val="1a1a1a"/>
          <w:sz w:val="18"/>
          <w:szCs w:val="18"/>
          <w:rtl w:val="1"/>
        </w:rPr>
        <w:t xml:space="preserve">הילדים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מתגוררים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ועם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בנה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הבכור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ממערכת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יחסים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קודמת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(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13),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כשהאם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היא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הנושאת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הבלעדית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והשוטפת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בכל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צורכי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הקטינים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-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פיזיים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חינוכיים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רגשיים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ורפואיים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-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באופן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עקבי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ומסור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נגד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(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הנתבע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)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קיים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צו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הרחקה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מיום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15.05.2025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מהאם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ומהקטין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עוז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בנה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מנישואיה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הקודמים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צו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המבהיר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הצורך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בהמשך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הגנה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התא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המשפחתי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אף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חובתו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ההורית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אינו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נוטל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אחריות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קבועה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ומובנית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לטיפול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בילדים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אלא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מבקש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לראותם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באופן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אקראי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ובהתאם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לרצונו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בלבד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דבר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הפוגע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ביציבותם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ובהסדרי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חייהם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.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בנסיבות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אלה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מתבקש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בית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המשפט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לקבוע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כי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מקום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מגוריהם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הקבוע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הקטינים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יוסיף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ויהיה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אצל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,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ולהסדיר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קשר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עם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האב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-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ככל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שייקבע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-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במסגרת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מסודרת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ומפוקחת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המשרתת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את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טובת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 </w:t>
      </w:r>
      <w:r w:rsidDel="00000000" w:rsidR="00000000" w:rsidRPr="00000000">
        <w:rPr>
          <w:color w:val="1a1a1a"/>
          <w:sz w:val="18"/>
          <w:szCs w:val="18"/>
          <w:rtl w:val="1"/>
        </w:rPr>
        <w:t xml:space="preserve">הקטינים</w:t>
      </w:r>
      <w:r w:rsidDel="00000000" w:rsidR="00000000" w:rsidRPr="00000000">
        <w:rPr>
          <w:color w:val="1a1a1a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8">
      <w:pPr>
        <w:bidi w:val="1"/>
        <w:spacing w:after="240" w:before="240" w:lineRule="auto"/>
        <w:ind w:left="0" w:firstLine="0"/>
        <w:jc w:val="both"/>
        <w:rPr>
          <w:color w:val="1a1a1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hd w:fill="ffffff" w:val="clear"/>
        <w:bidi w:val="1"/>
        <w:spacing w:after="120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סעדים</w:t>
      </w:r>
      <w:r w:rsidDel="00000000" w:rsidR="00000000" w:rsidRPr="00000000">
        <w:rPr>
          <w:b w:val="1"/>
          <w:sz w:val="20"/>
          <w:szCs w:val="2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2A">
      <w:pPr>
        <w:shd w:fill="ffffff" w:val="clear"/>
        <w:bidi w:val="1"/>
        <w:spacing w:after="120" w:lineRule="auto"/>
        <w:ind w:left="72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1.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למנות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פקיד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סעד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שיתן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תסקיר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bidi w:val="1"/>
        <w:spacing w:after="120" w:lineRule="auto"/>
        <w:ind w:left="720" w:firstLine="0"/>
        <w:jc w:val="both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2.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לקבוע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הסדרי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ראיה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וחלוקת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זמנים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בפועל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לפי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טובת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הילדים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bidi w:val="1"/>
        <w:spacing w:after="120" w:lineRule="auto"/>
        <w:ind w:left="720" w:firstLine="0"/>
        <w:jc w:val="both"/>
        <w:rPr>
          <w:color w:val="1a1a1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18"/>
          <w:szCs w:val="18"/>
          <w:rtl w:val="1"/>
        </w:rPr>
        <w:t xml:space="preserve">3. </w:t>
      </w:r>
      <w:r w:rsidDel="00000000" w:rsidR="00000000" w:rsidRPr="00000000">
        <w:rPr>
          <w:b w:val="1"/>
          <w:sz w:val="18"/>
          <w:szCs w:val="18"/>
          <w:rtl w:val="1"/>
        </w:rPr>
        <w:t xml:space="preserve">ליתן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סעדים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זמנים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, </w:t>
      </w:r>
      <w:r w:rsidDel="00000000" w:rsidR="00000000" w:rsidRPr="00000000">
        <w:rPr>
          <w:b w:val="1"/>
          <w:sz w:val="18"/>
          <w:szCs w:val="18"/>
          <w:rtl w:val="1"/>
        </w:rPr>
        <w:t xml:space="preserve">ככל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שבית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המשפט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יחשוב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שזה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עולה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בקנה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אחד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עם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טובת</w:t>
      </w:r>
      <w:r w:rsidDel="00000000" w:rsidR="00000000" w:rsidRPr="00000000">
        <w:rPr>
          <w:b w:val="1"/>
          <w:sz w:val="18"/>
          <w:szCs w:val="18"/>
          <w:rtl w:val="1"/>
        </w:rPr>
        <w:t xml:space="preserve"> </w:t>
      </w:r>
      <w:r w:rsidDel="00000000" w:rsidR="00000000" w:rsidRPr="00000000">
        <w:rPr>
          <w:b w:val="1"/>
          <w:sz w:val="18"/>
          <w:szCs w:val="18"/>
          <w:rtl w:val="1"/>
        </w:rPr>
        <w:t xml:space="preserve">הילדים</w:t>
      </w:r>
      <w:r w:rsidDel="00000000" w:rsidR="00000000" w:rsidRPr="00000000">
        <w:rPr>
          <w:b w:val="1"/>
          <w:sz w:val="18"/>
          <w:szCs w:val="1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>
          <w:b w:val="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bidi w:val="1"/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bidi w:val="1"/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הצארה</w:t>
      </w:r>
    </w:p>
    <w:p w:rsidR="00000000" w:rsidDel="00000000" w:rsidP="00000000" w:rsidRDefault="00000000" w:rsidRPr="00000000" w14:paraId="00000030">
      <w:pPr>
        <w:shd w:fill="ffffff" w:val="clear"/>
        <w:bidi w:val="1"/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ייפוי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כוח</w:t>
      </w:r>
    </w:p>
    <w:p w:rsidR="00000000" w:rsidDel="00000000" w:rsidP="00000000" w:rsidRDefault="00000000" w:rsidRPr="00000000" w14:paraId="00000031">
      <w:pPr>
        <w:shd w:fill="ffffff" w:val="clear"/>
        <w:bidi w:val="1"/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הצהרה</w:t>
      </w:r>
    </w:p>
    <w:p w:rsidR="00000000" w:rsidDel="00000000" w:rsidP="00000000" w:rsidRDefault="00000000" w:rsidRPr="00000000" w14:paraId="00000032">
      <w:pPr>
        <w:shd w:fill="ffffff" w:val="clear"/>
        <w:bidi w:val="1"/>
        <w:spacing w:after="12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avi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