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15" w:rsidRDefault="000F6DF3" w:rsidP="00B5621F">
      <w:pPr>
        <w:pStyle w:val="2"/>
        <w:spacing w:beforeLines="50" w:afterLines="50" w:line="360" w:lineRule="auto"/>
        <w:jc w:val="center"/>
        <w:rPr>
          <w:rFonts w:ascii="Times New Roman" w:eastAsiaTheme="minorEastAsia" w:hAnsi="Times New Roman"/>
          <w:sz w:val="44"/>
          <w:szCs w:val="44"/>
        </w:rPr>
      </w:pPr>
      <w:r>
        <w:rPr>
          <w:rFonts w:ascii="Times New Roman" w:eastAsiaTheme="minorEastAsia" w:hAnsiTheme="minorEastAsia"/>
          <w:sz w:val="44"/>
          <w:szCs w:val="44"/>
        </w:rPr>
        <w:t>证据目录</w:t>
      </w:r>
    </w:p>
    <w:p w:rsidR="000F1E15" w:rsidRDefault="000F6DF3">
      <w:pPr>
        <w:spacing w:line="360" w:lineRule="auto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申请人：</w:t>
      </w:r>
      <w:r>
        <w:rPr>
          <w:rFonts w:ascii="仿宋" w:eastAsia="仿宋" w:hAnsi="仿宋" w:cs="仿宋" w:hint="eastAsia"/>
          <w:b/>
          <w:sz w:val="24"/>
        </w:rPr>
        <w:t>南海成长（天津）股权投资基金合伙企业（有限合伙）</w:t>
      </w:r>
    </w:p>
    <w:p w:rsidR="000F1E15" w:rsidRDefault="000F6DF3">
      <w:pPr>
        <w:spacing w:line="360" w:lineRule="auto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被申请人</w:t>
      </w:r>
      <w:r>
        <w:rPr>
          <w:rFonts w:ascii="仿宋" w:eastAsia="仿宋" w:hAnsi="仿宋" w:cs="仿宋" w:hint="eastAsia"/>
          <w:b/>
          <w:sz w:val="24"/>
        </w:rPr>
        <w:t>一：</w:t>
      </w:r>
      <w:r>
        <w:rPr>
          <w:rFonts w:ascii="仿宋" w:eastAsia="仿宋" w:hAnsi="仿宋" w:cs="仿宋" w:hint="eastAsia"/>
          <w:b/>
          <w:sz w:val="24"/>
        </w:rPr>
        <w:t>庄锦明</w:t>
      </w:r>
      <w:r>
        <w:rPr>
          <w:rFonts w:ascii="仿宋" w:eastAsia="仿宋" w:hAnsi="仿宋" w:cs="仿宋" w:hint="eastAsia"/>
          <w:b/>
          <w:sz w:val="24"/>
        </w:rPr>
        <w:t xml:space="preserve">               </w:t>
      </w:r>
      <w:r>
        <w:rPr>
          <w:rFonts w:ascii="仿宋" w:eastAsia="仿宋" w:hAnsi="仿宋" w:cs="仿宋" w:hint="eastAsia"/>
          <w:b/>
          <w:sz w:val="24"/>
        </w:rPr>
        <w:t>被申请人</w:t>
      </w:r>
      <w:r>
        <w:rPr>
          <w:rFonts w:ascii="仿宋" w:eastAsia="仿宋" w:hAnsi="仿宋" w:cs="仿宋" w:hint="eastAsia"/>
          <w:b/>
          <w:sz w:val="24"/>
        </w:rPr>
        <w:t>二：</w:t>
      </w:r>
      <w:r>
        <w:rPr>
          <w:rFonts w:ascii="仿宋" w:eastAsia="仿宋" w:hAnsi="仿宋" w:cs="仿宋" w:hint="eastAsia"/>
          <w:b/>
          <w:sz w:val="24"/>
        </w:rPr>
        <w:t>厦门中健网农股份有限公司</w:t>
      </w:r>
    </w:p>
    <w:tbl>
      <w:tblPr>
        <w:tblW w:w="8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032"/>
        <w:gridCol w:w="4394"/>
        <w:gridCol w:w="946"/>
        <w:gridCol w:w="779"/>
      </w:tblGrid>
      <w:tr w:rsidR="000F1E15">
        <w:trPr>
          <w:trHeight w:val="57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1E15" w:rsidRDefault="000F6DF3">
            <w:pPr>
              <w:jc w:val="center"/>
              <w:rPr>
                <w:rFonts w:ascii="仿宋" w:eastAsia="仿宋" w:hAnsi="仿宋" w:cs="仿宋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编号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1E15" w:rsidRDefault="000F6DF3">
            <w:pPr>
              <w:jc w:val="center"/>
              <w:rPr>
                <w:rFonts w:ascii="仿宋" w:eastAsia="仿宋" w:hAnsi="仿宋" w:cs="仿宋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证据名称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1E15" w:rsidRDefault="000F6DF3">
            <w:pPr>
              <w:jc w:val="center"/>
              <w:rPr>
                <w:rFonts w:ascii="仿宋" w:eastAsia="仿宋" w:hAnsi="仿宋" w:cs="仿宋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证明对象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1E15" w:rsidRDefault="000F6DF3">
            <w:pPr>
              <w:jc w:val="center"/>
              <w:rPr>
                <w:rFonts w:ascii="仿宋" w:eastAsia="仿宋" w:hAnsi="仿宋" w:cs="仿宋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页数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1E15" w:rsidRDefault="000F6DF3">
            <w:pPr>
              <w:jc w:val="center"/>
              <w:rPr>
                <w:rFonts w:ascii="仿宋" w:eastAsia="仿宋" w:hAnsi="仿宋" w:cs="仿宋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页码</w:t>
            </w:r>
          </w:p>
        </w:tc>
      </w:tr>
      <w:tr w:rsidR="000F1E15">
        <w:trPr>
          <w:trHeight w:val="696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 xml:space="preserve"> 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股份回购协议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Pr="00B5621F" w:rsidRDefault="000F6DF3" w:rsidP="00B5621F">
            <w:pPr>
              <w:rPr>
                <w:rFonts w:ascii="新宋体" w:eastAsia="新宋体" w:hAnsi="新宋体" w:cs="新宋体"/>
                <w:kern w:val="0"/>
                <w:sz w:val="24"/>
              </w:rPr>
            </w:pP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 xml:space="preserve">   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2017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年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月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日，回购方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1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庄锦明、回购方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 xml:space="preserve">2 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中健公司、被回购方南海基金签署了《股份回购协议》，约定回购的股份为被回购方持有的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15.48%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的股份（即被回购方对公司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4000</w:t>
            </w: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万元的出资），约定回购价款的金额，并约定了以在新三板股转系统以协议转让的方式交易支付，并约定了交易进度和资金占用费；也约定了仲裁条款。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10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576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收款回单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pStyle w:val="1"/>
              <w:snapToGrid w:val="0"/>
              <w:ind w:firstLine="480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申请人向被申请人二分批支付投资款人民币</w:t>
            </w:r>
            <w:r>
              <w:rPr>
                <w:rFonts w:ascii="新宋体" w:eastAsia="新宋体" w:hAnsi="新宋体" w:cs="新宋体" w:hint="eastAsia"/>
                <w:sz w:val="24"/>
              </w:rPr>
              <w:t>4000</w:t>
            </w:r>
            <w:r>
              <w:rPr>
                <w:rFonts w:ascii="新宋体" w:eastAsia="新宋体" w:hAnsi="新宋体" w:cs="新宋体" w:hint="eastAsia"/>
                <w:sz w:val="24"/>
              </w:rPr>
              <w:t>万元。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576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kern w:val="0"/>
                <w:sz w:val="24"/>
              </w:rPr>
            </w:pP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客户回单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pStyle w:val="1"/>
              <w:snapToGrid w:val="0"/>
              <w:ind w:left="50" w:firstLine="480"/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54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kern w:val="0"/>
                <w:sz w:val="24"/>
              </w:rPr>
            </w:pPr>
            <w:r>
              <w:rPr>
                <w:rFonts w:ascii="新宋体" w:eastAsia="新宋体" w:hAnsi="新宋体" w:cs="新宋体" w:hint="eastAsia"/>
                <w:kern w:val="0"/>
                <w:sz w:val="24"/>
              </w:rPr>
              <w:t>付款回单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84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新三板股转系统交易明细</w:t>
            </w:r>
            <w:r>
              <w:rPr>
                <w:rFonts w:ascii="新宋体" w:eastAsia="新宋体" w:hAnsi="新宋体" w:cs="新宋体" w:hint="eastAsia"/>
                <w:sz w:val="24"/>
              </w:rPr>
              <w:t xml:space="preserve">  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sz w:val="24"/>
              </w:rPr>
              <w:t>被申请人于</w:t>
            </w:r>
            <w:r>
              <w:rPr>
                <w:rFonts w:ascii="新宋体" w:eastAsia="新宋体" w:hAnsi="新宋体" w:cs="新宋体" w:hint="eastAsia"/>
                <w:sz w:val="24"/>
              </w:rPr>
              <w:t>2017</w:t>
            </w:r>
            <w:r>
              <w:rPr>
                <w:rFonts w:ascii="新宋体" w:eastAsia="新宋体" w:hAnsi="新宋体" w:cs="新宋体" w:hint="eastAsia"/>
                <w:sz w:val="24"/>
              </w:rPr>
              <w:t>年</w:t>
            </w:r>
            <w:r>
              <w:rPr>
                <w:rFonts w:ascii="新宋体" w:eastAsia="新宋体" w:hAnsi="新宋体" w:cs="新宋体" w:hint="eastAsia"/>
                <w:sz w:val="24"/>
              </w:rPr>
              <w:t>2</w:t>
            </w:r>
            <w:r>
              <w:rPr>
                <w:rFonts w:ascii="新宋体" w:eastAsia="新宋体" w:hAnsi="新宋体" w:cs="新宋体" w:hint="eastAsia"/>
                <w:sz w:val="24"/>
              </w:rPr>
              <w:t>月通过新三板股转系统以协议转让的方式交易了</w:t>
            </w:r>
            <w:r>
              <w:rPr>
                <w:rFonts w:ascii="新宋体" w:eastAsia="新宋体" w:hAnsi="新宋体" w:cs="新宋体" w:hint="eastAsia"/>
                <w:sz w:val="24"/>
              </w:rPr>
              <w:t>690</w:t>
            </w:r>
            <w:r>
              <w:rPr>
                <w:rFonts w:ascii="新宋体" w:eastAsia="新宋体" w:hAnsi="新宋体" w:cs="新宋体" w:hint="eastAsia"/>
                <w:sz w:val="24"/>
              </w:rPr>
              <w:t>万股，成交金额为</w:t>
            </w:r>
            <w:r>
              <w:rPr>
                <w:rFonts w:ascii="新宋体" w:eastAsia="新宋体" w:hAnsi="新宋体" w:cs="新宋体" w:hint="eastAsia"/>
                <w:sz w:val="24"/>
              </w:rPr>
              <w:t>2484</w:t>
            </w:r>
            <w:r>
              <w:rPr>
                <w:rFonts w:ascii="新宋体" w:eastAsia="新宋体" w:hAnsi="新宋体" w:cs="新宋体" w:hint="eastAsia"/>
                <w:sz w:val="24"/>
              </w:rPr>
              <w:t>万元。</w:t>
            </w:r>
            <w:r>
              <w:rPr>
                <w:rFonts w:ascii="新宋体" w:eastAsia="新宋体" w:hAnsi="新宋体" w:cs="新宋体" w:hint="eastAsia"/>
                <w:sz w:val="24"/>
              </w:rPr>
              <w:t>2017</w:t>
            </w:r>
            <w:r>
              <w:rPr>
                <w:rFonts w:ascii="新宋体" w:eastAsia="新宋体" w:hAnsi="新宋体" w:cs="新宋体" w:hint="eastAsia"/>
                <w:sz w:val="24"/>
              </w:rPr>
              <w:t>年</w:t>
            </w:r>
            <w:r>
              <w:rPr>
                <w:rFonts w:ascii="新宋体" w:eastAsia="新宋体" w:hAnsi="新宋体" w:cs="新宋体" w:hint="eastAsia"/>
                <w:sz w:val="24"/>
              </w:rPr>
              <w:t>5</w:t>
            </w:r>
            <w:r>
              <w:rPr>
                <w:rFonts w:ascii="新宋体" w:eastAsia="新宋体" w:hAnsi="新宋体" w:cs="新宋体" w:hint="eastAsia"/>
                <w:sz w:val="24"/>
              </w:rPr>
              <w:t>月至</w:t>
            </w:r>
            <w:r>
              <w:rPr>
                <w:rFonts w:ascii="新宋体" w:eastAsia="新宋体" w:hAnsi="新宋体" w:cs="新宋体" w:hint="eastAsia"/>
                <w:sz w:val="24"/>
              </w:rPr>
              <w:t>2018</w:t>
            </w:r>
            <w:r>
              <w:rPr>
                <w:rFonts w:ascii="新宋体" w:eastAsia="新宋体" w:hAnsi="新宋体" w:cs="新宋体" w:hint="eastAsia"/>
                <w:sz w:val="24"/>
              </w:rPr>
              <w:t>年</w:t>
            </w:r>
            <w:r>
              <w:rPr>
                <w:rFonts w:ascii="新宋体" w:eastAsia="新宋体" w:hAnsi="新宋体" w:cs="新宋体" w:hint="eastAsia"/>
                <w:sz w:val="24"/>
              </w:rPr>
              <w:t>1</w:t>
            </w:r>
            <w:r>
              <w:rPr>
                <w:rFonts w:ascii="新宋体" w:eastAsia="新宋体" w:hAnsi="新宋体" w:cs="新宋体" w:hint="eastAsia"/>
                <w:sz w:val="24"/>
              </w:rPr>
              <w:t>月交易了</w:t>
            </w:r>
            <w:r>
              <w:rPr>
                <w:rFonts w:ascii="新宋体" w:eastAsia="新宋体" w:hAnsi="新宋体" w:cs="新宋体" w:hint="eastAsia"/>
                <w:sz w:val="24"/>
              </w:rPr>
              <w:t>6</w:t>
            </w:r>
            <w:r>
              <w:rPr>
                <w:rFonts w:ascii="新宋体" w:eastAsia="新宋体" w:hAnsi="新宋体" w:cs="新宋体" w:hint="eastAsia"/>
                <w:sz w:val="24"/>
              </w:rPr>
              <w:t>笔，股数为</w:t>
            </w:r>
            <w:r>
              <w:rPr>
                <w:rFonts w:ascii="新宋体" w:eastAsia="新宋体" w:hAnsi="新宋体" w:cs="新宋体" w:hint="eastAsia"/>
                <w:sz w:val="24"/>
              </w:rPr>
              <w:t>2435000</w:t>
            </w:r>
            <w:r>
              <w:rPr>
                <w:rFonts w:ascii="新宋体" w:eastAsia="新宋体" w:hAnsi="新宋体" w:cs="新宋体" w:hint="eastAsia"/>
                <w:sz w:val="24"/>
              </w:rPr>
              <w:t>股，成交金额为</w:t>
            </w:r>
            <w:r>
              <w:rPr>
                <w:rFonts w:ascii="新宋体" w:eastAsia="新宋体" w:hAnsi="新宋体" w:cs="新宋体" w:hint="eastAsia"/>
                <w:sz w:val="24"/>
              </w:rPr>
              <w:t>9779760</w:t>
            </w:r>
            <w:r>
              <w:rPr>
                <w:rFonts w:ascii="新宋体" w:eastAsia="新宋体" w:hAnsi="新宋体" w:cs="新宋体" w:hint="eastAsia"/>
                <w:sz w:val="24"/>
              </w:rPr>
              <w:t>元，总共的成交金额为</w:t>
            </w:r>
            <w:r>
              <w:rPr>
                <w:rFonts w:ascii="新宋体" w:eastAsia="新宋体" w:hAnsi="新宋体" w:cs="新宋体" w:hint="eastAsia"/>
                <w:sz w:val="24"/>
              </w:rPr>
              <w:t>34619760</w:t>
            </w:r>
            <w:r>
              <w:rPr>
                <w:rFonts w:ascii="新宋体" w:eastAsia="新宋体" w:hAnsi="新宋体" w:cs="新宋体" w:hint="eastAsia"/>
                <w:sz w:val="24"/>
              </w:rPr>
              <w:t>元。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84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网上银行电子回单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55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委托代理合同</w:t>
            </w:r>
          </w:p>
        </w:tc>
        <w:tc>
          <w:tcPr>
            <w:tcW w:w="43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sz w:val="24"/>
              </w:rPr>
              <w:t>申请人为本案仲裁实际支付律师费</w:t>
            </w:r>
            <w:r>
              <w:rPr>
                <w:rFonts w:ascii="新宋体" w:eastAsia="新宋体" w:hAnsi="新宋体" w:cs="新宋体" w:hint="eastAsia"/>
                <w:sz w:val="24"/>
              </w:rPr>
              <w:t>8</w:t>
            </w:r>
            <w:r>
              <w:rPr>
                <w:rFonts w:ascii="新宋体" w:eastAsia="新宋体" w:hAnsi="新宋体" w:cs="新宋体" w:hint="eastAsia"/>
                <w:sz w:val="24"/>
              </w:rPr>
              <w:t>万元。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55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律师费发票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  <w:tr w:rsidR="000F1E15">
        <w:trPr>
          <w:trHeight w:val="55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numPr>
                <w:ilvl w:val="0"/>
                <w:numId w:val="1"/>
              </w:numPr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6DF3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  <w:r>
              <w:rPr>
                <w:rFonts w:ascii="新宋体" w:eastAsia="新宋体" w:hAnsi="新宋体" w:cs="新宋体" w:hint="eastAsia"/>
                <w:sz w:val="24"/>
              </w:rPr>
              <w:t>律师费转账凭证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ind w:firstLineChars="50" w:firstLine="12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15" w:rsidRDefault="000F1E15">
            <w:pPr>
              <w:snapToGrid w:val="0"/>
              <w:jc w:val="center"/>
              <w:rPr>
                <w:rFonts w:ascii="新宋体" w:eastAsia="新宋体" w:hAnsi="新宋体" w:cs="新宋体"/>
                <w:sz w:val="24"/>
              </w:rPr>
            </w:pPr>
          </w:p>
        </w:tc>
      </w:tr>
    </w:tbl>
    <w:p w:rsidR="000F1E15" w:rsidRDefault="000F6DF3">
      <w:pPr>
        <w:pStyle w:val="2"/>
        <w:spacing w:before="0" w:after="0" w:line="360" w:lineRule="auto"/>
        <w:rPr>
          <w:rFonts w:ascii="仿宋" w:eastAsia="仿宋" w:hAnsi="仿宋" w:cs="仿宋"/>
          <w:bCs w:val="0"/>
          <w:sz w:val="24"/>
          <w:szCs w:val="22"/>
        </w:rPr>
      </w:pPr>
      <w:r>
        <w:rPr>
          <w:rFonts w:ascii="Times New Roman" w:eastAsiaTheme="minorEastAsia" w:hAnsiTheme="minorEastAsia" w:hint="eastAsia"/>
          <w:bCs w:val="0"/>
          <w:sz w:val="24"/>
          <w:szCs w:val="24"/>
        </w:rPr>
        <w:t xml:space="preserve">                    </w:t>
      </w:r>
      <w:r>
        <w:rPr>
          <w:rFonts w:ascii="Times New Roman" w:eastAsiaTheme="minorEastAsia" w:hAnsiTheme="minorEastAsia" w:hint="eastAsia"/>
          <w:bCs w:val="0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bCs w:val="0"/>
          <w:sz w:val="24"/>
          <w:szCs w:val="22"/>
        </w:rPr>
        <w:t xml:space="preserve"> </w:t>
      </w:r>
    </w:p>
    <w:p w:rsidR="000F1E15" w:rsidRDefault="000F1E15">
      <w:bookmarkStart w:id="0" w:name="_GoBack"/>
      <w:bookmarkEnd w:id="0"/>
    </w:p>
    <w:p w:rsidR="000F1E15" w:rsidRDefault="000F6DF3">
      <w:pPr>
        <w:pStyle w:val="2"/>
        <w:spacing w:before="0" w:after="0" w:line="360" w:lineRule="auto"/>
        <w:ind w:firstLineChars="2300" w:firstLine="5542"/>
        <w:rPr>
          <w:rFonts w:ascii="仿宋" w:eastAsia="仿宋" w:hAnsi="仿宋" w:cs="仿宋"/>
          <w:bCs w:val="0"/>
          <w:sz w:val="24"/>
          <w:szCs w:val="22"/>
        </w:rPr>
      </w:pPr>
      <w:r>
        <w:rPr>
          <w:rFonts w:ascii="仿宋" w:eastAsia="仿宋" w:hAnsi="仿宋" w:cs="仿宋" w:hint="eastAsia"/>
          <w:bCs w:val="0"/>
          <w:sz w:val="24"/>
          <w:szCs w:val="22"/>
        </w:rPr>
        <w:t>提交人：</w:t>
      </w:r>
    </w:p>
    <w:p w:rsidR="000F1E15" w:rsidRDefault="000F6DF3">
      <w:pPr>
        <w:pStyle w:val="2"/>
        <w:spacing w:before="0" w:after="0" w:line="360" w:lineRule="auto"/>
        <w:jc w:val="right"/>
        <w:rPr>
          <w:rFonts w:ascii="仿宋" w:eastAsia="仿宋" w:hAnsi="仿宋" w:cs="仿宋"/>
          <w:bCs w:val="0"/>
          <w:sz w:val="24"/>
          <w:szCs w:val="22"/>
        </w:rPr>
      </w:pPr>
      <w:r>
        <w:rPr>
          <w:rFonts w:ascii="仿宋" w:eastAsia="仿宋" w:hAnsi="仿宋" w:cs="仿宋" w:hint="eastAsia"/>
          <w:bCs w:val="0"/>
          <w:sz w:val="24"/>
          <w:szCs w:val="22"/>
        </w:rPr>
        <w:t>提交日期：</w:t>
      </w:r>
      <w:r>
        <w:rPr>
          <w:rFonts w:ascii="仿宋" w:eastAsia="仿宋" w:hAnsi="仿宋" w:cs="仿宋" w:hint="eastAsia"/>
          <w:bCs w:val="0"/>
          <w:sz w:val="24"/>
          <w:szCs w:val="22"/>
        </w:rPr>
        <w:t xml:space="preserve">2018 </w:t>
      </w:r>
      <w:r>
        <w:rPr>
          <w:rFonts w:ascii="仿宋" w:eastAsia="仿宋" w:hAnsi="仿宋" w:cs="仿宋" w:hint="eastAsia"/>
          <w:bCs w:val="0"/>
          <w:sz w:val="24"/>
          <w:szCs w:val="22"/>
        </w:rPr>
        <w:t>年</w:t>
      </w:r>
      <w:r>
        <w:rPr>
          <w:rFonts w:ascii="仿宋" w:eastAsia="仿宋" w:hAnsi="仿宋" w:cs="仿宋" w:hint="eastAsia"/>
          <w:bCs w:val="0"/>
          <w:sz w:val="24"/>
          <w:szCs w:val="22"/>
        </w:rPr>
        <w:t xml:space="preserve"> </w:t>
      </w:r>
      <w:r>
        <w:rPr>
          <w:rFonts w:ascii="仿宋" w:eastAsia="仿宋" w:hAnsi="仿宋" w:cs="仿宋" w:hint="eastAsia"/>
          <w:bCs w:val="0"/>
          <w:sz w:val="24"/>
          <w:szCs w:val="22"/>
        </w:rPr>
        <w:t>月</w:t>
      </w:r>
      <w:r>
        <w:rPr>
          <w:rFonts w:ascii="仿宋" w:eastAsia="仿宋" w:hAnsi="仿宋" w:cs="仿宋" w:hint="eastAsia"/>
          <w:bCs w:val="0"/>
          <w:sz w:val="24"/>
          <w:szCs w:val="22"/>
        </w:rPr>
        <w:t xml:space="preserve"> </w:t>
      </w:r>
      <w:r>
        <w:rPr>
          <w:rFonts w:ascii="仿宋" w:eastAsia="仿宋" w:hAnsi="仿宋" w:cs="仿宋" w:hint="eastAsia"/>
          <w:bCs w:val="0"/>
          <w:sz w:val="24"/>
          <w:szCs w:val="22"/>
        </w:rPr>
        <w:t>日</w:t>
      </w:r>
    </w:p>
    <w:p w:rsidR="000F1E15" w:rsidRDefault="000F1E15">
      <w:pPr>
        <w:rPr>
          <w:rFonts w:ascii="仿宋" w:eastAsia="仿宋" w:hAnsi="仿宋" w:cs="仿宋"/>
          <w:sz w:val="24"/>
          <w:szCs w:val="22"/>
        </w:rPr>
      </w:pPr>
    </w:p>
    <w:p w:rsidR="000F1E15" w:rsidRDefault="000F1E15"/>
    <w:sectPr w:rsidR="000F1E15" w:rsidSect="000F1E1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DF3" w:rsidRDefault="000F6DF3" w:rsidP="000F1E15">
      <w:r>
        <w:separator/>
      </w:r>
    </w:p>
  </w:endnote>
  <w:endnote w:type="continuationSeparator" w:id="0">
    <w:p w:rsidR="000F6DF3" w:rsidRDefault="000F6DF3" w:rsidP="000F1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15" w:rsidRDefault="000F1E1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0F1E15" w:rsidRDefault="000F1E15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0F6DF3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5621F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DF3" w:rsidRDefault="000F6DF3" w:rsidP="000F1E15">
      <w:r>
        <w:separator/>
      </w:r>
    </w:p>
  </w:footnote>
  <w:footnote w:type="continuationSeparator" w:id="0">
    <w:p w:rsidR="000F6DF3" w:rsidRDefault="000F6DF3" w:rsidP="000F1E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554B"/>
    <w:multiLevelType w:val="multilevel"/>
    <w:tmpl w:val="12AB554B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B41309"/>
    <w:rsid w:val="00012E98"/>
    <w:rsid w:val="000F1E15"/>
    <w:rsid w:val="000F6DF3"/>
    <w:rsid w:val="00B5621F"/>
    <w:rsid w:val="05681E79"/>
    <w:rsid w:val="06E77FC4"/>
    <w:rsid w:val="0BE11F57"/>
    <w:rsid w:val="241602FE"/>
    <w:rsid w:val="30DF2A1E"/>
    <w:rsid w:val="32307926"/>
    <w:rsid w:val="35D42A5F"/>
    <w:rsid w:val="37522CFB"/>
    <w:rsid w:val="37836AC2"/>
    <w:rsid w:val="38D440AE"/>
    <w:rsid w:val="3A6F6FF2"/>
    <w:rsid w:val="465254DD"/>
    <w:rsid w:val="46790E10"/>
    <w:rsid w:val="49506428"/>
    <w:rsid w:val="4AEE2B77"/>
    <w:rsid w:val="4B0D7EFA"/>
    <w:rsid w:val="52E21B12"/>
    <w:rsid w:val="574F1427"/>
    <w:rsid w:val="58803A15"/>
    <w:rsid w:val="5C633BEA"/>
    <w:rsid w:val="5D7814D0"/>
    <w:rsid w:val="5EB41309"/>
    <w:rsid w:val="60F3184F"/>
    <w:rsid w:val="632D1AF3"/>
    <w:rsid w:val="64A63DD1"/>
    <w:rsid w:val="68C45993"/>
    <w:rsid w:val="6A7C0D00"/>
    <w:rsid w:val="6BEC0918"/>
    <w:rsid w:val="6C7A04BF"/>
    <w:rsid w:val="6D2D4E62"/>
    <w:rsid w:val="71ED1086"/>
    <w:rsid w:val="737139E4"/>
    <w:rsid w:val="785B1C05"/>
    <w:rsid w:val="7E2C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1E1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0F1E15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F1E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F1E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rsid w:val="000F1E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</dc:creator>
  <cp:lastModifiedBy>Administrator</cp:lastModifiedBy>
  <cp:revision>2</cp:revision>
  <cp:lastPrinted>2017-12-05T08:28:00Z</cp:lastPrinted>
  <dcterms:created xsi:type="dcterms:W3CDTF">2017-10-23T03:05:00Z</dcterms:created>
  <dcterms:modified xsi:type="dcterms:W3CDTF">2018-04-02T10:14:00Z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