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ECT virtual platform programmer guide</w:t>
      </w:r>
    </w:p>
    <w:p>
      <w:r>
        <w:rPr>
          <w:b w:val="0"/>
        </w:rPr>
        <w:t>This guide explains how to use the single Markdown implementation script to build David Amachie's engine coolant temperature laboratory in a virtual platform. The script contains the converted JavaScript logic and a working reference interface. The programmer must preserve the validated calculations and deliver an operational visual experiment.</w:t>
      </w:r>
    </w:p>
    <w:p>
      <w:r>
        <w:rPr>
          <w:b w:val="0"/>
        </w:rPr>
        <w:t>David Amachie  |  Format update 27 October 2026</w:t>
      </w:r>
    </w:p>
    <w:p>
      <w:r>
        <w:rPr>
          <w:b/>
        </w:rPr>
        <w:t>Delivery folder:</w:t>
      </w:r>
      <w:r>
        <w:rPr>
          <w:b w:val="0"/>
        </w:rPr>
        <w:t xml:space="preserve"> F:\Scripts for codex\Mr. Amachie</w:t>
      </w:r>
    </w:p>
    <w:p>
      <w:pPr>
        <w:pStyle w:val="Heading1"/>
      </w:pPr>
      <w:r>
        <w:rPr>
          <w:b w:val="0"/>
        </w:rPr>
        <w:t>The two handoff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02"/>
        <w:gridCol w:w="5822"/>
      </w:tblGrid>
      <w:tr>
        <w:trPr>
          <w:cantSplit/>
          <w:tblHeader/>
        </w:trPr>
        <w:tc>
          <w:tcPr>
            <w:tcW w:type="dxa" w:w="4402"/>
            <w:vAlign w:val="center"/>
            <w:tcMar>
              <w:top w:w="90" w:type="dxa"/>
              <w:bottom w:w="90" w:type="dxa"/>
              <w:left w:w="90" w:type="dxa"/>
              <w:right w:w="90" w:type="dxa"/>
            </w:tcMar>
            <w:shd w:fill="E8EFF5"/>
          </w:tcPr>
          <w:p>
            <w:pPr>
              <w:spacing w:before="40" w:after="40" w:line="247" w:lineRule="auto"/>
            </w:pPr>
            <w:r>
              <w:rPr>
                <w:b/>
                <w:sz w:val="19"/>
              </w:rPr>
              <w:t>File</w:t>
            </w:r>
          </w:p>
        </w:tc>
        <w:tc>
          <w:tcPr>
            <w:tcW w:type="dxa" w:w="5822"/>
            <w:vAlign w:val="center"/>
            <w:tcMar>
              <w:top w:w="90" w:type="dxa"/>
              <w:bottom w:w="90" w:type="dxa"/>
              <w:left w:w="90" w:type="dxa"/>
              <w:right w:w="90" w:type="dxa"/>
            </w:tcMar>
            <w:shd w:fill="E8EFF5"/>
          </w:tcPr>
          <w:p>
            <w:pPr>
              <w:spacing w:before="40" w:after="40" w:line="247" w:lineRule="auto"/>
            </w:pPr>
            <w:r>
              <w:rPr>
                <w:b/>
                <w:sz w:val="19"/>
              </w:rPr>
              <w:t>Purpose</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CODEX_Amachie_ECT_Platform_Implementation.md</w:t>
            </w:r>
          </w:p>
        </w:tc>
        <w:tc>
          <w:tcPr>
            <w:tcW w:type="dxa" w:w="5822"/>
            <w:vAlign w:val="center"/>
            <w:tcMar>
              <w:top w:w="90" w:type="dxa"/>
              <w:bottom w:w="90" w:type="dxa"/>
              <w:left w:w="90" w:type="dxa"/>
              <w:right w:w="90" w:type="dxa"/>
            </w:tcMar>
            <w:shd w:fill="FFFFFF"/>
          </w:tcPr>
          <w:p>
            <w:pPr>
              <w:spacing w:before="40" w:after="40" w:line="247" w:lineRule="auto"/>
            </w:pPr>
            <w:r>
              <w:rPr>
                <w:b w:val="0"/>
                <w:sz w:val="19"/>
              </w:rPr>
              <w:t>Complete Codex implementation script with the tested JavaScript engine, reference interface, defaults, self-tests and visual requirements embedded.</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Amachie_ECT_Programmer_Guide.docx</w:t>
            </w:r>
          </w:p>
        </w:tc>
        <w:tc>
          <w:tcPr>
            <w:tcW w:type="dxa" w:w="5822"/>
            <w:vAlign w:val="center"/>
            <w:tcMar>
              <w:top w:w="90" w:type="dxa"/>
              <w:bottom w:w="90" w:type="dxa"/>
              <w:left w:w="90" w:type="dxa"/>
              <w:right w:w="90" w:type="dxa"/>
            </w:tcMar>
            <w:shd w:fill="FFFFFF"/>
          </w:tcPr>
          <w:p>
            <w:pPr>
              <w:spacing w:before="40" w:after="40" w:line="247" w:lineRule="auto"/>
            </w:pPr>
            <w:r>
              <w:rPr>
                <w:b w:val="0"/>
                <w:sz w:val="19"/>
              </w:rPr>
              <w:t>Word programmer guide covering extraction, integration, the numerical contract, required visuals and acceptance evidence.</w:t>
            </w:r>
          </w:p>
        </w:tc>
      </w:tr>
    </w:tbl>
    <w:p>
      <w:pPr>
        <w:spacing w:after="40" w:before="0" w:line="96" w:lineRule="auto"/>
      </w:pPr>
    </w:p>
    <w:p>
      <w:r>
        <w:rPr>
          <w:b w:val="0"/>
        </w:rPr>
        <w:t>The Markdown file embeds a working port of this particular ECT model. The engine simulates coolant sensor response, resistance, voltage, ADC conversion and ECU temperature reconstruction. It does not model a complete engine or vehicle.</w:t>
      </w:r>
    </w:p>
    <w:p>
      <w:r>
        <w:rPr>
          <w:b w:val="0"/>
        </w:rPr>
        <w:t xml:space="preserve">Extract the complete </w:t>
      </w:r>
      <w:r>
        <w:rPr>
          <w:b/>
        </w:rPr>
        <w:t>javascript</w:t>
      </w:r>
      <w:r>
        <w:rPr>
          <w:b w:val="0"/>
        </w:rPr>
        <w:t xml:space="preserve"> code block between </w:t>
      </w:r>
      <w:r>
        <w:rPr>
          <w:b/>
        </w:rPr>
        <w:t>BEGIN_EXECUTABLE_ENGINE</w:t>
      </w:r>
      <w:r>
        <w:rPr>
          <w:b w:val="0"/>
        </w:rPr>
        <w:t xml:space="preserve"> and </w:t>
      </w:r>
      <w:r>
        <w:rPr>
          <w:b/>
        </w:rPr>
        <w:t>END_EXECUTABLE_ENGINE</w:t>
      </w:r>
      <w:r>
        <w:rPr>
          <w:b w:val="0"/>
        </w:rPr>
        <w:t xml:space="preserve"> into </w:t>
      </w:r>
      <w:r>
        <w:rPr>
          <w:b/>
        </w:rPr>
        <w:t>Amachie_ECT_Virtual_Platform.js</w:t>
      </w:r>
      <w:r>
        <w:rPr>
          <w:b w:val="0"/>
        </w:rPr>
        <w:t>. Omit the Markdown fences and marker comments. Preserve UTF-8, LF line endings and the final newline. The generated JavaScript is a runtime file; the Markdown handoff has no dependency on the former standalone JavaScript file.</w:t>
      </w:r>
    </w:p>
    <w:p>
      <w:pPr>
        <w:pStyle w:val="Heading1"/>
      </w:pPr>
      <w:r>
        <w:rPr>
          <w:b w:val="0"/>
        </w:rPr>
        <w:t>Give Codex this instruction</w:t>
      </w:r>
    </w:p>
    <w:p>
      <w:r>
        <w:rPr>
          <w:b w:val="0"/>
        </w:rPr>
        <w:t xml:space="preserve">Read </w:t>
      </w:r>
      <w:r>
        <w:rPr>
          <w:b/>
        </w:rPr>
        <w:t>CODEX_Amachie_ECT_Platform_Implementation.md</w:t>
      </w:r>
      <w:r>
        <w:rPr>
          <w:b w:val="0"/>
        </w:rPr>
        <w:t xml:space="preserve"> and this Word guide. Extract the embedded engine, inspect the platform repository and integrate the ECT laboratory. Preserve all nine outputs and the validated timing. Deliver the working interface, required visual results, tests, screenshots and launch instructions. If the platform source is unavailable, demonstrate the generated offline interface and document its integration boundary.</w:t>
      </w:r>
    </w:p>
    <w:p>
      <w:r>
        <w:rPr>
          <w:b/>
        </w:rPr>
        <w:t>Source chat:</w:t>
      </w:r>
      <w:r>
        <w:rPr>
          <w:b w:val="0"/>
        </w:rPr>
        <w:t xml:space="preserve"> </w:t>
      </w:r>
      <w:hyperlink r:id="rId13">
        <w:r>
          <w:rPr>
            <w:color w:val="174A72"/>
            <w:u w:val="single"/>
          </w:rPr>
          <w:t>Open the shared conversation snapshot</w:t>
        </w:r>
      </w:hyperlink>
      <w:r>
        <w:rPr>
          <w:b w:val="0"/>
        </w:rPr>
        <w:t>. This is a public, immutable snapshot of the source discussion, not a live view of future messages. The local model files must be accessed separately.</w:t>
      </w:r>
    </w:p>
    <w:p>
      <w:pPr>
        <w:pStyle w:val="Heading1"/>
        <w:pageBreakBefore/>
      </w:pPr>
      <w:r>
        <w:rPr>
          <w:b w:val="0"/>
        </w:rPr>
        <w:t>Run it and integrate it</w:t>
      </w:r>
    </w:p>
    <w:p>
      <w:r>
        <w:rPr>
          <w:b w:val="0"/>
        </w:rPr>
        <w:t>Use a modern browser for the interface and Node.js for command-line checks or a generated offline demonstration. Tested locally with Node.js v24.19.0 and Microsoft Edge. MATLAB is not needed to run the JavaScript. The existing Simulink model remains the engineering reference.</w:t>
      </w:r>
    </w:p>
    <w:p>
      <w:r>
        <w:rPr>
          <w:b w:val="0"/>
        </w:rPr>
        <w:t>After extraction, run these commands from a directory using Node CommonJS mode. It must not inherit a package.json declaring type module. Serve the same source as a classic script for browser use.</w:t>
      </w:r>
    </w:p>
    <w:p>
      <w:pPr>
        <w:spacing w:after="160" w:line="252" w:lineRule="auto"/>
      </w:pPr>
      <w:r>
        <w:rPr>
          <w:rFonts w:ascii="Consolas" w:hAnsi="Consolas"/>
          <w:sz w:val="17"/>
        </w:rPr>
        <w:t>node Amachie_ECT_Virtual_Platform.js --self-test</w:t>
        <w:br/>
        <w:t>node Amachie_ECT_Virtual_Platform.js --brief</w:t>
        <w:br/>
        <w:t>node Amachie_ECT_Virtual_Platform.js --demo ECT_Demo.html</w:t>
      </w:r>
    </w:p>
    <w:p>
      <w:r>
        <w:rPr>
          <w:b w:val="0"/>
        </w:rPr>
        <w:t>The last command creates an optional, self-contained HTML demo. Open that HTML file in a browser. It contains the JavaScript and the interface, so it works offline. The command refuses to overwrite an existing file; choose another output name for a new demo. The two handoff files are sufficient without this generated extra file.</w:t>
      </w:r>
    </w:p>
    <w:p>
      <w:pPr>
        <w:pStyle w:val="Heading1"/>
      </w:pPr>
      <w:r>
        <w:rPr>
          <w:b w:val="0"/>
        </w:rPr>
        <w:t>Browser integration</w:t>
      </w:r>
    </w:p>
    <w:p>
      <w:pPr>
        <w:spacing w:after="160" w:line="252" w:lineRule="auto"/>
      </w:pPr>
      <w:r>
        <w:rPr>
          <w:rFonts w:ascii="Consolas" w:hAnsi="Consolas"/>
          <w:sz w:val="17"/>
        </w:rPr>
        <w:t>&lt;main id="ect-lab"&gt;&lt;/main&gt;</w:t>
        <w:br/>
        <w:t>&lt;script src="Amachie_ECT_Virtual_Platform.js"&gt;&lt;/script&gt;</w:t>
        <w:br/>
        <w:t>&lt;script&gt;</w:t>
        <w:br/>
        <w:t xml:space="preserve">  const lab = AmachieECT.mount(</w:t>
        <w:br/>
        <w:t xml:space="preserve">    document.getElementById("ect-lab")</w:t>
        <w:br/>
        <w:t xml:space="preserve">  );</w:t>
        <w:br/>
        <w:t xml:space="preserve">  // When removing this screen:</w:t>
        <w:br/>
        <w:t xml:space="preserve">  // lab.destroy();</w:t>
        <w:br/>
        <w:t>&lt;/script&gt;</w:t>
      </w:r>
    </w:p>
    <w:p>
      <w:r>
        <w:rPr>
          <w:b w:val="0"/>
        </w:rPr>
        <w:t xml:space="preserve">Serve the script as a local application asset and load it before mounting. Each mount owns a separate shadow-DOM interface and simulation state. It does not remove unrelated content from the container. Call </w:t>
      </w:r>
      <w:r>
        <w:rPr>
          <w:b/>
        </w:rPr>
        <w:t>destroy()</w:t>
      </w:r>
      <w:r>
        <w:rPr>
          <w:b w:val="0"/>
        </w:rPr>
        <w:t xml:space="preserve"> when navigating away to stop playback and remove listeners.</w:t>
      </w:r>
    </w:p>
    <w:p>
      <w:pPr>
        <w:pStyle w:val="Heading1"/>
      </w:pPr>
      <w:r>
        <w:rPr>
          <w:b w:val="0"/>
        </w:rPr>
        <w:t>Use only the numerical engine</w:t>
      </w:r>
    </w:p>
    <w:p>
      <w:pPr>
        <w:spacing w:after="160" w:line="252" w:lineRule="auto"/>
      </w:pPr>
      <w:r>
        <w:rPr>
          <w:rFonts w:ascii="Consolas" w:hAnsi="Consolas"/>
          <w:sz w:val="17"/>
        </w:rPr>
        <w:t>const ECT = require("./Amachie_ECT_Virtual_Platform.js");</w:t>
        <w:br/>
        <w:t>const engine = ECT.createEngine({ tauS: 3 });</w:t>
        <w:br/>
        <w:t>const initial = engine.snapshot();</w:t>
        <w:br/>
        <w:t>const atOneSecond = engine.advance(100); // 100 x 0.01 s</w:t>
        <w:br/>
        <w:t>const fullRun = ECT.simulate();</w:t>
        <w:br/>
        <w:t>console.log(fullRun.final.ADC_Count);    // 268</w:t>
        <w:br/>
        <w:t>const csvText = ECT.toCSV(fullRun);</w:t>
      </w:r>
    </w:p>
    <w:p>
      <w:r>
        <w:rPr>
          <w:b/>
        </w:rPr>
        <w:t>Module format:</w:t>
      </w:r>
      <w:r>
        <w:rPr>
          <w:b w:val="0"/>
        </w:rPr>
        <w:t xml:space="preserve"> this file supports classic browser scripts and Node CommonJS. It is not a native ES module. For React/Next.js, load it as a client-side static asset, call </w:t>
      </w:r>
      <w:r>
        <w:rPr>
          <w:b/>
        </w:rPr>
        <w:t>window.AmachieECT.mount(ref.current)</w:t>
      </w:r>
      <w:r>
        <w:rPr>
          <w:b w:val="0"/>
        </w:rPr>
        <w:t xml:space="preserve"> after that script has loaded, and return </w:t>
      </w:r>
      <w:r>
        <w:rPr>
          <w:b/>
        </w:rPr>
        <w:t>lab.destroy()</w:t>
      </w:r>
      <w:r>
        <w:rPr>
          <w:b w:val="0"/>
        </w:rPr>
        <w:t xml:space="preserve"> from the effect cleanup. Do not mount during server rendering. A deliberate ESM conversion is acceptable if the same tests still pass.</w:t>
      </w:r>
    </w:p>
    <w:p>
      <w:pPr>
        <w:pStyle w:val="Heading1"/>
        <w:pageBreakBefore/>
      </w:pPr>
      <w:r>
        <w:rPr>
          <w:b w:val="0"/>
        </w:rPr>
        <w:t>Programming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1"/>
        <w:gridCol w:w="7103"/>
      </w:tblGrid>
      <w:tr>
        <w:trPr>
          <w:cantSplit/>
          <w:tblHeader/>
        </w:trPr>
        <w:tc>
          <w:tcPr>
            <w:tcW w:type="dxa" w:w="3121"/>
            <w:vAlign w:val="center"/>
            <w:tcMar>
              <w:top w:w="90" w:type="dxa"/>
              <w:bottom w:w="90" w:type="dxa"/>
              <w:left w:w="90" w:type="dxa"/>
              <w:right w:w="90" w:type="dxa"/>
            </w:tcMar>
            <w:shd w:fill="E8EFF5"/>
          </w:tcPr>
          <w:p>
            <w:pPr>
              <w:spacing w:before="40" w:after="40" w:line="247" w:lineRule="auto"/>
            </w:pPr>
            <w:r>
              <w:rPr>
                <w:b/>
                <w:sz w:val="19"/>
              </w:rPr>
              <w:t>API</w:t>
            </w:r>
          </w:p>
        </w:tc>
        <w:tc>
          <w:tcPr>
            <w:tcW w:type="dxa" w:w="7103"/>
            <w:vAlign w:val="center"/>
            <w:tcMar>
              <w:top w:w="90" w:type="dxa"/>
              <w:bottom w:w="90" w:type="dxa"/>
              <w:left w:w="90" w:type="dxa"/>
              <w:right w:w="90" w:type="dxa"/>
            </w:tcMar>
            <w:shd w:fill="E8EFF5"/>
          </w:tcPr>
          <w:p>
            <w:pPr>
              <w:spacing w:before="40" w:after="40" w:line="247" w:lineRule="auto"/>
            </w:pPr>
            <w:r>
              <w:rPr>
                <w:b/>
                <w:sz w:val="19"/>
              </w:rPr>
              <w:t>Contract</w:t>
            </w:r>
          </w:p>
        </w:tc>
      </w:tr>
      <w:tr>
        <w:trPr>
          <w:cantSplit/>
        </w:trPr>
        <w:tc>
          <w:tcPr>
            <w:tcW w:type="dxa" w:w="3121"/>
            <w:vAlign w:val="center"/>
            <w:tcMar>
              <w:top w:w="90" w:type="dxa"/>
              <w:bottom w:w="90" w:type="dxa"/>
              <w:left w:w="90" w:type="dxa"/>
              <w:right w:w="90" w:type="dxa"/>
            </w:tcMar>
            <w:shd w:fill="FFFFFF"/>
          </w:tcPr>
          <w:p>
            <w:pPr>
              <w:spacing w:before="40" w:after="40" w:line="247" w:lineRule="auto"/>
            </w:pPr>
            <w:r>
              <w:rPr>
                <w:b w:val="0"/>
                <w:sz w:val="19"/>
              </w:rPr>
              <w:t>validateConfig(overrides)</w:t>
            </w:r>
          </w:p>
        </w:tc>
        <w:tc>
          <w:tcPr>
            <w:tcW w:type="dxa" w:w="7103"/>
            <w:vAlign w:val="center"/>
            <w:tcMar>
              <w:top w:w="90" w:type="dxa"/>
              <w:bottom w:w="90" w:type="dxa"/>
              <w:left w:w="90" w:type="dxa"/>
              <w:right w:w="90" w:type="dxa"/>
            </w:tcMar>
            <w:shd w:fill="FFFFFF"/>
          </w:tcPr>
          <w:p>
            <w:pPr>
              <w:spacing w:before="40" w:after="40" w:line="247" w:lineRule="auto"/>
            </w:pPr>
            <w:r>
              <w:rPr>
                <w:b w:val="0"/>
                <w:sz w:val="19"/>
              </w:rPr>
              <w:t>Returns an immutable complete configuration; throws ECTError with a stable code and readable message if invalid. Unknown parameter names are rejected.</w:t>
            </w:r>
          </w:p>
        </w:tc>
      </w:tr>
      <w:tr>
        <w:trPr>
          <w:cantSplit/>
        </w:trPr>
        <w:tc>
          <w:tcPr>
            <w:tcW w:type="dxa" w:w="3121"/>
            <w:vAlign w:val="center"/>
            <w:tcMar>
              <w:top w:w="90" w:type="dxa"/>
              <w:bottom w:w="90" w:type="dxa"/>
              <w:left w:w="90" w:type="dxa"/>
              <w:right w:w="90" w:type="dxa"/>
            </w:tcMar>
            <w:shd w:fill="FFFFFF"/>
          </w:tcPr>
          <w:p>
            <w:pPr>
              <w:spacing w:before="40" w:after="40" w:line="247" w:lineRule="auto"/>
            </w:pPr>
            <w:r>
              <w:rPr>
                <w:b w:val="0"/>
                <w:sz w:val="19"/>
              </w:rPr>
              <w:t>createEngine(overrides)</w:t>
            </w:r>
          </w:p>
        </w:tc>
        <w:tc>
          <w:tcPr>
            <w:tcW w:type="dxa" w:w="7103"/>
            <w:vAlign w:val="center"/>
            <w:tcMar>
              <w:top w:w="90" w:type="dxa"/>
              <w:bottom w:w="90" w:type="dxa"/>
              <w:left w:w="90" w:type="dxa"/>
              <w:right w:w="90" w:type="dxa"/>
            </w:tcMar>
            <w:shd w:fill="FFFFFF"/>
          </w:tcPr>
          <w:p>
            <w:pPr>
              <w:spacing w:before="40" w:after="40" w:line="247" w:lineRule="auto"/>
            </w:pPr>
            <w:r>
              <w:rPr>
                <w:b w:val="0"/>
                <w:sz w:val="19"/>
              </w:rPr>
              <w:t>Independent fixed-step engine. snapshot() reads state; step() advances one calculation step; advance(n) advances n steps; reset() restores t = 0. done reports completion.</w:t>
            </w:r>
          </w:p>
        </w:tc>
      </w:tr>
      <w:tr>
        <w:trPr>
          <w:cantSplit/>
        </w:trPr>
        <w:tc>
          <w:tcPr>
            <w:tcW w:type="dxa" w:w="3121"/>
            <w:vAlign w:val="center"/>
            <w:tcMar>
              <w:top w:w="90" w:type="dxa"/>
              <w:bottom w:w="90" w:type="dxa"/>
              <w:left w:w="90" w:type="dxa"/>
              <w:right w:w="90" w:type="dxa"/>
            </w:tcMar>
            <w:shd w:fill="FFFFFF"/>
          </w:tcPr>
          <w:p>
            <w:pPr>
              <w:spacing w:before="40" w:after="40" w:line="247" w:lineRule="auto"/>
            </w:pPr>
            <w:r>
              <w:rPr>
                <w:b w:val="0"/>
                <w:sz w:val="19"/>
              </w:rPr>
              <w:t>simulate(overrides)</w:t>
            </w:r>
          </w:p>
        </w:tc>
        <w:tc>
          <w:tcPr>
            <w:tcW w:type="dxa" w:w="7103"/>
            <w:vAlign w:val="center"/>
            <w:tcMar>
              <w:top w:w="90" w:type="dxa"/>
              <w:bottom w:w="90" w:type="dxa"/>
              <w:left w:w="90" w:type="dxa"/>
              <w:right w:w="90" w:type="dxa"/>
            </w:tcMar>
            <w:shd w:fill="FFFFFF"/>
          </w:tcPr>
          <w:p>
            <w:pPr>
              <w:spacing w:before="40" w:after="40" w:line="247" w:lineRule="auto"/>
            </w:pPr>
            <w:r>
              <w:rPr>
                <w:b w:val="0"/>
                <w:sz w:val="19"/>
              </w:rPr>
              <w:t>Returns {config, samples, final}. Includes t = 0 and the final time. Default = 12001 samples, 0.01 s spacing. Results and configuration are immutable.</w:t>
            </w:r>
          </w:p>
        </w:tc>
      </w:tr>
      <w:tr>
        <w:trPr>
          <w:cantSplit/>
        </w:trPr>
        <w:tc>
          <w:tcPr>
            <w:tcW w:type="dxa" w:w="3121"/>
            <w:vAlign w:val="center"/>
            <w:tcMar>
              <w:top w:w="90" w:type="dxa"/>
              <w:bottom w:w="90" w:type="dxa"/>
              <w:left w:w="90" w:type="dxa"/>
              <w:right w:w="90" w:type="dxa"/>
            </w:tcMar>
            <w:shd w:fill="FFFFFF"/>
          </w:tcPr>
          <w:p>
            <w:pPr>
              <w:spacing w:before="40" w:after="40" w:line="247" w:lineRule="auto"/>
            </w:pPr>
            <w:r>
              <w:rPr>
                <w:b w:val="0"/>
                <w:sz w:val="19"/>
              </w:rPr>
              <w:t>toCSV(run)</w:t>
            </w:r>
          </w:p>
        </w:tc>
        <w:tc>
          <w:tcPr>
            <w:tcW w:type="dxa" w:w="7103"/>
            <w:vAlign w:val="center"/>
            <w:tcMar>
              <w:top w:w="90" w:type="dxa"/>
              <w:bottom w:w="90" w:type="dxa"/>
              <w:left w:w="90" w:type="dxa"/>
              <w:right w:w="90" w:type="dxa"/>
            </w:tcMar>
            <w:shd w:fill="FFFFFF"/>
          </w:tcPr>
          <w:p>
            <w:pPr>
              <w:spacing w:before="40" w:after="40" w:line="247" w:lineRule="auto"/>
            </w:pPr>
            <w:r>
              <w:rPr>
                <w:b w:val="0"/>
                <w:sz w:val="19"/>
              </w:rPr>
              <w:t>Exports every sample, nine named outputs and the three auxiliary values. Plot simplification never changes exported data.</w:t>
            </w:r>
          </w:p>
        </w:tc>
      </w:tr>
      <w:tr>
        <w:trPr>
          <w:cantSplit/>
        </w:trPr>
        <w:tc>
          <w:tcPr>
            <w:tcW w:type="dxa" w:w="3121"/>
            <w:vAlign w:val="center"/>
            <w:tcMar>
              <w:top w:w="90" w:type="dxa"/>
              <w:bottom w:w="90" w:type="dxa"/>
              <w:left w:w="90" w:type="dxa"/>
              <w:right w:w="90" w:type="dxa"/>
            </w:tcMar>
            <w:shd w:fill="FFFFFF"/>
          </w:tcPr>
          <w:p>
            <w:pPr>
              <w:spacing w:before="40" w:after="40" w:line="247" w:lineRule="auto"/>
            </w:pPr>
            <w:r>
              <w:rPr>
                <w:b w:val="0"/>
                <w:sz w:val="19"/>
              </w:rPr>
              <w:t>verifyReferenceCSV(text)</w:t>
            </w:r>
          </w:p>
        </w:tc>
        <w:tc>
          <w:tcPr>
            <w:tcW w:type="dxa" w:w="7103"/>
            <w:vAlign w:val="center"/>
            <w:tcMar>
              <w:top w:w="90" w:type="dxa"/>
              <w:bottom w:w="90" w:type="dxa"/>
              <w:left w:w="90" w:type="dxa"/>
              <w:right w:w="90" w:type="dxa"/>
            </w:tcMar>
            <w:shd w:fill="FFFFFF"/>
          </w:tcPr>
          <w:p>
            <w:pPr>
              <w:spacing w:before="40" w:after="40" w:line="247" w:lineRule="auto"/>
            </w:pPr>
            <w:r>
              <w:rPr>
                <w:b w:val="0"/>
                <w:sz w:val="19"/>
              </w:rPr>
              <w:t>Compares the complete default trace against the original Simulink default_run.csv. It validates the exact expected header, time grid, counts, flags and numeric tolerances.</w:t>
            </w:r>
          </w:p>
        </w:tc>
      </w:tr>
      <w:tr>
        <w:trPr>
          <w:cantSplit/>
        </w:trPr>
        <w:tc>
          <w:tcPr>
            <w:tcW w:type="dxa" w:w="3121"/>
            <w:vAlign w:val="center"/>
            <w:tcMar>
              <w:top w:w="90" w:type="dxa"/>
              <w:bottom w:w="90" w:type="dxa"/>
              <w:left w:w="90" w:type="dxa"/>
              <w:right w:w="90" w:type="dxa"/>
            </w:tcMar>
            <w:shd w:fill="FFFFFF"/>
          </w:tcPr>
          <w:p>
            <w:pPr>
              <w:spacing w:before="40" w:after="40" w:line="247" w:lineRule="auto"/>
            </w:pPr>
            <w:r>
              <w:rPr>
                <w:b w:val="0"/>
                <w:sz w:val="19"/>
              </w:rPr>
              <w:t>mount(element, overrides)</w:t>
            </w:r>
          </w:p>
        </w:tc>
        <w:tc>
          <w:tcPr>
            <w:tcW w:type="dxa" w:w="7103"/>
            <w:vAlign w:val="center"/>
            <w:tcMar>
              <w:top w:w="90" w:type="dxa"/>
              <w:bottom w:w="90" w:type="dxa"/>
              <w:left w:w="90" w:type="dxa"/>
              <w:right w:w="90" w:type="dxa"/>
            </w:tcMar>
            <w:shd w:fill="FFFFFF"/>
          </w:tcPr>
          <w:p>
            <w:pPr>
              <w:spacing w:before="40" w:after="40" w:line="247" w:lineRule="auto"/>
            </w:pPr>
            <w:r>
              <w:rPr>
                <w:b w:val="0"/>
                <w:sz w:val="19"/>
              </w:rPr>
              <w:t>Returns {host, start, pause, seek, setConfig, snapshot, config, playing, exportCSV, destroy}. seek takes seconds; setConfig validates, applies and resets atomically.</w:t>
            </w:r>
          </w:p>
        </w:tc>
      </w:tr>
      <w:tr>
        <w:trPr>
          <w:cantSplit/>
        </w:trPr>
        <w:tc>
          <w:tcPr>
            <w:tcW w:type="dxa" w:w="3121"/>
            <w:vAlign w:val="center"/>
            <w:tcMar>
              <w:top w:w="90" w:type="dxa"/>
              <w:bottom w:w="90" w:type="dxa"/>
              <w:left w:w="90" w:type="dxa"/>
              <w:right w:w="90" w:type="dxa"/>
            </w:tcMar>
            <w:shd w:fill="FFFFFF"/>
          </w:tcPr>
          <w:p>
            <w:pPr>
              <w:spacing w:before="40" w:after="40" w:line="247" w:lineRule="auto"/>
            </w:pPr>
            <w:r>
              <w:rPr>
                <w:b w:val="0"/>
                <w:sz w:val="19"/>
              </w:rPr>
              <w:t>ect:sample event</w:t>
            </w:r>
          </w:p>
        </w:tc>
        <w:tc>
          <w:tcPr>
            <w:tcW w:type="dxa" w:w="7103"/>
            <w:vAlign w:val="center"/>
            <w:tcMar>
              <w:top w:w="90" w:type="dxa"/>
              <w:bottom w:w="90" w:type="dxa"/>
              <w:left w:w="90" w:type="dxa"/>
              <w:right w:w="90" w:type="dxa"/>
            </w:tcMar>
            <w:shd w:fill="FFFFFF"/>
          </w:tcPr>
          <w:p>
            <w:pPr>
              <w:spacing w:before="40" w:after="40" w:line="247" w:lineRule="auto"/>
            </w:pPr>
            <w:r>
              <w:rPr>
                <w:b w:val="0"/>
                <w:sz w:val="19"/>
              </w:rPr>
              <w:t>Bubbles from the interface host with the current sample in event.detail. Register listeners on the container before mounting if the initial event is needed.</w:t>
            </w:r>
          </w:p>
        </w:tc>
      </w:tr>
    </w:tbl>
    <w:p>
      <w:pPr>
        <w:spacing w:after="40" w:before="0" w:line="96" w:lineRule="auto"/>
      </w:pPr>
    </w:p>
    <w:p>
      <w:pPr>
        <w:pStyle w:val="Heading1"/>
      </w:pPr>
      <w:r>
        <w:rPr>
          <w:b w:val="0"/>
        </w:rPr>
        <w:t>Nine preserved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02"/>
        <w:gridCol w:w="5122"/>
      </w:tblGrid>
      <w:tr>
        <w:trPr>
          <w:cantSplit/>
          <w:tblHeader/>
        </w:trPr>
        <w:tc>
          <w:tcPr>
            <w:tcW w:type="dxa" w:w="5102"/>
            <w:vAlign w:val="center"/>
            <w:tcMar>
              <w:top w:w="90" w:type="dxa"/>
              <w:bottom w:w="90" w:type="dxa"/>
              <w:left w:w="90" w:type="dxa"/>
              <w:right w:w="90" w:type="dxa"/>
            </w:tcMar>
            <w:shd w:fill="E8EFF5"/>
          </w:tcPr>
          <w:p>
            <w:pPr>
              <w:spacing w:before="40" w:after="40" w:line="247" w:lineRule="auto"/>
            </w:pPr>
            <w:r>
              <w:rPr>
                <w:b/>
                <w:sz w:val="19"/>
              </w:rPr>
              <w:t>Field</w:t>
            </w:r>
          </w:p>
        </w:tc>
        <w:tc>
          <w:tcPr>
            <w:tcW w:type="dxa" w:w="5122"/>
            <w:vAlign w:val="center"/>
            <w:tcMar>
              <w:top w:w="90" w:type="dxa"/>
              <w:bottom w:w="90" w:type="dxa"/>
              <w:left w:w="90" w:type="dxa"/>
              <w:right w:w="90" w:type="dxa"/>
            </w:tcMar>
            <w:shd w:fill="E8EFF5"/>
          </w:tcPr>
          <w:p>
            <w:pPr>
              <w:spacing w:before="40" w:after="40" w:line="247" w:lineRule="auto"/>
            </w:pPr>
            <w:r>
              <w:rPr>
                <w:b/>
                <w:sz w:val="19"/>
              </w:rPr>
              <w:t>Unit / meaning</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Coolant_Input_C</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C; clamped coolant input</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Sensor_Temperature_C</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C; dynamic sensor temperature</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Thermistor_Resistance_Ohm</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ohm; thermistor resistance</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ECT_Voltage_V</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V; ideal analogue divider output</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ADC_Count</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Integer-valued number, 0 to adcMaxCount</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Reconstructed_Temperature_C</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C; ECU estimate, guarded fallback at a rail</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Conversion_Error_C</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C; estimate minus sensor temperature</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Input_Valid_Status</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0 or 1; requested coolant lies inside inclusive limits</w:t>
            </w:r>
          </w:p>
        </w:tc>
      </w:tr>
      <w:tr>
        <w:trPr>
          <w:cantSplit/>
        </w:trPr>
        <w:tc>
          <w:tcPr>
            <w:tcW w:type="dxa" w:w="5102"/>
            <w:vAlign w:val="center"/>
            <w:tcMar>
              <w:top w:w="90" w:type="dxa"/>
              <w:bottom w:w="90" w:type="dxa"/>
              <w:left w:w="90" w:type="dxa"/>
              <w:right w:w="90" w:type="dxa"/>
            </w:tcMar>
            <w:shd w:fill="FFFFFF"/>
          </w:tcPr>
          <w:p>
            <w:pPr>
              <w:spacing w:before="40" w:after="40" w:line="247" w:lineRule="auto"/>
            </w:pPr>
            <w:r>
              <w:rPr>
                <w:b w:val="0"/>
                <w:sz w:val="19"/>
              </w:rPr>
              <w:t>Conversion_Valid_Status</w:t>
            </w:r>
          </w:p>
        </w:tc>
        <w:tc>
          <w:tcPr>
            <w:tcW w:type="dxa" w:w="5122"/>
            <w:vAlign w:val="center"/>
            <w:tcMar>
              <w:top w:w="90" w:type="dxa"/>
              <w:bottom w:w="90" w:type="dxa"/>
              <w:left w:w="90" w:type="dxa"/>
              <w:right w:w="90" w:type="dxa"/>
            </w:tcMar>
            <w:shd w:fill="FFFFFF"/>
          </w:tcPr>
          <w:p>
            <w:pPr>
              <w:spacing w:before="40" w:after="40" w:line="247" w:lineRule="auto"/>
            </w:pPr>
            <w:r>
              <w:rPr>
                <w:b w:val="0"/>
                <w:sz w:val="19"/>
              </w:rPr>
              <w:t>0 or 1; ADC is strictly between its rails</w:t>
            </w:r>
          </w:p>
        </w:tc>
      </w:tr>
    </w:tbl>
    <w:p>
      <w:pPr>
        <w:spacing w:after="40" w:before="0" w:line="96" w:lineRule="auto"/>
      </w:pPr>
    </w:p>
    <w:p>
      <w:r>
        <w:rPr>
          <w:b w:val="0"/>
        </w:rPr>
        <w:t xml:space="preserve">Every sample also contains </w:t>
      </w:r>
      <w:r>
        <w:rPr>
          <w:b/>
        </w:rPr>
        <w:t>timeS</w:t>
      </w:r>
      <w:r>
        <w:rPr>
          <w:b w:val="0"/>
        </w:rPr>
        <w:t xml:space="preserve">, </w:t>
      </w:r>
      <w:r>
        <w:rPr>
          <w:b/>
        </w:rPr>
        <w:t>Requested_Coolant_C</w:t>
      </w:r>
      <w:r>
        <w:rPr>
          <w:b w:val="0"/>
        </w:rPr>
        <w:t xml:space="preserve">, </w:t>
      </w:r>
      <w:r>
        <w:rPr>
          <w:b/>
        </w:rPr>
        <w:t>Quantised_Voltage_V</w:t>
      </w:r>
      <w:r>
        <w:rPr>
          <w:b w:val="0"/>
        </w:rPr>
        <w:t xml:space="preserve"> and </w:t>
      </w:r>
      <w:r>
        <w:rPr>
          <w:b/>
        </w:rPr>
        <w:t>Reconstructed_Resistance_Ohm</w:t>
      </w:r>
      <w:r>
        <w:rPr>
          <w:b w:val="0"/>
        </w:rPr>
        <w:t>. Do not confuse a valid coolant input with a valid ADC conversion. A rail fallback remains finite but is not a valid measurement.</w:t>
      </w:r>
    </w:p>
    <w:p>
      <w:pPr>
        <w:pStyle w:val="Heading1"/>
        <w:pageBreakBefore/>
      </w:pPr>
      <w:r>
        <w:rPr>
          <w:b w:val="0"/>
        </w:rPr>
        <w:t>Parameters and numerical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02"/>
        <w:gridCol w:w="1921"/>
        <w:gridCol w:w="3902"/>
      </w:tblGrid>
      <w:tr>
        <w:trPr>
          <w:cantSplit/>
          <w:tblHeader/>
        </w:trPr>
        <w:tc>
          <w:tcPr>
            <w:tcW w:type="dxa" w:w="4402"/>
            <w:vAlign w:val="center"/>
            <w:tcMar>
              <w:top w:w="90" w:type="dxa"/>
              <w:bottom w:w="90" w:type="dxa"/>
              <w:left w:w="90" w:type="dxa"/>
              <w:right w:w="90" w:type="dxa"/>
            </w:tcMar>
            <w:shd w:fill="E8EFF5"/>
          </w:tcPr>
          <w:p>
            <w:pPr>
              <w:spacing w:before="40" w:after="40" w:line="247" w:lineRule="auto"/>
            </w:pPr>
            <w:r>
              <w:rPr>
                <w:b/>
                <w:sz w:val="19"/>
              </w:rPr>
              <w:t>JavaScript key</w:t>
            </w:r>
          </w:p>
        </w:tc>
        <w:tc>
          <w:tcPr>
            <w:tcW w:type="dxa" w:w="1921"/>
            <w:vAlign w:val="center"/>
            <w:tcMar>
              <w:top w:w="90" w:type="dxa"/>
              <w:bottom w:w="90" w:type="dxa"/>
              <w:left w:w="90" w:type="dxa"/>
              <w:right w:w="90" w:type="dxa"/>
            </w:tcMar>
            <w:shd w:fill="E8EFF5"/>
          </w:tcPr>
          <w:p>
            <w:pPr>
              <w:spacing w:before="40" w:after="40" w:line="247" w:lineRule="auto"/>
            </w:pPr>
            <w:r>
              <w:rPr>
                <w:b/>
                <w:sz w:val="19"/>
              </w:rPr>
              <w:t>Default</w:t>
            </w:r>
          </w:p>
        </w:tc>
        <w:tc>
          <w:tcPr>
            <w:tcW w:type="dxa" w:w="3902"/>
            <w:vAlign w:val="center"/>
            <w:tcMar>
              <w:top w:w="90" w:type="dxa"/>
              <w:bottom w:w="90" w:type="dxa"/>
              <w:left w:w="90" w:type="dxa"/>
              <w:right w:w="90" w:type="dxa"/>
            </w:tcMar>
            <w:shd w:fill="E8EFF5"/>
          </w:tcPr>
          <w:p>
            <w:pPr>
              <w:spacing w:before="40" w:after="40" w:line="247" w:lineRule="auto"/>
            </w:pPr>
            <w:r>
              <w:rPr>
                <w:b/>
                <w:sz w:val="19"/>
              </w:rPr>
              <w:t>Meaning</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inputMode</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1</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0 = fixed; 1 = step</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fixedCoolantC</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85</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Fixed requested coolant temperature</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stepTimeS / stepBeforeC / stepAfterC</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20 / 20 / 100</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Step time in seconds; before and after temperatures in C</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initialSensorC</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20</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Sensor initial temperature</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minTempC / maxTempC</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-20 / 130</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Applied input limits in C</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tauS</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3</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First-order sensor time constant, seconds</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r0Ohm / referenceTempC</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2500 / 25</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Resistance at the reference temperature</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betaK</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3950</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Thermistor Beta coefficient</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referenceVoltageV / pullupOhm</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5 / 2490</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Reference voltage and pull-up resistance</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adcMaxCount</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4095</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12-bit maximum count</w:t>
            </w:r>
          </w:p>
        </w:tc>
      </w:tr>
      <w:tr>
        <w:trPr>
          <w:cantSplit/>
        </w:trPr>
        <w:tc>
          <w:tcPr>
            <w:tcW w:type="dxa" w:w="4402"/>
            <w:vAlign w:val="center"/>
            <w:tcMar>
              <w:top w:w="90" w:type="dxa"/>
              <w:bottom w:w="90" w:type="dxa"/>
              <w:left w:w="90" w:type="dxa"/>
              <w:right w:w="90" w:type="dxa"/>
            </w:tcMar>
            <w:shd w:fill="FFFFFF"/>
          </w:tcPr>
          <w:p>
            <w:pPr>
              <w:spacing w:before="40" w:after="40" w:line="247" w:lineRule="auto"/>
            </w:pPr>
            <w:r>
              <w:rPr>
                <w:b w:val="0"/>
                <w:sz w:val="19"/>
              </w:rPr>
              <w:t>dtS / stopTimeS</w:t>
            </w:r>
          </w:p>
        </w:tc>
        <w:tc>
          <w:tcPr>
            <w:tcW w:type="dxa" w:w="1921"/>
            <w:vAlign w:val="center"/>
            <w:tcMar>
              <w:top w:w="90" w:type="dxa"/>
              <w:bottom w:w="90" w:type="dxa"/>
              <w:left w:w="90" w:type="dxa"/>
              <w:right w:w="90" w:type="dxa"/>
            </w:tcMar>
            <w:shd w:fill="FFFFFF"/>
          </w:tcPr>
          <w:p>
            <w:pPr>
              <w:spacing w:before="40" w:after="40" w:line="247" w:lineRule="auto"/>
            </w:pPr>
            <w:r>
              <w:rPr>
                <w:b w:val="0"/>
                <w:sz w:val="19"/>
              </w:rPr>
              <w:t>0.01 / 120</w:t>
            </w:r>
          </w:p>
        </w:tc>
        <w:tc>
          <w:tcPr>
            <w:tcW w:type="dxa" w:w="3902"/>
            <w:vAlign w:val="center"/>
            <w:tcMar>
              <w:top w:w="90" w:type="dxa"/>
              <w:bottom w:w="90" w:type="dxa"/>
              <w:left w:w="90" w:type="dxa"/>
              <w:right w:w="90" w:type="dxa"/>
            </w:tcMar>
            <w:shd w:fill="FFFFFF"/>
          </w:tcPr>
          <w:p>
            <w:pPr>
              <w:spacing w:before="40" w:after="40" w:line="247" w:lineRule="auto"/>
            </w:pPr>
            <w:r>
              <w:rPr>
                <w:b w:val="0"/>
                <w:sz w:val="19"/>
              </w:rPr>
              <w:t>Calculation interval and duration in seconds</w:t>
            </w:r>
          </w:p>
        </w:tc>
      </w:tr>
    </w:tbl>
    <w:p>
      <w:pPr>
        <w:spacing w:after="40" w:before="0" w:line="96" w:lineRule="auto"/>
      </w:pPr>
    </w:p>
    <w:p>
      <w:pPr>
        <w:pStyle w:val="Heading1"/>
      </w:pPr>
      <w:r>
        <w:rPr>
          <w:b w:val="0"/>
        </w:rPr>
        <w:t>Preserved calculations</w:t>
      </w:r>
    </w:p>
    <w:p>
      <w:r>
        <w:rPr>
          <w:b w:val="0"/>
        </w:rPr>
        <w:t xml:space="preserve">The engine selects and clamps coolant input, integrates </w:t>
      </w:r>
      <w:r>
        <w:rPr>
          <w:b/>
        </w:rPr>
        <w:t>dTs/dt = (Tc - Ts)/tau</w:t>
      </w:r>
      <w:r>
        <w:rPr>
          <w:b w:val="0"/>
        </w:rPr>
        <w:t>, applies the NTC Beta equation, calculates the voltage divider, rounds a bounded ADC count, and reconstructs resistance and temperature. The inverse uses counts 1 through M-1, where M is maximum count; the original count and rail validity remain visible.</w:t>
      </w:r>
    </w:p>
    <w:p>
      <w:r>
        <w:rPr>
          <w:b/>
        </w:rPr>
        <w:t>Integrator:</w:t>
      </w:r>
      <w:r>
        <w:rPr>
          <w:b w:val="0"/>
        </w:rPr>
        <w:t xml:space="preserve"> fixed-step fourth-order Runge-Kutta with time derived from integer ticks. The last stage uses the new input at an exact step boundary, matching Ts = 20.0444444444 C at 20 s in Simulink. Preserve this behaviour; an exact exponential update changes boundary samples.</w:t>
      </w:r>
    </w:p>
    <w:p>
      <w:r>
        <w:rPr>
          <w:b/>
        </w:rPr>
        <w:t>Validation:</w:t>
      </w:r>
      <w:r>
        <w:rPr>
          <w:b w:val="0"/>
        </w:rPr>
        <w:t xml:space="preserve"> require finite numeric scalars, mode 0 or 1, positive tau, resistances, voltage and Beta, and initial sensor temperature inside the limits. ADC maximum must be an integer from 3 to 16777215. Inverse-temperature domain and resistance numeric-range checks reject invalid edits before a new experiment starts.</w:t>
      </w:r>
    </w:p>
    <w:p>
      <w:r>
        <w:rPr>
          <w:b/>
        </w:rPr>
        <w:t>Runtime limits:</w:t>
      </w:r>
      <w:r>
        <w:rPr>
          <w:b w:val="0"/>
        </w:rPr>
        <w:t xml:space="preserve"> dtS must be positive and no greater than tauS/10. Duration must be a positive whole number of time steps, between 1 and 100000 intervals. The latter is an implementation workload limit, not a physical sensor constraint. A longer or finer simulation needs an explicit performance design, such as a worker and bounded storage.</w:t>
      </w:r>
    </w:p>
    <w:p>
      <w:r>
        <w:rPr>
          <w:b/>
        </w:rPr>
        <w:t>Playback:</w:t>
      </w:r>
      <w:r>
        <w:rPr>
          <w:b w:val="0"/>
        </w:rPr>
        <w:t xml:space="preserve"> animation selects precomputed fixed-grid samples. Playback speed never changes the physics. A hidden page pauses playback; seeking pauses at the nearest sample. Rendering stalls never become large integration steps.</w:t>
      </w:r>
    </w:p>
    <w:p>
      <w:r>
        <w:rPr>
          <w:b/>
        </w:rPr>
        <w:t>Scope of parity:</w:t>
      </w:r>
      <w:r>
        <w:rPr>
          <w:b w:val="0"/>
        </w:rPr>
        <w:t xml:space="preserve"> all nine outputs were compared across the default Simulink run. Other presets have analytical, validity and browser checks. Off-grid events and new input sources need their own native trace comparisons.</w:t>
      </w:r>
    </w:p>
    <w:p>
      <w:pPr>
        <w:pStyle w:val="Heading1"/>
        <w:pageBreakBefore/>
      </w:pPr>
      <w:r>
        <w:rPr>
          <w:b w:val="0"/>
        </w:rPr>
        <w:t>The corresponding visual output is required</w:t>
      </w:r>
    </w:p>
    <w:p>
      <w:r>
        <w:rPr>
          <w:b w:val="0"/>
        </w:rPr>
        <w:t>The platform integration is complete only when a user can operate the experiment and understand the calculated results. A static car picture or a successful code build does not satisfy this requirement.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01"/>
        <w:gridCol w:w="7123"/>
      </w:tblGrid>
      <w:tr>
        <w:trPr>
          <w:cantSplit/>
          <w:tblHeader/>
        </w:trPr>
        <w:tc>
          <w:tcPr>
            <w:tcW w:type="dxa" w:w="3101"/>
            <w:vAlign w:val="center"/>
            <w:tcMar>
              <w:top w:w="90" w:type="dxa"/>
              <w:bottom w:w="90" w:type="dxa"/>
              <w:left w:w="90" w:type="dxa"/>
              <w:right w:w="90" w:type="dxa"/>
            </w:tcMar>
            <w:shd w:fill="E8EFF5"/>
          </w:tcPr>
          <w:p>
            <w:pPr>
              <w:spacing w:before="40" w:after="40" w:line="247" w:lineRule="auto"/>
            </w:pPr>
            <w:r>
              <w:rPr>
                <w:b/>
                <w:sz w:val="19"/>
              </w:rPr>
              <w:t>Required element</w:t>
            </w:r>
          </w:p>
        </w:tc>
        <w:tc>
          <w:tcPr>
            <w:tcW w:type="dxa" w:w="7123"/>
            <w:vAlign w:val="center"/>
            <w:tcMar>
              <w:top w:w="90" w:type="dxa"/>
              <w:bottom w:w="90" w:type="dxa"/>
              <w:left w:w="90" w:type="dxa"/>
              <w:right w:w="90" w:type="dxa"/>
            </w:tcMar>
            <w:shd w:fill="E8EFF5"/>
          </w:tcPr>
          <w:p>
            <w:pPr>
              <w:spacing w:before="40" w:after="40" w:line="247" w:lineRule="auto"/>
            </w:pPr>
            <w:r>
              <w:rPr>
                <w:b/>
                <w:sz w:val="19"/>
              </w:rPr>
              <w:t>Expected behaviour</w:t>
            </w:r>
          </w:p>
        </w:tc>
      </w:tr>
      <w:tr>
        <w:trPr>
          <w:cantSplit/>
        </w:trPr>
        <w:tc>
          <w:tcPr>
            <w:tcW w:type="dxa" w:w="3101"/>
            <w:vAlign w:val="center"/>
            <w:tcMar>
              <w:top w:w="90" w:type="dxa"/>
              <w:bottom w:w="90" w:type="dxa"/>
              <w:left w:w="90" w:type="dxa"/>
              <w:right w:w="90" w:type="dxa"/>
            </w:tcMar>
            <w:shd w:fill="FFFFFF"/>
          </w:tcPr>
          <w:p>
            <w:pPr>
              <w:spacing w:before="40" w:after="40" w:line="247" w:lineRule="auto"/>
            </w:pPr>
            <w:r>
              <w:rPr>
                <w:b w:val="0"/>
                <w:sz w:val="19"/>
              </w:rPr>
              <w:t>Engine-bay / sensor / ECU view</w:t>
            </w:r>
          </w:p>
        </w:tc>
        <w:tc>
          <w:tcPr>
            <w:tcW w:type="dxa" w:w="7123"/>
            <w:vAlign w:val="center"/>
            <w:tcMar>
              <w:top w:w="90" w:type="dxa"/>
              <w:bottom w:w="90" w:type="dxa"/>
              <w:left w:w="90" w:type="dxa"/>
              <w:right w:w="90" w:type="dxa"/>
            </w:tcMar>
            <w:shd w:fill="FFFFFF"/>
          </w:tcPr>
          <w:p>
            <w:pPr>
              <w:spacing w:before="40" w:after="40" w:line="247" w:lineRule="auto"/>
            </w:pPr>
            <w:r>
              <w:rPr>
                <w:b w:val="0"/>
                <w:sz w:val="19"/>
              </w:rPr>
              <w:t>Label coolant, sensor and ECU. Colour coolant and sensor from Tc and Ts on the same visible temperature scale. Show computed voltage and ADC count. Animation represents signal activity only.</w:t>
            </w:r>
          </w:p>
        </w:tc>
      </w:tr>
      <w:tr>
        <w:trPr>
          <w:cantSplit/>
        </w:trPr>
        <w:tc>
          <w:tcPr>
            <w:tcW w:type="dxa" w:w="3101"/>
            <w:vAlign w:val="center"/>
            <w:tcMar>
              <w:top w:w="90" w:type="dxa"/>
              <w:bottom w:w="90" w:type="dxa"/>
              <w:left w:w="90" w:type="dxa"/>
              <w:right w:w="90" w:type="dxa"/>
            </w:tcMar>
            <w:shd w:fill="FFFFFF"/>
          </w:tcPr>
          <w:p>
            <w:pPr>
              <w:spacing w:before="40" w:after="40" w:line="247" w:lineRule="auto"/>
            </w:pPr>
            <w:r>
              <w:rPr>
                <w:b w:val="0"/>
                <w:sz w:val="19"/>
              </w:rPr>
              <w:t>Numeric readings</w:t>
            </w:r>
          </w:p>
        </w:tc>
        <w:tc>
          <w:tcPr>
            <w:tcW w:type="dxa" w:w="7123"/>
            <w:vAlign w:val="center"/>
            <w:tcMar>
              <w:top w:w="90" w:type="dxa"/>
              <w:bottom w:w="90" w:type="dxa"/>
              <w:left w:w="90" w:type="dxa"/>
              <w:right w:w="90" w:type="dxa"/>
            </w:tcMar>
            <w:shd w:fill="FFFFFF"/>
          </w:tcPr>
          <w:p>
            <w:pPr>
              <w:spacing w:before="40" w:after="40" w:line="247" w:lineRule="auto"/>
            </w:pPr>
            <w:r>
              <w:rPr>
                <w:b w:val="0"/>
                <w:sz w:val="19"/>
              </w:rPr>
              <w:t>Show applied coolant, sensor temperature, ECU estimate, resistance, voltage, ADC count and conversion error with units. Separate both validity indicators.</w:t>
            </w:r>
          </w:p>
        </w:tc>
      </w:tr>
      <w:tr>
        <w:trPr>
          <w:cantSplit/>
        </w:trPr>
        <w:tc>
          <w:tcPr>
            <w:tcW w:type="dxa" w:w="3101"/>
            <w:vAlign w:val="center"/>
            <w:tcMar>
              <w:top w:w="90" w:type="dxa"/>
              <w:bottom w:w="90" w:type="dxa"/>
              <w:left w:w="90" w:type="dxa"/>
              <w:right w:w="90" w:type="dxa"/>
            </w:tcMar>
            <w:shd w:fill="FFFFFF"/>
          </w:tcPr>
          <w:p>
            <w:pPr>
              <w:spacing w:before="40" w:after="40" w:line="247" w:lineRule="auto"/>
            </w:pPr>
            <w:r>
              <w:rPr>
                <w:b w:val="0"/>
                <w:sz w:val="19"/>
              </w:rPr>
              <w:t>Invalid-state presentation</w:t>
            </w:r>
          </w:p>
        </w:tc>
        <w:tc>
          <w:tcPr>
            <w:tcW w:type="dxa" w:w="7123"/>
            <w:vAlign w:val="center"/>
            <w:tcMar>
              <w:top w:w="90" w:type="dxa"/>
              <w:bottom w:w="90" w:type="dxa"/>
              <w:left w:w="90" w:type="dxa"/>
              <w:right w:w="90" w:type="dxa"/>
            </w:tcMar>
            <w:shd w:fill="FFFFFF"/>
          </w:tcPr>
          <w:p>
            <w:pPr>
              <w:spacing w:before="40" w:after="40" w:line="247" w:lineRule="auto"/>
            </w:pPr>
            <w:r>
              <w:rPr>
                <w:b w:val="0"/>
                <w:sz w:val="19"/>
              </w:rPr>
              <w:t>Display CLAMPED for input outside bounds and FALLBACK / INVALID at an ADC rail. Keep the fallback estimate visible with its warning; never label it a valid measurement.</w:t>
            </w:r>
          </w:p>
        </w:tc>
      </w:tr>
      <w:tr>
        <w:trPr>
          <w:cantSplit/>
        </w:trPr>
        <w:tc>
          <w:tcPr>
            <w:tcW w:type="dxa" w:w="3101"/>
            <w:vAlign w:val="center"/>
            <w:tcMar>
              <w:top w:w="90" w:type="dxa"/>
              <w:bottom w:w="90" w:type="dxa"/>
              <w:left w:w="90" w:type="dxa"/>
              <w:right w:w="90" w:type="dxa"/>
            </w:tcMar>
            <w:shd w:fill="FFFFFF"/>
          </w:tcPr>
          <w:p>
            <w:pPr>
              <w:spacing w:before="40" w:after="40" w:line="247" w:lineRule="auto"/>
            </w:pPr>
            <w:r>
              <w:rPr>
                <w:b w:val="0"/>
                <w:sz w:val="19"/>
              </w:rPr>
              <w:t>Synchronized plots</w:t>
            </w:r>
          </w:p>
        </w:tc>
        <w:tc>
          <w:tcPr>
            <w:tcW w:type="dxa" w:w="7123"/>
            <w:vAlign w:val="center"/>
            <w:tcMar>
              <w:top w:w="90" w:type="dxa"/>
              <w:bottom w:w="90" w:type="dxa"/>
              <w:left w:w="90" w:type="dxa"/>
              <w:right w:w="90" w:type="dxa"/>
            </w:tcMar>
            <w:shd w:fill="FFFFFF"/>
          </w:tcPr>
          <w:p>
            <w:pPr>
              <w:spacing w:before="40" w:after="40" w:line="247" w:lineRule="auto"/>
            </w:pPr>
            <w:r>
              <w:rPr>
                <w:b w:val="0"/>
                <w:sz w:val="19"/>
              </w:rPr>
              <w:t>Temperature [Tc, Ts, Test], resistance [R, Rest], voltage [V, Vq], ADC count, plus conversion error. Provide legends, time and units. Preserve extrema when simplifying plots.</w:t>
            </w:r>
          </w:p>
        </w:tc>
      </w:tr>
      <w:tr>
        <w:trPr>
          <w:cantSplit/>
        </w:trPr>
        <w:tc>
          <w:tcPr>
            <w:tcW w:type="dxa" w:w="3101"/>
            <w:vAlign w:val="center"/>
            <w:tcMar>
              <w:top w:w="90" w:type="dxa"/>
              <w:bottom w:w="90" w:type="dxa"/>
              <w:left w:w="90" w:type="dxa"/>
              <w:right w:w="90" w:type="dxa"/>
            </w:tcMar>
            <w:shd w:fill="FFFFFF"/>
          </w:tcPr>
          <w:p>
            <w:pPr>
              <w:spacing w:before="40" w:after="40" w:line="247" w:lineRule="auto"/>
            </w:pPr>
            <w:r>
              <w:rPr>
                <w:b w:val="0"/>
                <w:sz w:val="19"/>
              </w:rPr>
              <w:t>Interactive controls</w:t>
            </w:r>
          </w:p>
        </w:tc>
        <w:tc>
          <w:tcPr>
            <w:tcW w:type="dxa" w:w="7123"/>
            <w:vAlign w:val="center"/>
            <w:tcMar>
              <w:top w:w="90" w:type="dxa"/>
              <w:bottom w:w="90" w:type="dxa"/>
              <w:left w:w="90" w:type="dxa"/>
              <w:right w:w="90" w:type="dxa"/>
            </w:tcMar>
            <w:shd w:fill="FFFFFF"/>
          </w:tcPr>
          <w:p>
            <w:pPr>
              <w:spacing w:before="40" w:after="40" w:line="247" w:lineRule="auto"/>
            </w:pPr>
            <w:r>
              <w:rPr>
                <w:b w:val="0"/>
                <w:sz w:val="19"/>
              </w:rPr>
              <w:t>Start/Pause, Reset, scrubber, playback speed, heating/cooling/fixed/clamped/rail presets, editable settings, inline errors and complete CSV export.</w:t>
            </w:r>
          </w:p>
        </w:tc>
      </w:tr>
      <w:tr>
        <w:trPr>
          <w:cantSplit/>
        </w:trPr>
        <w:tc>
          <w:tcPr>
            <w:tcW w:type="dxa" w:w="3101"/>
            <w:vAlign w:val="center"/>
            <w:tcMar>
              <w:top w:w="90" w:type="dxa"/>
              <w:bottom w:w="90" w:type="dxa"/>
              <w:left w:w="90" w:type="dxa"/>
              <w:right w:w="90" w:type="dxa"/>
            </w:tcMar>
            <w:shd w:fill="FFFFFF"/>
          </w:tcPr>
          <w:p>
            <w:pPr>
              <w:spacing w:before="40" w:after="40" w:line="247" w:lineRule="auto"/>
            </w:pPr>
            <w:r>
              <w:rPr>
                <w:b w:val="0"/>
                <w:sz w:val="19"/>
              </w:rPr>
              <w:t>Usability and access</w:t>
            </w:r>
          </w:p>
        </w:tc>
        <w:tc>
          <w:tcPr>
            <w:tcW w:type="dxa" w:w="7123"/>
            <w:vAlign w:val="center"/>
            <w:tcMar>
              <w:top w:w="90" w:type="dxa"/>
              <w:bottom w:w="90" w:type="dxa"/>
              <w:left w:w="90" w:type="dxa"/>
              <w:right w:w="90" w:type="dxa"/>
            </w:tcMar>
            <w:shd w:fill="FFFFFF"/>
          </w:tcPr>
          <w:p>
            <w:pPr>
              <w:spacing w:before="40" w:after="40" w:line="247" w:lineRule="auto"/>
            </w:pPr>
            <w:r>
              <w:rPr>
                <w:b w:val="0"/>
                <w:sz w:val="19"/>
              </w:rPr>
              <w:t>Visible focus, keyboard operation, readable labels, text as well as colour for warnings, and reduced-motion support. Check desktop and 390-pixel mobile width. The narrow-screen diagram can scroll internally.</w:t>
            </w:r>
          </w:p>
        </w:tc>
      </w:tr>
    </w:tbl>
    <w:p>
      <w:pPr>
        <w:spacing w:after="40" w:before="0" w:line="96" w:lineRule="auto"/>
      </w:pPr>
    </w:p>
    <w:p>
      <w:pPr>
        <w:pStyle w:val="Heading1"/>
      </w:pPr>
      <w:r>
        <w:rPr>
          <w:b w:val="0"/>
        </w:rPr>
        <w:t>Recommended car visualization</w:t>
      </w:r>
    </w:p>
    <w:p>
      <w:r>
        <w:rPr>
          <w:b/>
        </w:rPr>
        <w:t>Recommendation:</w:t>
      </w:r>
      <w:r>
        <w:rPr>
          <w:b w:val="0"/>
        </w:rPr>
        <w:t xml:space="preserve"> use a stationary car cutaway or engine-bay view with the ECT sensor highlighted. The included SVG schematic is the working baseline. If the wider platform already has a 3D car, place this lab inside its engine-bay scene and drive the sensor colours and readouts from the same sample data.</w:t>
      </w:r>
    </w:p>
    <w:p>
      <w:r>
        <w:rPr>
          <w:b w:val="0"/>
        </w:rPr>
        <w:t>A moving car is unnecessary for this sensor model. Do not add moving wheels, engine RPM, cooling-fan switching, fuel changes, boiling coolant or an overheating alarm unless those behaviours are separately specified and modelled. No such outputs exist in this reference.</w:t>
      </w:r>
    </w:p>
    <w:p>
      <w:pPr>
        <w:pStyle w:val="Heading1"/>
      </w:pPr>
      <w:r>
        <w:rPr>
          <w:b w:val="0"/>
        </w:rPr>
        <w:t>Demand these visuals at acceptance</w:t>
      </w:r>
    </w:p>
    <w:p>
      <w:r>
        <w:rPr>
          <w:b w:val="0"/>
        </w:rPr>
        <w:t>Require the working platform route or local launch instructions, plus screenshots of the initial state, warm-up, final state, a rail-invalid state and the mobile layout. Demonstrate controls and export in the browser. Preserve the numerical tests after adapting the design. Explain any new physical models separately from the ECT conversion.</w:t>
      </w:r>
    </w:p>
    <w:p>
      <w:pPr>
        <w:pStyle w:val="Heading1"/>
        <w:pageBreakBefore/>
      </w:pPr>
      <w:r>
        <w:rPr>
          <w:b w:val="0"/>
        </w:rPr>
        <w:t>Verification and expected results</w:t>
      </w:r>
    </w:p>
    <w:p>
      <w:r>
        <w:rPr>
          <w:b/>
        </w:rPr>
        <w:t>37 JavaScript checks passed</w:t>
      </w:r>
      <w:r>
        <w:rPr>
          <w:b w:val="0"/>
        </w:rPr>
        <w:t xml:space="preserve"> in the original validation on 25 October 2026 and were rerun after Markdown extraction on 27 October 2026, covering heating, steady temperatures, cooling, time constants, ADC resolutions, input clamping, both ADC rails, rejected configurations, independent instances, reset and CSV generation.</w:t>
      </w:r>
    </w:p>
    <w:p>
      <w:r>
        <w:rPr>
          <w:b/>
        </w:rPr>
        <w:t>22 browser checks passed</w:t>
      </w:r>
      <w:r>
        <w:rPr>
          <w:b w:val="0"/>
        </w:rPr>
        <w:t xml:space="preserve"> on 25 October 2026, covering rendered values, reset, playback/pause, the visibility-pause handler, presets, invalid settings, atomic valid edits, download contents, reduced motion, mobile overflow, keyboard controls, independent mounts and cleanup. No browser runtime errors were observed. These checks are not a formal accessibility audit.</w:t>
      </w:r>
    </w:p>
    <w:p>
      <w:r>
        <w:rPr>
          <w:b/>
        </w:rPr>
        <w:t>Complete reference comparison:</w:t>
      </w:r>
      <w:r>
        <w:rPr>
          <w:b w:val="0"/>
        </w:rPr>
        <w:t xml:space="preserve"> 12001 time samples x 9 signals. ADC counts, both validity flags and applied coolant match exactly. Maximum differences in the other signals are at floating-point rounding scale.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2"/>
        <w:gridCol w:w="3101"/>
        <w:gridCol w:w="2661"/>
      </w:tblGrid>
      <w:tr>
        <w:trPr>
          <w:cantSplit/>
          <w:tblHeader/>
        </w:trPr>
        <w:tc>
          <w:tcPr>
            <w:tcW w:type="dxa" w:w="4462"/>
            <w:vAlign w:val="center"/>
            <w:tcMar>
              <w:top w:w="90" w:type="dxa"/>
              <w:bottom w:w="90" w:type="dxa"/>
              <w:left w:w="90" w:type="dxa"/>
              <w:right w:w="90" w:type="dxa"/>
            </w:tcMar>
            <w:shd w:fill="E8EFF5"/>
          </w:tcPr>
          <w:p>
            <w:pPr>
              <w:spacing w:before="40" w:after="40" w:line="247" w:lineRule="auto"/>
            </w:pPr>
            <w:r>
              <w:rPr>
                <w:b/>
                <w:sz w:val="19"/>
              </w:rPr>
              <w:t>Output</w:t>
            </w:r>
          </w:p>
        </w:tc>
        <w:tc>
          <w:tcPr>
            <w:tcW w:type="dxa" w:w="3101"/>
            <w:vAlign w:val="center"/>
            <w:tcMar>
              <w:top w:w="90" w:type="dxa"/>
              <w:bottom w:w="90" w:type="dxa"/>
              <w:left w:w="90" w:type="dxa"/>
              <w:right w:w="90" w:type="dxa"/>
            </w:tcMar>
            <w:shd w:fill="E8EFF5"/>
          </w:tcPr>
          <w:p>
            <w:pPr>
              <w:spacing w:before="40" w:after="40" w:line="247" w:lineRule="auto"/>
            </w:pPr>
            <w:r>
              <w:rPr>
                <w:b/>
                <w:sz w:val="19"/>
              </w:rPr>
              <w:t>Maximum absolute difference</w:t>
            </w:r>
          </w:p>
        </w:tc>
        <w:tc>
          <w:tcPr>
            <w:tcW w:type="dxa" w:w="2661"/>
            <w:vAlign w:val="center"/>
            <w:tcMar>
              <w:top w:w="90" w:type="dxa"/>
              <w:bottom w:w="90" w:type="dxa"/>
              <w:left w:w="90" w:type="dxa"/>
              <w:right w:w="90" w:type="dxa"/>
            </w:tcMar>
            <w:shd w:fill="E8EFF5"/>
          </w:tcPr>
          <w:p>
            <w:pPr>
              <w:spacing w:before="40" w:after="40" w:line="247" w:lineRule="auto"/>
            </w:pPr>
            <w:r>
              <w:rPr>
                <w:b/>
                <w:sz w:val="19"/>
              </w:rPr>
              <w:t>Allowed tolerance</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Applied coolant (C)</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0</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1e-08</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Sensor temperature (C)</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5.68e-14</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1e-08</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Resistance (ohm)</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5e-12</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1e-06</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Voltage (V)</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4.88e-15</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1e-09</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ADC count</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0</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0</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Reconstructed temperature (C)</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9.95e-14</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1e-08</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Conversion error (C)</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5.69e-14</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1e-08</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Input validity</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0</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0</w:t>
            </w:r>
          </w:p>
        </w:tc>
      </w:tr>
      <w:tr>
        <w:trPr>
          <w:cantSplit/>
        </w:trPr>
        <w:tc>
          <w:tcPr>
            <w:tcW w:type="dxa" w:w="4462"/>
            <w:vAlign w:val="center"/>
            <w:tcMar>
              <w:top w:w="90" w:type="dxa"/>
              <w:bottom w:w="90" w:type="dxa"/>
              <w:left w:w="90" w:type="dxa"/>
              <w:right w:w="90" w:type="dxa"/>
            </w:tcMar>
            <w:shd w:fill="FFFFFF"/>
          </w:tcPr>
          <w:p>
            <w:pPr>
              <w:spacing w:before="40" w:after="40" w:line="247" w:lineRule="auto"/>
            </w:pPr>
            <w:r>
              <w:rPr>
                <w:b w:val="0"/>
                <w:sz w:val="19"/>
              </w:rPr>
              <w:t>Conversion validity</w:t>
            </w:r>
          </w:p>
        </w:tc>
        <w:tc>
          <w:tcPr>
            <w:tcW w:type="dxa" w:w="3101"/>
            <w:vAlign w:val="center"/>
            <w:tcMar>
              <w:top w:w="90" w:type="dxa"/>
              <w:bottom w:w="90" w:type="dxa"/>
              <w:left w:w="90" w:type="dxa"/>
              <w:right w:w="90" w:type="dxa"/>
            </w:tcMar>
            <w:shd w:fill="FFFFFF"/>
          </w:tcPr>
          <w:p>
            <w:pPr>
              <w:spacing w:before="40" w:after="40" w:line="247" w:lineRule="auto"/>
            </w:pPr>
            <w:r>
              <w:rPr>
                <w:b w:val="0"/>
                <w:sz w:val="19"/>
              </w:rPr>
              <w:t>0</w:t>
            </w:r>
          </w:p>
        </w:tc>
        <w:tc>
          <w:tcPr>
            <w:tcW w:type="dxa" w:w="2661"/>
            <w:vAlign w:val="center"/>
            <w:tcMar>
              <w:top w:w="90" w:type="dxa"/>
              <w:bottom w:w="90" w:type="dxa"/>
              <w:left w:w="90" w:type="dxa"/>
              <w:right w:w="90" w:type="dxa"/>
            </w:tcMar>
            <w:shd w:fill="FFFFFF"/>
          </w:tcPr>
          <w:p>
            <w:pPr>
              <w:spacing w:before="40" w:after="40" w:line="247" w:lineRule="auto"/>
            </w:pPr>
            <w:r>
              <w:rPr>
                <w:b w:val="0"/>
                <w:sz w:val="19"/>
              </w:rPr>
              <w:t>0</w:t>
            </w:r>
          </w:p>
        </w:tc>
      </w:tr>
    </w:tbl>
    <w:p>
      <w:pPr>
        <w:spacing w:after="40" w:before="0" w:line="96" w:lineRule="auto"/>
      </w:pPr>
    </w:p>
    <w:p>
      <w:r>
        <w:rPr>
          <w:b w:val="0"/>
        </w:rPr>
        <w:t xml:space="preserve">At 120 s with default settings: sensor = </w:t>
      </w:r>
      <w:r>
        <w:rPr>
          <w:b/>
        </w:rPr>
        <w:t>100 C</w:t>
      </w:r>
      <w:r>
        <w:rPr>
          <w:b w:val="0"/>
        </w:rPr>
        <w:t xml:space="preserve">; resistance = </w:t>
      </w:r>
      <w:r>
        <w:rPr>
          <w:b/>
        </w:rPr>
        <w:t>174.379943 ohm</w:t>
      </w:r>
      <w:r>
        <w:rPr>
          <w:b w:val="0"/>
        </w:rPr>
        <w:t xml:space="preserve">; voltage = </w:t>
      </w:r>
      <w:r>
        <w:rPr>
          <w:b/>
        </w:rPr>
        <w:t>0.327243011 V</w:t>
      </w:r>
      <w:r>
        <w:rPr>
          <w:b w:val="0"/>
        </w:rPr>
        <w:t xml:space="preserve">; ADC = </w:t>
      </w:r>
      <w:r>
        <w:rPr>
          <w:b/>
        </w:rPr>
        <w:t>268</w:t>
      </w:r>
      <w:r>
        <w:rPr>
          <w:b w:val="0"/>
        </w:rPr>
        <w:t xml:space="preserve">; ECU estimate = </w:t>
      </w:r>
      <w:r>
        <w:rPr>
          <w:b/>
        </w:rPr>
        <w:t>100.001692613 C</w:t>
      </w:r>
      <w:r>
        <w:rPr>
          <w:b w:val="0"/>
        </w:rPr>
        <w:t>. Both validity flags are 1.</w:t>
      </w:r>
    </w:p>
    <w:p>
      <w:pPr>
        <w:pStyle w:val="Heading1"/>
      </w:pPr>
      <w:r>
        <w:rPr>
          <w:b w:val="0"/>
        </w:rPr>
        <w:t>Repeat the comparison</w:t>
      </w:r>
    </w:p>
    <w:p>
      <w:r>
        <w:rPr>
          <w:b w:val="0"/>
        </w:rPr>
        <w:t>After extracting the JavaScript beside the native model, run this command. From another directory, use the absolute CSV path shown in the Markdown script. The original Simulink CSV is separate evidence and is not embedded in the Markdown file.</w:t>
      </w:r>
    </w:p>
    <w:p>
      <w:pPr>
        <w:spacing w:after="160" w:line="252" w:lineRule="auto"/>
      </w:pPr>
      <w:r>
        <w:rPr>
          <w:rFonts w:ascii="Consolas" w:hAnsi="Consolas"/>
          <w:sz w:val="17"/>
        </w:rPr>
        <w:t>node Amachie_ECT_Virtual_Platform.js --verify-csv "ECT_Validation_2026-10-25/default_run.csv"</w:t>
      </w:r>
    </w:p>
    <w:p>
      <w:r>
        <w:rPr>
          <w:b w:val="0"/>
        </w:rPr>
        <w:t>The CSV comparator intentionally accepts the original default-run column layout; it is not a general CSV importer. The JavaScript-exported CSV has additional auxiliary columns and a different header.</w:t>
      </w:r>
    </w:p>
    <w:p>
      <w:pPr>
        <w:pStyle w:val="Heading1"/>
      </w:pPr>
      <w:r>
        <w:rPr>
          <w:b w:val="0"/>
        </w:rPr>
        <w:t>Evidence boundaries</w:t>
      </w:r>
    </w:p>
    <w:p>
      <w:r>
        <w:rPr>
          <w:b w:val="0"/>
        </w:rPr>
        <w:t>These are numerical and interface checks against a teaching model. They do not validate a real thermistor, a production ECU or a complete vehicle. Changes to calibration, integration, event timing or hardware inputs require fresh validation. Porting to another language must preserve rounding, status semantics and event handling as well as the equations.</w:t>
      </w:r>
    </w:p>
    <w:p>
      <w:pPr>
        <w:pStyle w:val="Heading1"/>
        <w:pageBreakBefore/>
      </w:pPr>
      <w:r>
        <w:rPr>
          <w:b w:val="0"/>
        </w:rPr>
        <w:t>Programmer delivery checklist</w:t>
      </w:r>
    </w:p>
    <w:p>
      <w:pPr>
        <w:pStyle w:val="ListBullet"/>
      </w:pPr>
      <w:r>
        <w:rPr>
          <w:b w:val="0"/>
        </w:rPr>
        <w:t>Inspect the existing platform and reuse its navigation, styling and component conventions. Keep the numerical module independent of rendering.</w:t>
      </w:r>
    </w:p>
    <w:p>
      <w:pPr>
        <w:pStyle w:val="ListBullet"/>
      </w:pPr>
      <w:r>
        <w:rPr>
          <w:b w:val="0"/>
        </w:rPr>
        <w:t>Choose either the supplied mount() interface or a new interface bound to the same outputs. For frameworks, ensure the module loads only on the client and destroy the lab on unmount.</w:t>
      </w:r>
    </w:p>
    <w:p>
      <w:pPr>
        <w:pStyle w:val="ListBullet"/>
      </w:pPr>
      <w:r>
        <w:rPr>
          <w:b w:val="0"/>
        </w:rPr>
        <w:t>Keep configuration changes atomic. Report ECTError.message to the user without losing the previous valid experiment. Reset state after accepted changes.</w:t>
      </w:r>
    </w:p>
    <w:p>
      <w:pPr>
        <w:pStyle w:val="ListBullet"/>
      </w:pPr>
      <w:r>
        <w:rPr>
          <w:b w:val="0"/>
        </w:rPr>
        <w:t>Run the embedded checks and complete reference comparison. Add platform integration tests for any adapters, persistence or new features.</w:t>
      </w:r>
    </w:p>
    <w:p>
      <w:pPr>
        <w:pStyle w:val="ListBullet"/>
      </w:pPr>
      <w:r>
        <w:rPr>
          <w:b w:val="0"/>
        </w:rPr>
        <w:t>Review real screenshots of desktop, narrow mobile and invalid states. Ensure labels remain legible and the warnings cannot be mistaken for normal measurements.</w:t>
      </w:r>
    </w:p>
    <w:p>
      <w:pPr>
        <w:pStyle w:val="ListBullet"/>
      </w:pPr>
      <w:r>
        <w:rPr>
          <w:b w:val="0"/>
        </w:rPr>
        <w:t>Deliver the working screen and its launch route, test results, screenshots and the final file locations. Do not mark completion at a mockup or code-only stage.</w:t>
      </w:r>
    </w:p>
    <w:p>
      <w:pPr>
        <w:pStyle w:val="Heading1"/>
      </w:pPr>
      <w:r>
        <w:rPr>
          <w:b w:val="0"/>
        </w:rPr>
        <w:t>Where Codex should look</w:t>
      </w:r>
    </w:p>
    <w:p>
      <w:r>
        <w:rPr>
          <w:b w:val="0"/>
        </w:rPr>
        <w:t xml:space="preserve">The Markdown script contains the complete implementation task as readable instructions, followed by the unchanged JavaScript engine and interface. After extraction, </w:t>
      </w:r>
      <w:r>
        <w:rPr>
          <w:b/>
        </w:rPr>
        <w:t>--brief</w:t>
      </w:r>
      <w:r>
        <w:rPr>
          <w:b w:val="0"/>
        </w:rPr>
        <w:t xml:space="preserve"> prints the embedded </w:t>
      </w:r>
      <w:r>
        <w:rPr>
          <w:b/>
        </w:rPr>
        <w:t>CODEX_BRIEF</w:t>
      </w:r>
      <w:r>
        <w:rPr>
          <w:b w:val="0"/>
        </w:rPr>
        <w:t>. Both forms preserve the source model identifier, chat link and visual acceptance requirements.</w:t>
      </w:r>
    </w:p>
    <w:p>
      <w:r>
        <w:rPr>
          <w:b/>
        </w:rPr>
        <w:t>Chat snapshot:</w:t>
      </w:r>
      <w:r>
        <w:rPr>
          <w:b w:val="0"/>
        </w:rPr>
        <w:t xml:space="preserve"> </w:t>
      </w:r>
      <w:hyperlink r:id="rId13">
        <w:r>
          <w:rPr>
            <w:color w:val="174A72"/>
            <w:u w:val="single"/>
          </w:rPr>
          <w:t>https://chatgpt.com/s/cx_6ade6c06f2308191a15a14ab6b0dfa08</w:t>
        </w:r>
      </w:hyperlink>
    </w:p>
    <w:p>
      <w:r>
        <w:rPr>
          <w:b w:val="0"/>
        </w:rPr>
        <w:t xml:space="preserve">Where a permitted local read_thread tool is available, the source thread identifier is </w:t>
      </w:r>
      <w:r>
        <w:rPr>
          <w:b/>
        </w:rPr>
        <w:t>01a174ab-4743-7293-a73d-88f677355ca9</w:t>
      </w:r>
      <w:r>
        <w:rPr>
          <w:b w:val="0"/>
        </w:rPr>
        <w:t>. Access depends on the receiving account and environment. The link is reference material; local source files and this handoff remain necessary. Do not block implementation just because the chat cannot be opened.</w:t>
      </w:r>
    </w:p>
    <w:p>
      <w:pPr>
        <w:pStyle w:val="Heading1"/>
      </w:pPr>
      <w:r>
        <w:rPr>
          <w:b w:val="0"/>
        </w:rPr>
        <w:t>Source identity</w:t>
      </w:r>
    </w:p>
    <w:p>
      <w:r>
        <w:rPr>
          <w:b/>
        </w:rPr>
        <w:t>Model:</w:t>
      </w:r>
      <w:r>
        <w:rPr>
          <w:b w:val="0"/>
        </w:rPr>
        <w:t xml:space="preserve"> David_Amachie_ECT_Complete_Interactive_Model.slx</w:t>
      </w:r>
      <w:r>
        <w:br/>
      </w:r>
      <w:r>
        <w:rPr>
          <w:b/>
        </w:rPr>
        <w:t>Saved source:</w:t>
      </w:r>
      <w:r>
        <w:rPr>
          <w:b w:val="0"/>
        </w:rPr>
        <w:t xml:space="preserve"> F:\Scripts for codex\Mr. Amachie</w:t>
      </w:r>
      <w:r>
        <w:br/>
      </w:r>
      <w:r>
        <w:rPr>
          <w:b/>
        </w:rPr>
        <w:t>Model SHA-256:</w:t>
      </w:r>
    </w:p>
    <w:p>
      <w:pPr>
        <w:spacing w:after="160" w:line="252" w:lineRule="auto"/>
      </w:pPr>
      <w:r>
        <w:rPr>
          <w:rFonts w:ascii="Consolas" w:hAnsi="Consolas"/>
          <w:sz w:val="17"/>
        </w:rPr>
        <w:t>227F2EEB1BCC63FA49AE3F7AC00E0D457C87A1EF7A40510D6EEB81D80CA8A6E6</w:t>
      </w:r>
    </w:p>
    <w:p>
      <w:r>
        <w:rPr>
          <w:b/>
        </w:rPr>
        <w:t>Embedded JavaScript SHA-256 with LF line endings:</w:t>
      </w:r>
    </w:p>
    <w:p>
      <w:pPr>
        <w:spacing w:after="160" w:line="252" w:lineRule="auto"/>
      </w:pPr>
      <w:r>
        <w:rPr>
          <w:rFonts w:ascii="Consolas" w:hAnsi="Consolas"/>
          <w:sz w:val="17"/>
        </w:rPr>
        <w:t>72DAEB446E8EAC9B14BA408E7BCBE6FB4BC473489942547A55E294DB9C9E42CC</w:t>
      </w:r>
    </w:p>
    <w:p>
      <w:pPr>
        <w:pStyle w:val="Heading1"/>
      </w:pPr>
      <w:r>
        <w:rPr>
          <w:b w:val="0"/>
        </w:rPr>
        <w:t>Primary technical references</w:t>
      </w:r>
    </w:p>
    <w:p>
      <w:hyperlink r:id="rId14">
        <w:r>
          <w:rPr>
            <w:color w:val="174A72"/>
            <w:u w:val="single"/>
          </w:rPr>
          <w:t>MathWorks: fixed-step solvers</w:t>
        </w:r>
      </w:hyperlink>
      <w:r>
        <w:rPr>
          <w:b w:val="0"/>
        </w:rPr>
        <w:t xml:space="preserve"> - confirms ode4 is the fourth-order Runge-Kutta solver. The supplied CSV is the direct numerical reference for this port.</w:t>
      </w:r>
    </w:p>
    <w:p>
      <w:hyperlink r:id="rId10">
        <w:r>
          <w:rPr>
            <w:color w:val="174A72"/>
            <w:u w:val="single"/>
          </w:rPr>
          <w:t>MDN: requestAnimationFrame</w:t>
        </w:r>
      </w:hyperlink>
      <w:r>
        <w:rPr>
          <w:b w:val="0"/>
        </w:rPr>
        <w:t xml:space="preserve"> - browser repaint timing and background-tab behaviour. This implementation keeps repaint timing separate from the sensor time step.</w:t>
      </w:r>
    </w:p>
    <w:p>
      <w:r>
        <w:rPr>
          <w:b w:val="0"/>
        </w:rPr>
        <w:t>The handoff contains no backend, hosting configuration, authentication, external network requests or automatic publication. Integrating it into a particular virtual platform is the programmer's next task.</w:t>
      </w:r>
    </w:p>
    <w:sectPr w:rsidR="00FC693F" w:rsidRPr="0006063C" w:rsidSect="00034616">
      <w:footerReference w:type="default" r:id="rId12"/>
      <w:pgSz w:w="12240" w:h="15840"/>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4"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cx_6ade5ed910a081919e5f619b73939bab" TargetMode="External"/><Relationship Id="rId10" Type="http://schemas.openxmlformats.org/officeDocument/2006/relationships/hyperlink" Target="https://developer.mozilla.org/en-US/docs/Web/API/Window/requestAnimationFrame" TargetMode="External"/><Relationship Id="rId11" Type="http://schemas.openxmlformats.org/officeDocument/2006/relationships/hyperlink" Target="https://developer.mozilla.org/en-US/docs/Web/CSS/Reference/At-rules/@media/prefers-reduced-motion" TargetMode="External"/><Relationship Id="rId12" Type="http://schemas.openxmlformats.org/officeDocument/2006/relationships/footer" Target="footer1.xml"/><Relationship Id="rId13" Type="http://schemas.openxmlformats.org/officeDocument/2006/relationships/hyperlink" Target="https://chatgpt.com/s/cx_6ade6c06f2308191a15a14ab6b0dfa08" TargetMode="External"/><Relationship Id="rId14" Type="http://schemas.openxmlformats.org/officeDocument/2006/relationships/hyperlink" Target="https://www.mathworks.com/help/simulink/ug/fixed-step-solvers-in-simulin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ECT virtual platform programmer guide</dc:title>
  <dc:subject>David Amachie ECT model implementation in JavaScript</dc:subject>
  <dc:creator/>
  <cp:keywords>ECT, coolant sensor, Simulink, JavaScript, virtual platform</cp:keywords>
  <dc:description>generated by python-docx</dc:description>
  <cp:lastModifiedBy/>
  <cp:revision>1</cp:revision>
  <dcterms:created xsi:type="dcterms:W3CDTF">2013-12-23T23:15:00Z</dcterms:created>
  <dcterms:modified xsi:type="dcterms:W3CDTF">2013-12-23T23:15:00Z</dcterms:modified>
  <cp:category/>
</cp:coreProperties>
</file>