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C99" w:rsidRDefault="0069333C">
      <w:pPr>
        <w:spacing w:before="1200"/>
        <w:jc w:val="center"/>
      </w:pPr>
      <w:r>
        <w:rPr>
          <w:b/>
          <w:sz w:val="40"/>
        </w:rPr>
        <w:t>ENGINE–GENERATOR FUEL-TO-ELECTRIC</w:t>
      </w:r>
      <w:r>
        <w:rPr>
          <w:b/>
          <w:sz w:val="40"/>
        </w:rPr>
        <w:br/>
        <w:t>VIRTUAL PLATFORM IMPLEMENTATION GUIDE</w:t>
      </w:r>
    </w:p>
    <w:p w:rsidR="00401C99" w:rsidRDefault="0069333C">
      <w:pPr>
        <w:spacing w:before="560"/>
        <w:jc w:val="center"/>
      </w:pPr>
      <w:r>
        <w:rPr>
          <w:i/>
          <w:sz w:val="26"/>
        </w:rPr>
        <w:t>Programmer Guide for Converting the Simulink Logic into a User-Friendly Virtual Laboratory Module</w:t>
      </w:r>
    </w:p>
    <w:p w:rsidR="00401C99" w:rsidRDefault="0069333C">
      <w:pPr>
        <w:spacing w:before="900"/>
        <w:jc w:val="center"/>
      </w:pPr>
      <w:r>
        <w:rPr>
          <w:b/>
          <w:sz w:val="28"/>
        </w:rPr>
        <w:t xml:space="preserve">Modelling and Testing Engine–Generator Fuel-to-Electric Energy Conversion for </w:t>
      </w:r>
      <w:r>
        <w:rPr>
          <w:b/>
          <w:sz w:val="28"/>
        </w:rPr>
        <w:t>Series-Based Hybrid Vehicle for Virtual-Platform Integration</w:t>
      </w:r>
    </w:p>
    <w:p w:rsidR="00401C99" w:rsidRDefault="0069333C">
      <w:pPr>
        <w:spacing w:before="1400"/>
        <w:jc w:val="center"/>
      </w:pPr>
      <w:r>
        <w:rPr>
          <w:b/>
        </w:rPr>
        <w:t>Companion implementation instruction:</w:t>
      </w:r>
      <w:r>
        <w:br/>
        <w:t>CODEX_BUILD_ENGINE_GENERATOR_VIRTUAL_LAB.md</w:t>
      </w:r>
    </w:p>
    <w:p w:rsidR="00401C99" w:rsidRDefault="0069333C">
      <w:pPr>
        <w:spacing w:before="1600"/>
        <w:jc w:val="center"/>
      </w:pPr>
      <w:r>
        <w:t>October 2026</w:t>
      </w:r>
    </w:p>
    <w:p w:rsidR="00401C99" w:rsidRDefault="0069333C">
      <w:r>
        <w:br w:type="page"/>
      </w:r>
    </w:p>
    <w:p w:rsidR="00401C99" w:rsidRDefault="0069333C">
      <w:pPr>
        <w:pStyle w:val="Heading1"/>
      </w:pPr>
      <w:r>
        <w:rPr>
          <w:rFonts w:ascii="Times New Roman" w:hAnsi="Times New Roman"/>
        </w:rPr>
        <w:lastRenderedPageBreak/>
        <w:t>1. Purpose of This Guide</w:t>
      </w:r>
    </w:p>
    <w:p w:rsidR="00401C99" w:rsidRDefault="0069333C">
      <w:r>
        <w:t>This guide explains what the Codex implementation brief is expected to pr</w:t>
      </w:r>
      <w:r>
        <w:t xml:space="preserve">oduce and gives the programmer a clear technical picture of the converted module. </w:t>
      </w:r>
      <w:r>
        <w:rPr>
          <w:b/>
        </w:rPr>
        <w:t xml:space="preserve">The target is not a separate simulation package. </w:t>
      </w:r>
      <w:r>
        <w:t>It is one reusable engine–generator calculation module, integrated into the existing virtual laboratory and controlled throug</w:t>
      </w:r>
      <w:r>
        <w:t>h a simple interface.</w:t>
      </w:r>
    </w:p>
    <w:p w:rsidR="00401C99" w:rsidRDefault="0069333C">
      <w:r>
        <w:t xml:space="preserve">The two source files are </w:t>
      </w:r>
      <w:r>
        <w:rPr>
          <w:b/>
        </w:rPr>
        <w:t>EngineGenerator_FuelToElectric_SelfContained.slx</w:t>
      </w:r>
      <w:r>
        <w:t xml:space="preserve"> and </w:t>
      </w:r>
      <w:r>
        <w:rPr>
          <w:b/>
        </w:rPr>
        <w:t>EngineGenerator_Model_Input_Data_and_Operating_Guide.docx</w:t>
      </w:r>
      <w:r>
        <w:t>. The Codex task file repeats the full calculation logic so the programmer can work even when the S</w:t>
      </w:r>
      <w:r>
        <w:t>LX cannot be inspected directly.</w:t>
      </w:r>
    </w:p>
    <w:tbl>
      <w:tblPr>
        <w:tblW w:w="0" w:type="auto"/>
        <w:jc w:val="center"/>
        <w:tblLook w:val="04A0" w:firstRow="1" w:lastRow="0" w:firstColumn="1" w:lastColumn="0" w:noHBand="0" w:noVBand="1"/>
      </w:tblPr>
      <w:tblGrid>
        <w:gridCol w:w="9360"/>
      </w:tblGrid>
      <w:tr w:rsidR="00401C99">
        <w:trPr>
          <w:tblHeader/>
          <w:jc w:val="center"/>
        </w:trPr>
        <w:tc>
          <w:tcPr>
            <w:tcW w:w="9360" w:type="dxa"/>
            <w:shd w:val="clear" w:color="auto" w:fill="FFF2CC"/>
          </w:tcPr>
          <w:p w:rsidR="00401C99" w:rsidRDefault="0069333C">
            <w:pPr>
              <w:jc w:val="left"/>
            </w:pPr>
            <w:r>
              <w:rPr>
                <w:b/>
                <w:sz w:val="22"/>
              </w:rPr>
              <w:t>Conversation context link placeholder</w:t>
            </w:r>
            <w:r>
              <w:rPr>
                <w:b/>
                <w:sz w:val="22"/>
              </w:rPr>
              <w:br/>
            </w:r>
            <w:r w:rsidR="00394A98" w:rsidRPr="00394A98">
              <w:rPr>
                <w:rFonts w:ascii="Courier New" w:hAnsi="Courier New"/>
                <w:sz w:val="18"/>
              </w:rPr>
              <w:t>https://chatgpt.com/share/6adce024-70e4-83ea-bbf8-a42e812ab059</w:t>
            </w:r>
            <w:bookmarkStart w:id="0" w:name="_GoBack"/>
            <w:bookmarkEnd w:id="0"/>
            <w:r>
              <w:rPr>
                <w:rFonts w:ascii="Courier New" w:hAnsi="Courier New"/>
                <w:sz w:val="18"/>
              </w:rPr>
              <w:br/>
            </w:r>
            <w:r>
              <w:rPr>
                <w:sz w:val="20"/>
              </w:rPr>
              <w:t>Replace this placeholder with the shared link from the present ChatGPT conversation before handing the task to Codex. The implement</w:t>
            </w:r>
            <w:r>
              <w:rPr>
                <w:sz w:val="20"/>
              </w:rPr>
              <w:t>ation brief is self-contained, so the link is supplementary rather than essential.</w:t>
            </w:r>
          </w:p>
        </w:tc>
      </w:tr>
    </w:tbl>
    <w:p w:rsidR="00401C99" w:rsidRDefault="00401C99"/>
    <w:p w:rsidR="00401C99" w:rsidRDefault="0069333C">
      <w:pPr>
        <w:pStyle w:val="Heading1"/>
      </w:pPr>
      <w:r>
        <w:rPr>
          <w:rFonts w:ascii="Times New Roman" w:hAnsi="Times New Roman"/>
        </w:rPr>
        <w:t>2. What the Converted Module Will Do</w:t>
      </w:r>
    </w:p>
    <w:p w:rsidR="00401C99" w:rsidRDefault="0069333C">
      <w:pPr>
        <w:pStyle w:val="ListBullet"/>
        <w:ind w:left="0"/>
        <w:jc w:val="left"/>
      </w:pPr>
      <w:r>
        <w:t>Receive the user’s selected electrical load, demand pattern, battery SOC, generator rating, enable command and fuel lower heating valu</w:t>
      </w:r>
      <w:r>
        <w:t>e.</w:t>
      </w:r>
    </w:p>
    <w:p w:rsidR="00401C99" w:rsidRDefault="0069333C">
      <w:pPr>
        <w:pStyle w:val="ListBullet"/>
        <w:ind w:left="0"/>
        <w:jc w:val="left"/>
      </w:pPr>
      <w:r>
        <w:t>Generate the same steady, gradual or pulsed demand profile used in the Simulink model.</w:t>
      </w:r>
    </w:p>
    <w:p w:rsidR="00401C99" w:rsidRDefault="0069333C">
      <w:pPr>
        <w:pStyle w:val="ListBullet"/>
        <w:ind w:left="0"/>
        <w:jc w:val="left"/>
      </w:pPr>
      <w:r>
        <w:t>Apply SOC support, rating limitation, command delay and power ramping.</w:t>
      </w:r>
    </w:p>
    <w:p w:rsidR="00401C99" w:rsidRDefault="0069333C">
      <w:pPr>
        <w:pStyle w:val="ListBullet"/>
        <w:ind w:left="0"/>
        <w:jc w:val="left"/>
      </w:pPr>
      <w:r>
        <w:t>Interpolate the engine-speed, BSFC and generator-efficiency maps.</w:t>
      </w:r>
    </w:p>
    <w:p w:rsidR="00401C99" w:rsidRDefault="0069333C">
      <w:pPr>
        <w:pStyle w:val="ListBullet"/>
        <w:ind w:left="0"/>
        <w:jc w:val="left"/>
      </w:pPr>
      <w:r>
        <w:t>Calculate shaft power, engine</w:t>
      </w:r>
      <w:r>
        <w:t xml:space="preserve"> torque, fuel flow, fuel chemical power, electrical output, efficiency, losses, utilization and shortfall.</w:t>
      </w:r>
    </w:p>
    <w:p w:rsidR="00401C99" w:rsidRDefault="0069333C">
      <w:pPr>
        <w:pStyle w:val="ListBullet"/>
        <w:ind w:left="0"/>
        <w:jc w:val="left"/>
      </w:pPr>
      <w:r>
        <w:t>Integrate the time-series results to obtain energy and fuel totals.</w:t>
      </w:r>
    </w:p>
    <w:p w:rsidR="00401C99" w:rsidRDefault="0069333C">
      <w:pPr>
        <w:pStyle w:val="ListBullet"/>
        <w:ind w:left="0"/>
        <w:jc w:val="left"/>
      </w:pPr>
      <w:r>
        <w:t>Display the system through an interactive dashboard and animated energy-flow visu</w:t>
      </w:r>
      <w:r>
        <w:t>al.</w:t>
      </w:r>
    </w:p>
    <w:p w:rsidR="00401C99" w:rsidRDefault="0069333C">
      <w:pPr>
        <w:pStyle w:val="ListBullet"/>
        <w:ind w:left="0"/>
        <w:jc w:val="left"/>
      </w:pPr>
      <w:r>
        <w:t>Export results and expose standard output signals for connection to other virtual-laboratory modules.</w:t>
      </w:r>
    </w:p>
    <w:p w:rsidR="00401C99" w:rsidRDefault="0069333C">
      <w:pPr>
        <w:pStyle w:val="Heading1"/>
      </w:pPr>
      <w:r>
        <w:rPr>
          <w:rFonts w:ascii="Times New Roman" w:hAnsi="Times New Roman"/>
        </w:rPr>
        <w:lastRenderedPageBreak/>
        <w:t>3. Recommended Software Architecture</w:t>
      </w:r>
    </w:p>
    <w:p w:rsidR="00401C99" w:rsidRDefault="0069333C">
      <w:r>
        <w:t>The implementation should be divided into three clear layers. The calculation must exist in only one place.</w:t>
      </w:r>
    </w:p>
    <w:tbl>
      <w:tblPr>
        <w:tblStyle w:val="TableGrid"/>
        <w:tblW w:w="0" w:type="auto"/>
        <w:jc w:val="center"/>
        <w:tblLook w:val="04A0" w:firstRow="1" w:lastRow="0" w:firstColumn="1" w:lastColumn="0" w:noHBand="0" w:noVBand="1"/>
      </w:tblPr>
      <w:tblGrid>
        <w:gridCol w:w="2016"/>
        <w:gridCol w:w="4320"/>
        <w:gridCol w:w="3168"/>
      </w:tblGrid>
      <w:tr w:rsidR="00401C99">
        <w:trPr>
          <w:tblHeader/>
          <w:jc w:val="center"/>
        </w:trPr>
        <w:tc>
          <w:tcPr>
            <w:tcW w:w="2016" w:type="dxa"/>
            <w:shd w:val="clear" w:color="auto" w:fill="1F4E78"/>
            <w:vAlign w:val="center"/>
          </w:tcPr>
          <w:p w:rsidR="00401C99" w:rsidRDefault="0069333C">
            <w:pPr>
              <w:spacing w:after="0"/>
              <w:jc w:val="left"/>
            </w:pPr>
            <w:r>
              <w:rPr>
                <w:b/>
                <w:color w:val="FFFFFF"/>
                <w:sz w:val="20"/>
              </w:rPr>
              <w:t>Layer</w:t>
            </w:r>
          </w:p>
        </w:tc>
        <w:tc>
          <w:tcPr>
            <w:tcW w:w="4320" w:type="dxa"/>
            <w:shd w:val="clear" w:color="auto" w:fill="1F4E78"/>
            <w:vAlign w:val="center"/>
          </w:tcPr>
          <w:p w:rsidR="00401C99" w:rsidRDefault="0069333C">
            <w:pPr>
              <w:spacing w:after="0"/>
              <w:jc w:val="left"/>
            </w:pPr>
            <w:r>
              <w:rPr>
                <w:b/>
                <w:color w:val="FFFFFF"/>
                <w:sz w:val="20"/>
              </w:rPr>
              <w:t>Responsibility</w:t>
            </w:r>
          </w:p>
        </w:tc>
        <w:tc>
          <w:tcPr>
            <w:tcW w:w="3168" w:type="dxa"/>
            <w:shd w:val="clear" w:color="auto" w:fill="1F4E78"/>
            <w:vAlign w:val="center"/>
          </w:tcPr>
          <w:p w:rsidR="00401C99" w:rsidRDefault="0069333C">
            <w:pPr>
              <w:spacing w:after="0"/>
              <w:jc w:val="left"/>
            </w:pPr>
            <w:r>
              <w:rPr>
                <w:b/>
                <w:color w:val="FFFFFF"/>
                <w:sz w:val="20"/>
              </w:rPr>
              <w:t>Important rule</w:t>
            </w:r>
          </w:p>
        </w:tc>
      </w:tr>
      <w:tr w:rsidR="00401C99">
        <w:trPr>
          <w:jc w:val="center"/>
        </w:trPr>
        <w:tc>
          <w:tcPr>
            <w:tcW w:w="2016" w:type="dxa"/>
            <w:vAlign w:val="center"/>
          </w:tcPr>
          <w:p w:rsidR="00401C99" w:rsidRDefault="0069333C">
            <w:pPr>
              <w:spacing w:after="0"/>
              <w:jc w:val="left"/>
            </w:pPr>
            <w:r>
              <w:rPr>
                <w:color w:val="000000"/>
                <w:sz w:val="20"/>
              </w:rPr>
              <w:t>Numerical model core</w:t>
            </w:r>
          </w:p>
        </w:tc>
        <w:tc>
          <w:tcPr>
            <w:tcW w:w="4320" w:type="dxa"/>
            <w:vAlign w:val="center"/>
          </w:tcPr>
          <w:p w:rsidR="00401C99" w:rsidRDefault="0069333C">
            <w:pPr>
              <w:spacing w:after="0"/>
              <w:jc w:val="left"/>
            </w:pPr>
            <w:r>
              <w:rPr>
                <w:color w:val="000000"/>
                <w:sz w:val="20"/>
              </w:rPr>
              <w:t>Validation, interpolation, command delay, rate limiting, equations, integration and summary calculation.</w:t>
            </w:r>
          </w:p>
        </w:tc>
        <w:tc>
          <w:tcPr>
            <w:tcW w:w="3168" w:type="dxa"/>
            <w:vAlign w:val="center"/>
          </w:tcPr>
          <w:p w:rsidR="00401C99" w:rsidRDefault="0069333C">
            <w:pPr>
              <w:spacing w:after="0"/>
              <w:jc w:val="left"/>
            </w:pPr>
            <w:r>
              <w:rPr>
                <w:color w:val="000000"/>
                <w:sz w:val="20"/>
              </w:rPr>
              <w:t>No interface or chart dependencies. This is the single source of truth.</w:t>
            </w:r>
          </w:p>
        </w:tc>
      </w:tr>
      <w:tr w:rsidR="00401C99">
        <w:trPr>
          <w:jc w:val="center"/>
        </w:trPr>
        <w:tc>
          <w:tcPr>
            <w:tcW w:w="2016" w:type="dxa"/>
            <w:shd w:val="clear" w:color="auto" w:fill="F3F6F8"/>
            <w:vAlign w:val="center"/>
          </w:tcPr>
          <w:p w:rsidR="00401C99" w:rsidRDefault="0069333C">
            <w:pPr>
              <w:spacing w:after="0"/>
              <w:jc w:val="left"/>
            </w:pPr>
            <w:r>
              <w:rPr>
                <w:color w:val="000000"/>
                <w:sz w:val="20"/>
              </w:rPr>
              <w:t>Platform adapter</w:t>
            </w:r>
          </w:p>
        </w:tc>
        <w:tc>
          <w:tcPr>
            <w:tcW w:w="4320" w:type="dxa"/>
            <w:shd w:val="clear" w:color="auto" w:fill="F3F6F8"/>
            <w:vAlign w:val="center"/>
          </w:tcPr>
          <w:p w:rsidR="00401C99" w:rsidRDefault="0069333C">
            <w:pPr>
              <w:spacing w:after="0"/>
              <w:jc w:val="left"/>
            </w:pPr>
            <w:r>
              <w:rPr>
                <w:color w:val="000000"/>
                <w:sz w:val="20"/>
              </w:rPr>
              <w:t>Maps the</w:t>
            </w:r>
            <w:r>
              <w:rPr>
                <w:color w:val="000000"/>
                <w:sz w:val="20"/>
              </w:rPr>
              <w:t xml:space="preserve"> model inputs and outputs to the existing platform, API or message bus.</w:t>
            </w:r>
          </w:p>
        </w:tc>
        <w:tc>
          <w:tcPr>
            <w:tcW w:w="3168" w:type="dxa"/>
            <w:shd w:val="clear" w:color="auto" w:fill="F3F6F8"/>
            <w:vAlign w:val="center"/>
          </w:tcPr>
          <w:p w:rsidR="00401C99" w:rsidRDefault="0069333C">
            <w:pPr>
              <w:spacing w:after="0"/>
              <w:jc w:val="left"/>
            </w:pPr>
            <w:r>
              <w:rPr>
                <w:color w:val="000000"/>
                <w:sz w:val="20"/>
              </w:rPr>
              <w:t>Preserve the five standard root output names.</w:t>
            </w:r>
          </w:p>
        </w:tc>
      </w:tr>
      <w:tr w:rsidR="00401C99">
        <w:trPr>
          <w:jc w:val="center"/>
        </w:trPr>
        <w:tc>
          <w:tcPr>
            <w:tcW w:w="2016" w:type="dxa"/>
            <w:vAlign w:val="center"/>
          </w:tcPr>
          <w:p w:rsidR="00401C99" w:rsidRDefault="0069333C">
            <w:pPr>
              <w:spacing w:after="0"/>
              <w:jc w:val="left"/>
            </w:pPr>
            <w:r>
              <w:rPr>
                <w:color w:val="000000"/>
                <w:sz w:val="20"/>
              </w:rPr>
              <w:t>User interface</w:t>
            </w:r>
          </w:p>
        </w:tc>
        <w:tc>
          <w:tcPr>
            <w:tcW w:w="4320" w:type="dxa"/>
            <w:vAlign w:val="center"/>
          </w:tcPr>
          <w:p w:rsidR="00401C99" w:rsidRDefault="0069333C">
            <w:pPr>
              <w:spacing w:after="0"/>
              <w:jc w:val="left"/>
            </w:pPr>
            <w:r>
              <w:rPr>
                <w:color w:val="000000"/>
                <w:sz w:val="20"/>
              </w:rPr>
              <w:t>Input controls, animation, live values, charts, scenario save/load and export.</w:t>
            </w:r>
          </w:p>
        </w:tc>
        <w:tc>
          <w:tcPr>
            <w:tcW w:w="3168" w:type="dxa"/>
            <w:vAlign w:val="center"/>
          </w:tcPr>
          <w:p w:rsidR="00401C99" w:rsidRDefault="0069333C">
            <w:pPr>
              <w:spacing w:after="0"/>
              <w:jc w:val="left"/>
            </w:pPr>
            <w:r>
              <w:rPr>
                <w:color w:val="000000"/>
                <w:sz w:val="20"/>
              </w:rPr>
              <w:t>Never repeat the scientific equations in UI</w:t>
            </w:r>
            <w:r>
              <w:rPr>
                <w:color w:val="000000"/>
                <w:sz w:val="20"/>
              </w:rPr>
              <w:t xml:space="preserve"> components.</w:t>
            </w:r>
          </w:p>
        </w:tc>
      </w:tr>
    </w:tbl>
    <w:p w:rsidR="00401C99" w:rsidRDefault="00401C99"/>
    <w:p w:rsidR="00401C99" w:rsidRDefault="0069333C">
      <w:pPr>
        <w:jc w:val="center"/>
      </w:pPr>
      <w:r>
        <w:rPr>
          <w:noProof/>
        </w:rPr>
        <w:drawing>
          <wp:inline distT="0" distB="0" distL="0" distR="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ngine_generator_dashboard_wireframe.png"/>
                    <pic:cNvPicPr/>
                  </pic:nvPicPr>
                  <pic:blipFill>
                    <a:blip r:embed="rId8"/>
                    <a:stretch>
                      <a:fillRect/>
                    </a:stretch>
                  </pic:blipFill>
                  <pic:spPr>
                    <a:xfrm>
                      <a:off x="0" y="0"/>
                      <a:ext cx="5943600" cy="3566160"/>
                    </a:xfrm>
                    <a:prstGeom prst="rect">
                      <a:avLst/>
                    </a:prstGeom>
                  </pic:spPr>
                </pic:pic>
              </a:graphicData>
            </a:graphic>
          </wp:inline>
        </w:drawing>
      </w:r>
    </w:p>
    <w:p w:rsidR="00401C99" w:rsidRDefault="0069333C">
      <w:pPr>
        <w:jc w:val="center"/>
      </w:pPr>
      <w:r>
        <w:rPr>
          <w:b/>
          <w:sz w:val="20"/>
        </w:rPr>
        <w:t>Figure 1: Recommended layout for the engine–generator virtual laboratory module.</w:t>
      </w:r>
    </w:p>
    <w:p w:rsidR="00401C99" w:rsidRDefault="0069333C">
      <w:pPr>
        <w:pStyle w:val="Heading1"/>
      </w:pPr>
      <w:r>
        <w:rPr>
          <w:rFonts w:ascii="Times New Roman" w:hAnsi="Times New Roman"/>
        </w:rPr>
        <w:t>4. Inputs and Defaults</w:t>
      </w:r>
    </w:p>
    <w:tbl>
      <w:tblPr>
        <w:tblStyle w:val="TableGrid"/>
        <w:tblW w:w="0" w:type="auto"/>
        <w:jc w:val="center"/>
        <w:tblLook w:val="04A0" w:firstRow="1" w:lastRow="0" w:firstColumn="1" w:lastColumn="0" w:noHBand="0" w:noVBand="1"/>
      </w:tblPr>
      <w:tblGrid>
        <w:gridCol w:w="1943"/>
        <w:gridCol w:w="850"/>
        <w:gridCol w:w="883"/>
        <w:gridCol w:w="1871"/>
        <w:gridCol w:w="4029"/>
      </w:tblGrid>
      <w:tr w:rsidR="00401C99">
        <w:trPr>
          <w:tblHeader/>
          <w:jc w:val="center"/>
        </w:trPr>
        <w:tc>
          <w:tcPr>
            <w:tcW w:w="1944" w:type="dxa"/>
            <w:shd w:val="clear" w:color="auto" w:fill="1F4E78"/>
            <w:vAlign w:val="center"/>
          </w:tcPr>
          <w:p w:rsidR="00401C99" w:rsidRDefault="0069333C">
            <w:pPr>
              <w:spacing w:after="0"/>
              <w:jc w:val="left"/>
            </w:pPr>
            <w:r>
              <w:rPr>
                <w:b/>
                <w:color w:val="FFFFFF"/>
                <w:sz w:val="20"/>
              </w:rPr>
              <w:t>Input</w:t>
            </w:r>
          </w:p>
        </w:tc>
        <w:tc>
          <w:tcPr>
            <w:tcW w:w="792" w:type="dxa"/>
            <w:shd w:val="clear" w:color="auto" w:fill="1F4E78"/>
            <w:vAlign w:val="center"/>
          </w:tcPr>
          <w:p w:rsidR="00401C99" w:rsidRDefault="0069333C">
            <w:pPr>
              <w:spacing w:after="0"/>
              <w:jc w:val="left"/>
            </w:pPr>
            <w:r>
              <w:rPr>
                <w:b/>
                <w:color w:val="FFFFFF"/>
                <w:sz w:val="20"/>
              </w:rPr>
              <w:t>Default</w:t>
            </w:r>
          </w:p>
        </w:tc>
        <w:tc>
          <w:tcPr>
            <w:tcW w:w="864" w:type="dxa"/>
            <w:shd w:val="clear" w:color="auto" w:fill="1F4E78"/>
            <w:vAlign w:val="center"/>
          </w:tcPr>
          <w:p w:rsidR="00401C99" w:rsidRDefault="0069333C">
            <w:pPr>
              <w:spacing w:after="0"/>
              <w:jc w:val="left"/>
            </w:pPr>
            <w:r>
              <w:rPr>
                <w:b/>
                <w:color w:val="FFFFFF"/>
                <w:sz w:val="20"/>
              </w:rPr>
              <w:t>Unit</w:t>
            </w:r>
          </w:p>
        </w:tc>
        <w:tc>
          <w:tcPr>
            <w:tcW w:w="1872" w:type="dxa"/>
            <w:shd w:val="clear" w:color="auto" w:fill="1F4E78"/>
            <w:vAlign w:val="center"/>
          </w:tcPr>
          <w:p w:rsidR="00401C99" w:rsidRDefault="0069333C">
            <w:pPr>
              <w:spacing w:after="0"/>
              <w:jc w:val="left"/>
            </w:pPr>
            <w:r>
              <w:rPr>
                <w:b/>
                <w:color w:val="FFFFFF"/>
                <w:sz w:val="20"/>
              </w:rPr>
              <w:t>Normal study range</w:t>
            </w:r>
          </w:p>
        </w:tc>
        <w:tc>
          <w:tcPr>
            <w:tcW w:w="4032" w:type="dxa"/>
            <w:shd w:val="clear" w:color="auto" w:fill="1F4E78"/>
            <w:vAlign w:val="center"/>
          </w:tcPr>
          <w:p w:rsidR="00401C99" w:rsidRDefault="0069333C">
            <w:pPr>
              <w:spacing w:after="0"/>
              <w:jc w:val="left"/>
            </w:pPr>
            <w:r>
              <w:rPr>
                <w:b/>
                <w:color w:val="FFFFFF"/>
                <w:sz w:val="20"/>
              </w:rPr>
              <w:t>Purpose</w:t>
            </w:r>
          </w:p>
        </w:tc>
      </w:tr>
      <w:tr w:rsidR="00401C99">
        <w:trPr>
          <w:jc w:val="center"/>
        </w:trPr>
        <w:tc>
          <w:tcPr>
            <w:tcW w:w="1944" w:type="dxa"/>
            <w:vAlign w:val="center"/>
          </w:tcPr>
          <w:p w:rsidR="00401C99" w:rsidRDefault="0069333C">
            <w:pPr>
              <w:spacing w:after="0"/>
              <w:jc w:val="left"/>
            </w:pPr>
            <w:r>
              <w:rPr>
                <w:color w:val="000000"/>
                <w:sz w:val="20"/>
              </w:rPr>
              <w:lastRenderedPageBreak/>
              <w:t>Mean electrical load</w:t>
            </w:r>
          </w:p>
        </w:tc>
        <w:tc>
          <w:tcPr>
            <w:tcW w:w="792" w:type="dxa"/>
            <w:vAlign w:val="center"/>
          </w:tcPr>
          <w:p w:rsidR="00401C99" w:rsidRDefault="0069333C">
            <w:pPr>
              <w:spacing w:after="0"/>
              <w:jc w:val="left"/>
            </w:pPr>
            <w:r>
              <w:rPr>
                <w:color w:val="000000"/>
                <w:sz w:val="20"/>
              </w:rPr>
              <w:t>18</w:t>
            </w:r>
          </w:p>
        </w:tc>
        <w:tc>
          <w:tcPr>
            <w:tcW w:w="864" w:type="dxa"/>
            <w:vAlign w:val="center"/>
          </w:tcPr>
          <w:p w:rsidR="00401C99" w:rsidRDefault="0069333C">
            <w:pPr>
              <w:spacing w:after="0"/>
              <w:jc w:val="left"/>
            </w:pPr>
            <w:r>
              <w:rPr>
                <w:color w:val="000000"/>
                <w:sz w:val="20"/>
              </w:rPr>
              <w:t>kW</w:t>
            </w:r>
          </w:p>
        </w:tc>
        <w:tc>
          <w:tcPr>
            <w:tcW w:w="1872" w:type="dxa"/>
            <w:vAlign w:val="center"/>
          </w:tcPr>
          <w:p w:rsidR="00401C99" w:rsidRDefault="0069333C">
            <w:pPr>
              <w:spacing w:after="0"/>
              <w:jc w:val="left"/>
            </w:pPr>
            <w:r>
              <w:rPr>
                <w:color w:val="000000"/>
                <w:sz w:val="20"/>
              </w:rPr>
              <w:t>0–45</w:t>
            </w:r>
          </w:p>
        </w:tc>
        <w:tc>
          <w:tcPr>
            <w:tcW w:w="4032" w:type="dxa"/>
            <w:vAlign w:val="center"/>
          </w:tcPr>
          <w:p w:rsidR="00401C99" w:rsidRDefault="0069333C">
            <w:pPr>
              <w:spacing w:after="0"/>
              <w:jc w:val="left"/>
            </w:pPr>
            <w:r>
              <w:rPr>
                <w:color w:val="000000"/>
                <w:sz w:val="20"/>
              </w:rPr>
              <w:t xml:space="preserve">Sets the average power requested from the generating </w:t>
            </w:r>
            <w:r>
              <w:rPr>
                <w:color w:val="000000"/>
                <w:sz w:val="20"/>
              </w:rPr>
              <w:t>set.</w:t>
            </w:r>
          </w:p>
        </w:tc>
      </w:tr>
      <w:tr w:rsidR="00401C99">
        <w:trPr>
          <w:jc w:val="center"/>
        </w:trPr>
        <w:tc>
          <w:tcPr>
            <w:tcW w:w="1944" w:type="dxa"/>
            <w:shd w:val="clear" w:color="auto" w:fill="F3F6F8"/>
            <w:vAlign w:val="center"/>
          </w:tcPr>
          <w:p w:rsidR="00401C99" w:rsidRDefault="0069333C">
            <w:pPr>
              <w:spacing w:after="0"/>
              <w:jc w:val="left"/>
            </w:pPr>
            <w:r>
              <w:rPr>
                <w:color w:val="000000"/>
                <w:sz w:val="20"/>
              </w:rPr>
              <w:t>Demand profile</w:t>
            </w:r>
          </w:p>
        </w:tc>
        <w:tc>
          <w:tcPr>
            <w:tcW w:w="792" w:type="dxa"/>
            <w:shd w:val="clear" w:color="auto" w:fill="F3F6F8"/>
            <w:vAlign w:val="center"/>
          </w:tcPr>
          <w:p w:rsidR="00401C99" w:rsidRDefault="0069333C">
            <w:pPr>
              <w:spacing w:after="0"/>
              <w:jc w:val="left"/>
            </w:pPr>
            <w:r>
              <w:rPr>
                <w:color w:val="000000"/>
                <w:sz w:val="20"/>
              </w:rPr>
              <w:t>2</w:t>
            </w:r>
          </w:p>
        </w:tc>
        <w:tc>
          <w:tcPr>
            <w:tcW w:w="864" w:type="dxa"/>
            <w:shd w:val="clear" w:color="auto" w:fill="F3F6F8"/>
            <w:vAlign w:val="center"/>
          </w:tcPr>
          <w:p w:rsidR="00401C99" w:rsidRDefault="0069333C">
            <w:pPr>
              <w:spacing w:after="0"/>
              <w:jc w:val="left"/>
            </w:pPr>
            <w:r>
              <w:rPr>
                <w:color w:val="000000"/>
                <w:sz w:val="20"/>
              </w:rPr>
              <w:t>–</w:t>
            </w:r>
          </w:p>
        </w:tc>
        <w:tc>
          <w:tcPr>
            <w:tcW w:w="1872" w:type="dxa"/>
            <w:shd w:val="clear" w:color="auto" w:fill="F3F6F8"/>
            <w:vAlign w:val="center"/>
          </w:tcPr>
          <w:p w:rsidR="00401C99" w:rsidRDefault="0069333C">
            <w:pPr>
              <w:spacing w:after="0"/>
              <w:jc w:val="left"/>
            </w:pPr>
            <w:r>
              <w:rPr>
                <w:color w:val="000000"/>
                <w:sz w:val="20"/>
              </w:rPr>
              <w:t>1, 2 or 3</w:t>
            </w:r>
          </w:p>
        </w:tc>
        <w:tc>
          <w:tcPr>
            <w:tcW w:w="4032" w:type="dxa"/>
            <w:shd w:val="clear" w:color="auto" w:fill="F3F6F8"/>
            <w:vAlign w:val="center"/>
          </w:tcPr>
          <w:p w:rsidR="00401C99" w:rsidRDefault="0069333C">
            <w:pPr>
              <w:spacing w:after="0"/>
              <w:jc w:val="left"/>
            </w:pPr>
            <w:r>
              <w:rPr>
                <w:color w:val="000000"/>
                <w:sz w:val="20"/>
              </w:rPr>
              <w:t>Selects steady, gradual or pulsed demand.</w:t>
            </w:r>
          </w:p>
        </w:tc>
      </w:tr>
      <w:tr w:rsidR="00401C99">
        <w:trPr>
          <w:jc w:val="center"/>
        </w:trPr>
        <w:tc>
          <w:tcPr>
            <w:tcW w:w="1944" w:type="dxa"/>
            <w:vAlign w:val="center"/>
          </w:tcPr>
          <w:p w:rsidR="00401C99" w:rsidRDefault="0069333C">
            <w:pPr>
              <w:spacing w:after="0"/>
              <w:jc w:val="left"/>
            </w:pPr>
            <w:r>
              <w:rPr>
                <w:color w:val="000000"/>
                <w:sz w:val="20"/>
              </w:rPr>
              <w:t>Battery SOC</w:t>
            </w:r>
          </w:p>
        </w:tc>
        <w:tc>
          <w:tcPr>
            <w:tcW w:w="792" w:type="dxa"/>
            <w:vAlign w:val="center"/>
          </w:tcPr>
          <w:p w:rsidR="00401C99" w:rsidRDefault="0069333C">
            <w:pPr>
              <w:spacing w:after="0"/>
              <w:jc w:val="left"/>
            </w:pPr>
            <w:r>
              <w:rPr>
                <w:color w:val="000000"/>
                <w:sz w:val="20"/>
              </w:rPr>
              <w:t>60</w:t>
            </w:r>
          </w:p>
        </w:tc>
        <w:tc>
          <w:tcPr>
            <w:tcW w:w="864" w:type="dxa"/>
            <w:vAlign w:val="center"/>
          </w:tcPr>
          <w:p w:rsidR="00401C99" w:rsidRDefault="0069333C">
            <w:pPr>
              <w:spacing w:after="0"/>
              <w:jc w:val="left"/>
            </w:pPr>
            <w:r>
              <w:rPr>
                <w:color w:val="000000"/>
                <w:sz w:val="20"/>
              </w:rPr>
              <w:t>%</w:t>
            </w:r>
          </w:p>
        </w:tc>
        <w:tc>
          <w:tcPr>
            <w:tcW w:w="1872" w:type="dxa"/>
            <w:vAlign w:val="center"/>
          </w:tcPr>
          <w:p w:rsidR="00401C99" w:rsidRDefault="0069333C">
            <w:pPr>
              <w:spacing w:after="0"/>
              <w:jc w:val="left"/>
            </w:pPr>
            <w:r>
              <w:rPr>
                <w:color w:val="000000"/>
                <w:sz w:val="20"/>
              </w:rPr>
              <w:t>10–95</w:t>
            </w:r>
          </w:p>
        </w:tc>
        <w:tc>
          <w:tcPr>
            <w:tcW w:w="4032" w:type="dxa"/>
            <w:vAlign w:val="center"/>
          </w:tcPr>
          <w:p w:rsidR="00401C99" w:rsidRDefault="0069333C">
            <w:pPr>
              <w:spacing w:after="0"/>
              <w:jc w:val="left"/>
            </w:pPr>
            <w:r>
              <w:rPr>
                <w:color w:val="000000"/>
                <w:sz w:val="20"/>
              </w:rPr>
              <w:t>Creates a simple support request when SOC is below 60%.</w:t>
            </w:r>
          </w:p>
        </w:tc>
      </w:tr>
      <w:tr w:rsidR="00401C99">
        <w:trPr>
          <w:jc w:val="center"/>
        </w:trPr>
        <w:tc>
          <w:tcPr>
            <w:tcW w:w="1944" w:type="dxa"/>
            <w:shd w:val="clear" w:color="auto" w:fill="F3F6F8"/>
            <w:vAlign w:val="center"/>
          </w:tcPr>
          <w:p w:rsidR="00401C99" w:rsidRDefault="0069333C">
            <w:pPr>
              <w:spacing w:after="0"/>
              <w:jc w:val="left"/>
            </w:pPr>
            <w:r>
              <w:rPr>
                <w:color w:val="000000"/>
                <w:sz w:val="20"/>
              </w:rPr>
              <w:t>Generator rating</w:t>
            </w:r>
          </w:p>
        </w:tc>
        <w:tc>
          <w:tcPr>
            <w:tcW w:w="792" w:type="dxa"/>
            <w:shd w:val="clear" w:color="auto" w:fill="F3F6F8"/>
            <w:vAlign w:val="center"/>
          </w:tcPr>
          <w:p w:rsidR="00401C99" w:rsidRDefault="0069333C">
            <w:pPr>
              <w:spacing w:after="0"/>
              <w:jc w:val="left"/>
            </w:pPr>
            <w:r>
              <w:rPr>
                <w:color w:val="000000"/>
                <w:sz w:val="20"/>
              </w:rPr>
              <w:t>30</w:t>
            </w:r>
          </w:p>
        </w:tc>
        <w:tc>
          <w:tcPr>
            <w:tcW w:w="864" w:type="dxa"/>
            <w:shd w:val="clear" w:color="auto" w:fill="F3F6F8"/>
            <w:vAlign w:val="center"/>
          </w:tcPr>
          <w:p w:rsidR="00401C99" w:rsidRDefault="0069333C">
            <w:pPr>
              <w:spacing w:after="0"/>
              <w:jc w:val="left"/>
            </w:pPr>
            <w:r>
              <w:rPr>
                <w:color w:val="000000"/>
                <w:sz w:val="20"/>
              </w:rPr>
              <w:t>kW</w:t>
            </w:r>
          </w:p>
        </w:tc>
        <w:tc>
          <w:tcPr>
            <w:tcW w:w="1872" w:type="dxa"/>
            <w:shd w:val="clear" w:color="auto" w:fill="F3F6F8"/>
            <w:vAlign w:val="center"/>
          </w:tcPr>
          <w:p w:rsidR="00401C99" w:rsidRDefault="0069333C">
            <w:pPr>
              <w:spacing w:after="0"/>
              <w:jc w:val="left"/>
            </w:pPr>
            <w:r>
              <w:rPr>
                <w:color w:val="000000"/>
                <w:sz w:val="20"/>
              </w:rPr>
              <w:t>10–60</w:t>
            </w:r>
          </w:p>
        </w:tc>
        <w:tc>
          <w:tcPr>
            <w:tcW w:w="4032" w:type="dxa"/>
            <w:shd w:val="clear" w:color="auto" w:fill="F3F6F8"/>
            <w:vAlign w:val="center"/>
          </w:tcPr>
          <w:p w:rsidR="00401C99" w:rsidRDefault="0069333C">
            <w:pPr>
              <w:spacing w:after="0"/>
              <w:jc w:val="left"/>
            </w:pPr>
            <w:r>
              <w:rPr>
                <w:color w:val="000000"/>
                <w:sz w:val="20"/>
              </w:rPr>
              <w:t>Limits continuous electrical output.</w:t>
            </w:r>
          </w:p>
        </w:tc>
      </w:tr>
      <w:tr w:rsidR="00401C99">
        <w:trPr>
          <w:jc w:val="center"/>
        </w:trPr>
        <w:tc>
          <w:tcPr>
            <w:tcW w:w="1944" w:type="dxa"/>
            <w:vAlign w:val="center"/>
          </w:tcPr>
          <w:p w:rsidR="00401C99" w:rsidRDefault="0069333C">
            <w:pPr>
              <w:spacing w:after="0"/>
              <w:jc w:val="left"/>
            </w:pPr>
            <w:r>
              <w:rPr>
                <w:color w:val="000000"/>
                <w:sz w:val="20"/>
              </w:rPr>
              <w:t>Enable command</w:t>
            </w:r>
          </w:p>
        </w:tc>
        <w:tc>
          <w:tcPr>
            <w:tcW w:w="792" w:type="dxa"/>
            <w:vAlign w:val="center"/>
          </w:tcPr>
          <w:p w:rsidR="00401C99" w:rsidRDefault="0069333C">
            <w:pPr>
              <w:spacing w:after="0"/>
              <w:jc w:val="left"/>
            </w:pPr>
            <w:r>
              <w:rPr>
                <w:color w:val="000000"/>
                <w:sz w:val="20"/>
              </w:rPr>
              <w:t>1</w:t>
            </w:r>
          </w:p>
        </w:tc>
        <w:tc>
          <w:tcPr>
            <w:tcW w:w="864" w:type="dxa"/>
            <w:vAlign w:val="center"/>
          </w:tcPr>
          <w:p w:rsidR="00401C99" w:rsidRDefault="0069333C">
            <w:pPr>
              <w:spacing w:after="0"/>
              <w:jc w:val="left"/>
            </w:pPr>
            <w:r>
              <w:rPr>
                <w:color w:val="000000"/>
                <w:sz w:val="20"/>
              </w:rPr>
              <w:t>Boolean</w:t>
            </w:r>
          </w:p>
        </w:tc>
        <w:tc>
          <w:tcPr>
            <w:tcW w:w="1872" w:type="dxa"/>
            <w:vAlign w:val="center"/>
          </w:tcPr>
          <w:p w:rsidR="00401C99" w:rsidRDefault="0069333C">
            <w:pPr>
              <w:spacing w:after="0"/>
              <w:jc w:val="left"/>
            </w:pPr>
            <w:r>
              <w:rPr>
                <w:color w:val="000000"/>
                <w:sz w:val="20"/>
              </w:rPr>
              <w:t>0 or 1</w:t>
            </w:r>
          </w:p>
        </w:tc>
        <w:tc>
          <w:tcPr>
            <w:tcW w:w="4032" w:type="dxa"/>
            <w:vAlign w:val="center"/>
          </w:tcPr>
          <w:p w:rsidR="00401C99" w:rsidRDefault="0069333C">
            <w:pPr>
              <w:spacing w:after="0"/>
              <w:jc w:val="left"/>
            </w:pPr>
            <w:r>
              <w:rPr>
                <w:color w:val="000000"/>
                <w:sz w:val="20"/>
              </w:rPr>
              <w:t>Turns the generator command off or on.</w:t>
            </w:r>
          </w:p>
        </w:tc>
      </w:tr>
      <w:tr w:rsidR="00401C99">
        <w:trPr>
          <w:jc w:val="center"/>
        </w:trPr>
        <w:tc>
          <w:tcPr>
            <w:tcW w:w="1944" w:type="dxa"/>
            <w:shd w:val="clear" w:color="auto" w:fill="F3F6F8"/>
            <w:vAlign w:val="center"/>
          </w:tcPr>
          <w:p w:rsidR="00401C99" w:rsidRDefault="0069333C">
            <w:pPr>
              <w:spacing w:after="0"/>
              <w:jc w:val="left"/>
            </w:pPr>
            <w:r>
              <w:rPr>
                <w:color w:val="000000"/>
                <w:sz w:val="20"/>
              </w:rPr>
              <w:t>Fuel LHV</w:t>
            </w:r>
          </w:p>
        </w:tc>
        <w:tc>
          <w:tcPr>
            <w:tcW w:w="792" w:type="dxa"/>
            <w:shd w:val="clear" w:color="auto" w:fill="F3F6F8"/>
            <w:vAlign w:val="center"/>
          </w:tcPr>
          <w:p w:rsidR="00401C99" w:rsidRDefault="0069333C">
            <w:pPr>
              <w:spacing w:after="0"/>
              <w:jc w:val="left"/>
            </w:pPr>
            <w:r>
              <w:rPr>
                <w:color w:val="000000"/>
                <w:sz w:val="20"/>
              </w:rPr>
              <w:t>43</w:t>
            </w:r>
          </w:p>
        </w:tc>
        <w:tc>
          <w:tcPr>
            <w:tcW w:w="864" w:type="dxa"/>
            <w:shd w:val="clear" w:color="auto" w:fill="F3F6F8"/>
            <w:vAlign w:val="center"/>
          </w:tcPr>
          <w:p w:rsidR="00401C99" w:rsidRDefault="0069333C">
            <w:pPr>
              <w:spacing w:after="0"/>
              <w:jc w:val="left"/>
            </w:pPr>
            <w:r>
              <w:rPr>
                <w:color w:val="000000"/>
                <w:sz w:val="20"/>
              </w:rPr>
              <w:t>MJ/kg</w:t>
            </w:r>
          </w:p>
        </w:tc>
        <w:tc>
          <w:tcPr>
            <w:tcW w:w="1872" w:type="dxa"/>
            <w:shd w:val="clear" w:color="auto" w:fill="F3F6F8"/>
            <w:vAlign w:val="center"/>
          </w:tcPr>
          <w:p w:rsidR="00401C99" w:rsidRDefault="0069333C">
            <w:pPr>
              <w:spacing w:after="0"/>
              <w:jc w:val="left"/>
            </w:pPr>
            <w:r>
              <w:rPr>
                <w:color w:val="000000"/>
                <w:sz w:val="20"/>
              </w:rPr>
              <w:t>Use traceable fuel value</w:t>
            </w:r>
          </w:p>
        </w:tc>
        <w:tc>
          <w:tcPr>
            <w:tcW w:w="4032" w:type="dxa"/>
            <w:shd w:val="clear" w:color="auto" w:fill="F3F6F8"/>
            <w:vAlign w:val="center"/>
          </w:tcPr>
          <w:p w:rsidR="00401C99" w:rsidRDefault="0069333C">
            <w:pPr>
              <w:spacing w:after="0"/>
              <w:jc w:val="left"/>
            </w:pPr>
            <w:r>
              <w:rPr>
                <w:color w:val="000000"/>
                <w:sz w:val="20"/>
              </w:rPr>
              <w:t>Converts fuel mass flow to chemical power.</w:t>
            </w:r>
          </w:p>
        </w:tc>
      </w:tr>
      <w:tr w:rsidR="00401C99">
        <w:trPr>
          <w:jc w:val="center"/>
        </w:trPr>
        <w:tc>
          <w:tcPr>
            <w:tcW w:w="1944" w:type="dxa"/>
            <w:vAlign w:val="center"/>
          </w:tcPr>
          <w:p w:rsidR="00401C99" w:rsidRDefault="0069333C">
            <w:pPr>
              <w:spacing w:after="0"/>
              <w:jc w:val="left"/>
            </w:pPr>
            <w:r>
              <w:rPr>
                <w:color w:val="000000"/>
                <w:sz w:val="20"/>
              </w:rPr>
              <w:t>Simulation duration</w:t>
            </w:r>
          </w:p>
        </w:tc>
        <w:tc>
          <w:tcPr>
            <w:tcW w:w="792" w:type="dxa"/>
            <w:vAlign w:val="center"/>
          </w:tcPr>
          <w:p w:rsidR="00401C99" w:rsidRDefault="0069333C">
            <w:pPr>
              <w:spacing w:after="0"/>
              <w:jc w:val="left"/>
            </w:pPr>
            <w:r>
              <w:rPr>
                <w:color w:val="000000"/>
                <w:sz w:val="20"/>
              </w:rPr>
              <w:t>120</w:t>
            </w:r>
          </w:p>
        </w:tc>
        <w:tc>
          <w:tcPr>
            <w:tcW w:w="864" w:type="dxa"/>
            <w:vAlign w:val="center"/>
          </w:tcPr>
          <w:p w:rsidR="00401C99" w:rsidRDefault="0069333C">
            <w:pPr>
              <w:spacing w:after="0"/>
              <w:jc w:val="left"/>
            </w:pPr>
            <w:r>
              <w:rPr>
                <w:color w:val="000000"/>
                <w:sz w:val="20"/>
              </w:rPr>
              <w:t>s</w:t>
            </w:r>
          </w:p>
        </w:tc>
        <w:tc>
          <w:tcPr>
            <w:tcW w:w="1872" w:type="dxa"/>
            <w:vAlign w:val="center"/>
          </w:tcPr>
          <w:p w:rsidR="00401C99" w:rsidRDefault="0069333C">
            <w:pPr>
              <w:spacing w:after="0"/>
              <w:jc w:val="left"/>
            </w:pPr>
            <w:r>
              <w:rPr>
                <w:color w:val="000000"/>
                <w:sz w:val="20"/>
              </w:rPr>
              <w:t>Positive</w:t>
            </w:r>
          </w:p>
        </w:tc>
        <w:tc>
          <w:tcPr>
            <w:tcW w:w="4032" w:type="dxa"/>
            <w:vAlign w:val="center"/>
          </w:tcPr>
          <w:p w:rsidR="00401C99" w:rsidRDefault="0069333C">
            <w:pPr>
              <w:spacing w:after="0"/>
              <w:jc w:val="left"/>
            </w:pPr>
            <w:r>
              <w:rPr>
                <w:color w:val="000000"/>
                <w:sz w:val="20"/>
              </w:rPr>
              <w:t>Sets the experiment duration.</w:t>
            </w:r>
          </w:p>
        </w:tc>
      </w:tr>
      <w:tr w:rsidR="00401C99">
        <w:trPr>
          <w:jc w:val="center"/>
        </w:trPr>
        <w:tc>
          <w:tcPr>
            <w:tcW w:w="1944" w:type="dxa"/>
            <w:shd w:val="clear" w:color="auto" w:fill="F3F6F8"/>
            <w:vAlign w:val="center"/>
          </w:tcPr>
          <w:p w:rsidR="00401C99" w:rsidRDefault="0069333C">
            <w:pPr>
              <w:spacing w:after="0"/>
              <w:jc w:val="left"/>
            </w:pPr>
            <w:r>
              <w:rPr>
                <w:color w:val="000000"/>
                <w:sz w:val="20"/>
              </w:rPr>
              <w:t>Time step</w:t>
            </w:r>
          </w:p>
        </w:tc>
        <w:tc>
          <w:tcPr>
            <w:tcW w:w="792" w:type="dxa"/>
            <w:shd w:val="clear" w:color="auto" w:fill="F3F6F8"/>
            <w:vAlign w:val="center"/>
          </w:tcPr>
          <w:p w:rsidR="00401C99" w:rsidRDefault="0069333C">
            <w:pPr>
              <w:spacing w:after="0"/>
              <w:jc w:val="left"/>
            </w:pPr>
            <w:r>
              <w:rPr>
                <w:color w:val="000000"/>
                <w:sz w:val="20"/>
              </w:rPr>
              <w:t>0.1</w:t>
            </w:r>
          </w:p>
        </w:tc>
        <w:tc>
          <w:tcPr>
            <w:tcW w:w="864" w:type="dxa"/>
            <w:shd w:val="clear" w:color="auto" w:fill="F3F6F8"/>
            <w:vAlign w:val="center"/>
          </w:tcPr>
          <w:p w:rsidR="00401C99" w:rsidRDefault="0069333C">
            <w:pPr>
              <w:spacing w:after="0"/>
              <w:jc w:val="left"/>
            </w:pPr>
            <w:r>
              <w:rPr>
                <w:color w:val="000000"/>
                <w:sz w:val="20"/>
              </w:rPr>
              <w:t>s</w:t>
            </w:r>
          </w:p>
        </w:tc>
        <w:tc>
          <w:tcPr>
            <w:tcW w:w="1872" w:type="dxa"/>
            <w:shd w:val="clear" w:color="auto" w:fill="F3F6F8"/>
            <w:vAlign w:val="center"/>
          </w:tcPr>
          <w:p w:rsidR="00401C99" w:rsidRDefault="0069333C">
            <w:pPr>
              <w:spacing w:after="0"/>
              <w:jc w:val="left"/>
            </w:pPr>
            <w:r>
              <w:rPr>
                <w:color w:val="000000"/>
                <w:sz w:val="20"/>
              </w:rPr>
              <w:t>0.01–1.0</w:t>
            </w:r>
          </w:p>
        </w:tc>
        <w:tc>
          <w:tcPr>
            <w:tcW w:w="4032" w:type="dxa"/>
            <w:shd w:val="clear" w:color="auto" w:fill="F3F6F8"/>
            <w:vAlign w:val="center"/>
          </w:tcPr>
          <w:p w:rsidR="00401C99" w:rsidRDefault="0069333C">
            <w:pPr>
              <w:spacing w:after="0"/>
              <w:jc w:val="left"/>
            </w:pPr>
            <w:r>
              <w:rPr>
                <w:color w:val="000000"/>
                <w:sz w:val="20"/>
              </w:rPr>
              <w:t>Sets numerical update interval.</w:t>
            </w:r>
          </w:p>
        </w:tc>
      </w:tr>
    </w:tbl>
    <w:p w:rsidR="00401C99" w:rsidRDefault="00401C99"/>
    <w:p w:rsidR="00401C99" w:rsidRDefault="0069333C">
      <w:r>
        <w:t>The</w:t>
      </w:r>
      <w:r>
        <w:t xml:space="preserve"> advanced interface should also allow the programmer or researcher to change the SOC target, SOC gain, maximum SOC support, command delay, rise/fall rates, demand limit, map limit and numerical safeguards. These controls should be collapsed by default so t</w:t>
      </w:r>
      <w:r>
        <w:t>he main page remains easy to use.</w:t>
      </w:r>
    </w:p>
    <w:p w:rsidR="00401C99" w:rsidRDefault="0069333C">
      <w:pPr>
        <w:pStyle w:val="Heading1"/>
      </w:pPr>
      <w:r>
        <w:rPr>
          <w:rFonts w:ascii="Times New Roman" w:hAnsi="Times New Roman"/>
        </w:rPr>
        <w:t>5. Built-In Demonstration Maps</w:t>
      </w:r>
    </w:p>
    <w:tbl>
      <w:tblPr>
        <w:tblStyle w:val="TableGrid"/>
        <w:tblW w:w="0" w:type="auto"/>
        <w:jc w:val="center"/>
        <w:tblLook w:val="04A0" w:firstRow="1" w:lastRow="0" w:firstColumn="1" w:lastColumn="0" w:noHBand="0" w:noVBand="1"/>
      </w:tblPr>
      <w:tblGrid>
        <w:gridCol w:w="1728"/>
        <w:gridCol w:w="2592"/>
        <w:gridCol w:w="2448"/>
        <w:gridCol w:w="2016"/>
      </w:tblGrid>
      <w:tr w:rsidR="00401C99">
        <w:trPr>
          <w:tblHeader/>
          <w:jc w:val="center"/>
        </w:trPr>
        <w:tc>
          <w:tcPr>
            <w:tcW w:w="1728" w:type="dxa"/>
            <w:shd w:val="clear" w:color="auto" w:fill="1F4E78"/>
            <w:vAlign w:val="center"/>
          </w:tcPr>
          <w:p w:rsidR="00401C99" w:rsidRDefault="0069333C">
            <w:pPr>
              <w:spacing w:after="0"/>
              <w:jc w:val="left"/>
            </w:pPr>
            <w:r>
              <w:rPr>
                <w:b/>
                <w:color w:val="FFFFFF"/>
                <w:sz w:val="20"/>
              </w:rPr>
              <w:t>Load fraction</w:t>
            </w:r>
          </w:p>
        </w:tc>
        <w:tc>
          <w:tcPr>
            <w:tcW w:w="2592" w:type="dxa"/>
            <w:shd w:val="clear" w:color="auto" w:fill="1F4E78"/>
            <w:vAlign w:val="center"/>
          </w:tcPr>
          <w:p w:rsidR="00401C99" w:rsidRDefault="0069333C">
            <w:pPr>
              <w:spacing w:after="0"/>
              <w:jc w:val="left"/>
            </w:pPr>
            <w:r>
              <w:rPr>
                <w:b/>
                <w:color w:val="FFFFFF"/>
                <w:sz w:val="20"/>
              </w:rPr>
              <w:t>Generator efficiency</w:t>
            </w:r>
          </w:p>
        </w:tc>
        <w:tc>
          <w:tcPr>
            <w:tcW w:w="2448" w:type="dxa"/>
            <w:shd w:val="clear" w:color="auto" w:fill="1F4E78"/>
            <w:vAlign w:val="center"/>
          </w:tcPr>
          <w:p w:rsidR="00401C99" w:rsidRDefault="0069333C">
            <w:pPr>
              <w:spacing w:after="0"/>
              <w:jc w:val="left"/>
            </w:pPr>
            <w:r>
              <w:rPr>
                <w:b/>
                <w:color w:val="FFFFFF"/>
                <w:sz w:val="20"/>
              </w:rPr>
              <w:t>Engine speed (rpm)</w:t>
            </w:r>
          </w:p>
        </w:tc>
        <w:tc>
          <w:tcPr>
            <w:tcW w:w="2016" w:type="dxa"/>
            <w:shd w:val="clear" w:color="auto" w:fill="1F4E78"/>
            <w:vAlign w:val="center"/>
          </w:tcPr>
          <w:p w:rsidR="00401C99" w:rsidRDefault="0069333C">
            <w:pPr>
              <w:spacing w:after="0"/>
              <w:jc w:val="left"/>
            </w:pPr>
            <w:r>
              <w:rPr>
                <w:b/>
                <w:color w:val="FFFFFF"/>
                <w:sz w:val="20"/>
              </w:rPr>
              <w:t>BSFC (g/kWh)</w:t>
            </w:r>
          </w:p>
        </w:tc>
      </w:tr>
      <w:tr w:rsidR="00401C99">
        <w:trPr>
          <w:jc w:val="center"/>
        </w:trPr>
        <w:tc>
          <w:tcPr>
            <w:tcW w:w="1728" w:type="dxa"/>
            <w:vAlign w:val="center"/>
          </w:tcPr>
          <w:p w:rsidR="00401C99" w:rsidRDefault="0069333C">
            <w:pPr>
              <w:spacing w:after="0"/>
              <w:jc w:val="left"/>
            </w:pPr>
            <w:r>
              <w:rPr>
                <w:color w:val="000000"/>
                <w:sz w:val="20"/>
              </w:rPr>
              <w:t>0.00</w:t>
            </w:r>
          </w:p>
        </w:tc>
        <w:tc>
          <w:tcPr>
            <w:tcW w:w="2592" w:type="dxa"/>
            <w:vAlign w:val="center"/>
          </w:tcPr>
          <w:p w:rsidR="00401C99" w:rsidRDefault="0069333C">
            <w:pPr>
              <w:spacing w:after="0"/>
              <w:jc w:val="left"/>
            </w:pPr>
            <w:r>
              <w:rPr>
                <w:color w:val="000000"/>
                <w:sz w:val="20"/>
              </w:rPr>
              <w:t>0.70</w:t>
            </w:r>
          </w:p>
        </w:tc>
        <w:tc>
          <w:tcPr>
            <w:tcW w:w="2448" w:type="dxa"/>
            <w:vAlign w:val="center"/>
          </w:tcPr>
          <w:p w:rsidR="00401C99" w:rsidRDefault="0069333C">
            <w:pPr>
              <w:spacing w:after="0"/>
              <w:jc w:val="left"/>
            </w:pPr>
            <w:r>
              <w:rPr>
                <w:color w:val="000000"/>
                <w:sz w:val="20"/>
              </w:rPr>
              <w:t>0</w:t>
            </w:r>
          </w:p>
        </w:tc>
        <w:tc>
          <w:tcPr>
            <w:tcW w:w="2016" w:type="dxa"/>
            <w:vAlign w:val="center"/>
          </w:tcPr>
          <w:p w:rsidR="00401C99" w:rsidRDefault="0069333C">
            <w:pPr>
              <w:spacing w:after="0"/>
              <w:jc w:val="left"/>
            </w:pPr>
            <w:r>
              <w:rPr>
                <w:color w:val="000000"/>
                <w:sz w:val="20"/>
              </w:rPr>
              <w:t>400</w:t>
            </w:r>
          </w:p>
        </w:tc>
      </w:tr>
      <w:tr w:rsidR="00401C99">
        <w:trPr>
          <w:jc w:val="center"/>
        </w:trPr>
        <w:tc>
          <w:tcPr>
            <w:tcW w:w="1728" w:type="dxa"/>
            <w:shd w:val="clear" w:color="auto" w:fill="F3F6F8"/>
            <w:vAlign w:val="center"/>
          </w:tcPr>
          <w:p w:rsidR="00401C99" w:rsidRDefault="0069333C">
            <w:pPr>
              <w:spacing w:after="0"/>
              <w:jc w:val="left"/>
            </w:pPr>
            <w:r>
              <w:rPr>
                <w:color w:val="000000"/>
                <w:sz w:val="20"/>
              </w:rPr>
              <w:t>0.10</w:t>
            </w:r>
          </w:p>
        </w:tc>
        <w:tc>
          <w:tcPr>
            <w:tcW w:w="2592" w:type="dxa"/>
            <w:shd w:val="clear" w:color="auto" w:fill="F3F6F8"/>
            <w:vAlign w:val="center"/>
          </w:tcPr>
          <w:p w:rsidR="00401C99" w:rsidRDefault="0069333C">
            <w:pPr>
              <w:spacing w:after="0"/>
              <w:jc w:val="left"/>
            </w:pPr>
            <w:r>
              <w:rPr>
                <w:color w:val="000000"/>
                <w:sz w:val="20"/>
              </w:rPr>
              <w:t>0.76</w:t>
            </w:r>
          </w:p>
        </w:tc>
        <w:tc>
          <w:tcPr>
            <w:tcW w:w="2448" w:type="dxa"/>
            <w:shd w:val="clear" w:color="auto" w:fill="F3F6F8"/>
            <w:vAlign w:val="center"/>
          </w:tcPr>
          <w:p w:rsidR="00401C99" w:rsidRDefault="0069333C">
            <w:pPr>
              <w:spacing w:after="0"/>
              <w:jc w:val="left"/>
            </w:pPr>
            <w:r>
              <w:rPr>
                <w:color w:val="000000"/>
                <w:sz w:val="20"/>
              </w:rPr>
              <w:t>1200</w:t>
            </w:r>
          </w:p>
        </w:tc>
        <w:tc>
          <w:tcPr>
            <w:tcW w:w="2016" w:type="dxa"/>
            <w:shd w:val="clear" w:color="auto" w:fill="F3F6F8"/>
            <w:vAlign w:val="center"/>
          </w:tcPr>
          <w:p w:rsidR="00401C99" w:rsidRDefault="0069333C">
            <w:pPr>
              <w:spacing w:after="0"/>
              <w:jc w:val="left"/>
            </w:pPr>
            <w:r>
              <w:rPr>
                <w:color w:val="000000"/>
                <w:sz w:val="20"/>
              </w:rPr>
              <w:t>340</w:t>
            </w:r>
          </w:p>
        </w:tc>
      </w:tr>
      <w:tr w:rsidR="00401C99">
        <w:trPr>
          <w:jc w:val="center"/>
        </w:trPr>
        <w:tc>
          <w:tcPr>
            <w:tcW w:w="1728" w:type="dxa"/>
            <w:vAlign w:val="center"/>
          </w:tcPr>
          <w:p w:rsidR="00401C99" w:rsidRDefault="0069333C">
            <w:pPr>
              <w:spacing w:after="0"/>
              <w:jc w:val="left"/>
            </w:pPr>
            <w:r>
              <w:rPr>
                <w:color w:val="000000"/>
                <w:sz w:val="20"/>
              </w:rPr>
              <w:t>0.20</w:t>
            </w:r>
          </w:p>
        </w:tc>
        <w:tc>
          <w:tcPr>
            <w:tcW w:w="2592" w:type="dxa"/>
            <w:vAlign w:val="center"/>
          </w:tcPr>
          <w:p w:rsidR="00401C99" w:rsidRDefault="0069333C">
            <w:pPr>
              <w:spacing w:after="0"/>
              <w:jc w:val="left"/>
            </w:pPr>
            <w:r>
              <w:rPr>
                <w:color w:val="000000"/>
                <w:sz w:val="20"/>
              </w:rPr>
              <w:t>0.82</w:t>
            </w:r>
          </w:p>
        </w:tc>
        <w:tc>
          <w:tcPr>
            <w:tcW w:w="2448" w:type="dxa"/>
            <w:vAlign w:val="center"/>
          </w:tcPr>
          <w:p w:rsidR="00401C99" w:rsidRDefault="0069333C">
            <w:pPr>
              <w:spacing w:after="0"/>
              <w:jc w:val="left"/>
            </w:pPr>
            <w:r>
              <w:rPr>
                <w:color w:val="000000"/>
                <w:sz w:val="20"/>
              </w:rPr>
              <w:t>1400</w:t>
            </w:r>
          </w:p>
        </w:tc>
        <w:tc>
          <w:tcPr>
            <w:tcW w:w="2016" w:type="dxa"/>
            <w:vAlign w:val="center"/>
          </w:tcPr>
          <w:p w:rsidR="00401C99" w:rsidRDefault="0069333C">
            <w:pPr>
              <w:spacing w:after="0"/>
              <w:jc w:val="left"/>
            </w:pPr>
            <w:r>
              <w:rPr>
                <w:color w:val="000000"/>
                <w:sz w:val="20"/>
              </w:rPr>
              <w:t>300</w:t>
            </w:r>
          </w:p>
        </w:tc>
      </w:tr>
      <w:tr w:rsidR="00401C99">
        <w:trPr>
          <w:jc w:val="center"/>
        </w:trPr>
        <w:tc>
          <w:tcPr>
            <w:tcW w:w="1728" w:type="dxa"/>
            <w:shd w:val="clear" w:color="auto" w:fill="F3F6F8"/>
            <w:vAlign w:val="center"/>
          </w:tcPr>
          <w:p w:rsidR="00401C99" w:rsidRDefault="0069333C">
            <w:pPr>
              <w:spacing w:after="0"/>
              <w:jc w:val="left"/>
            </w:pPr>
            <w:r>
              <w:rPr>
                <w:color w:val="000000"/>
                <w:sz w:val="20"/>
              </w:rPr>
              <w:t>0.35</w:t>
            </w:r>
          </w:p>
        </w:tc>
        <w:tc>
          <w:tcPr>
            <w:tcW w:w="2592" w:type="dxa"/>
            <w:shd w:val="clear" w:color="auto" w:fill="F3F6F8"/>
            <w:vAlign w:val="center"/>
          </w:tcPr>
          <w:p w:rsidR="00401C99" w:rsidRDefault="0069333C">
            <w:pPr>
              <w:spacing w:after="0"/>
              <w:jc w:val="left"/>
            </w:pPr>
            <w:r>
              <w:rPr>
                <w:color w:val="000000"/>
                <w:sz w:val="20"/>
              </w:rPr>
              <w:t>0.87</w:t>
            </w:r>
          </w:p>
        </w:tc>
        <w:tc>
          <w:tcPr>
            <w:tcW w:w="2448" w:type="dxa"/>
            <w:shd w:val="clear" w:color="auto" w:fill="F3F6F8"/>
            <w:vAlign w:val="center"/>
          </w:tcPr>
          <w:p w:rsidR="00401C99" w:rsidRDefault="0069333C">
            <w:pPr>
              <w:spacing w:after="0"/>
              <w:jc w:val="left"/>
            </w:pPr>
            <w:r>
              <w:rPr>
                <w:color w:val="000000"/>
                <w:sz w:val="20"/>
              </w:rPr>
              <w:t>1600</w:t>
            </w:r>
          </w:p>
        </w:tc>
        <w:tc>
          <w:tcPr>
            <w:tcW w:w="2016" w:type="dxa"/>
            <w:shd w:val="clear" w:color="auto" w:fill="F3F6F8"/>
            <w:vAlign w:val="center"/>
          </w:tcPr>
          <w:p w:rsidR="00401C99" w:rsidRDefault="0069333C">
            <w:pPr>
              <w:spacing w:after="0"/>
              <w:jc w:val="left"/>
            </w:pPr>
            <w:r>
              <w:rPr>
                <w:color w:val="000000"/>
                <w:sz w:val="20"/>
              </w:rPr>
              <w:t>270</w:t>
            </w:r>
          </w:p>
        </w:tc>
      </w:tr>
      <w:tr w:rsidR="00401C99">
        <w:trPr>
          <w:jc w:val="center"/>
        </w:trPr>
        <w:tc>
          <w:tcPr>
            <w:tcW w:w="1728" w:type="dxa"/>
            <w:vAlign w:val="center"/>
          </w:tcPr>
          <w:p w:rsidR="00401C99" w:rsidRDefault="0069333C">
            <w:pPr>
              <w:spacing w:after="0"/>
              <w:jc w:val="left"/>
            </w:pPr>
            <w:r>
              <w:rPr>
                <w:color w:val="000000"/>
                <w:sz w:val="20"/>
              </w:rPr>
              <w:t>0.50</w:t>
            </w:r>
          </w:p>
        </w:tc>
        <w:tc>
          <w:tcPr>
            <w:tcW w:w="2592" w:type="dxa"/>
            <w:vAlign w:val="center"/>
          </w:tcPr>
          <w:p w:rsidR="00401C99" w:rsidRDefault="0069333C">
            <w:pPr>
              <w:spacing w:after="0"/>
              <w:jc w:val="left"/>
            </w:pPr>
            <w:r>
              <w:rPr>
                <w:color w:val="000000"/>
                <w:sz w:val="20"/>
              </w:rPr>
              <w:t>0.90</w:t>
            </w:r>
          </w:p>
        </w:tc>
        <w:tc>
          <w:tcPr>
            <w:tcW w:w="2448" w:type="dxa"/>
            <w:vAlign w:val="center"/>
          </w:tcPr>
          <w:p w:rsidR="00401C99" w:rsidRDefault="0069333C">
            <w:pPr>
              <w:spacing w:after="0"/>
              <w:jc w:val="left"/>
            </w:pPr>
            <w:r>
              <w:rPr>
                <w:color w:val="000000"/>
                <w:sz w:val="20"/>
              </w:rPr>
              <w:t>1800</w:t>
            </w:r>
          </w:p>
        </w:tc>
        <w:tc>
          <w:tcPr>
            <w:tcW w:w="2016" w:type="dxa"/>
            <w:vAlign w:val="center"/>
          </w:tcPr>
          <w:p w:rsidR="00401C99" w:rsidRDefault="0069333C">
            <w:pPr>
              <w:spacing w:after="0"/>
              <w:jc w:val="left"/>
            </w:pPr>
            <w:r>
              <w:rPr>
                <w:color w:val="000000"/>
                <w:sz w:val="20"/>
              </w:rPr>
              <w:t>250</w:t>
            </w:r>
          </w:p>
        </w:tc>
      </w:tr>
      <w:tr w:rsidR="00401C99">
        <w:trPr>
          <w:jc w:val="center"/>
        </w:trPr>
        <w:tc>
          <w:tcPr>
            <w:tcW w:w="1728" w:type="dxa"/>
            <w:shd w:val="clear" w:color="auto" w:fill="F3F6F8"/>
            <w:vAlign w:val="center"/>
          </w:tcPr>
          <w:p w:rsidR="00401C99" w:rsidRDefault="0069333C">
            <w:pPr>
              <w:spacing w:after="0"/>
              <w:jc w:val="left"/>
            </w:pPr>
            <w:r>
              <w:rPr>
                <w:color w:val="000000"/>
                <w:sz w:val="20"/>
              </w:rPr>
              <w:t>0.65</w:t>
            </w:r>
          </w:p>
        </w:tc>
        <w:tc>
          <w:tcPr>
            <w:tcW w:w="2592" w:type="dxa"/>
            <w:shd w:val="clear" w:color="auto" w:fill="F3F6F8"/>
            <w:vAlign w:val="center"/>
          </w:tcPr>
          <w:p w:rsidR="00401C99" w:rsidRDefault="0069333C">
            <w:pPr>
              <w:spacing w:after="0"/>
              <w:jc w:val="left"/>
            </w:pPr>
            <w:r>
              <w:rPr>
                <w:color w:val="000000"/>
                <w:sz w:val="20"/>
              </w:rPr>
              <w:t>0.92</w:t>
            </w:r>
          </w:p>
        </w:tc>
        <w:tc>
          <w:tcPr>
            <w:tcW w:w="2448" w:type="dxa"/>
            <w:shd w:val="clear" w:color="auto" w:fill="F3F6F8"/>
            <w:vAlign w:val="center"/>
          </w:tcPr>
          <w:p w:rsidR="00401C99" w:rsidRDefault="0069333C">
            <w:pPr>
              <w:spacing w:after="0"/>
              <w:jc w:val="left"/>
            </w:pPr>
            <w:r>
              <w:rPr>
                <w:color w:val="000000"/>
                <w:sz w:val="20"/>
              </w:rPr>
              <w:t>2000</w:t>
            </w:r>
          </w:p>
        </w:tc>
        <w:tc>
          <w:tcPr>
            <w:tcW w:w="2016" w:type="dxa"/>
            <w:shd w:val="clear" w:color="auto" w:fill="F3F6F8"/>
            <w:vAlign w:val="center"/>
          </w:tcPr>
          <w:p w:rsidR="00401C99" w:rsidRDefault="0069333C">
            <w:pPr>
              <w:spacing w:after="0"/>
              <w:jc w:val="left"/>
            </w:pPr>
            <w:r>
              <w:rPr>
                <w:color w:val="000000"/>
                <w:sz w:val="20"/>
              </w:rPr>
              <w:t>240</w:t>
            </w:r>
          </w:p>
        </w:tc>
      </w:tr>
      <w:tr w:rsidR="00401C99">
        <w:trPr>
          <w:jc w:val="center"/>
        </w:trPr>
        <w:tc>
          <w:tcPr>
            <w:tcW w:w="1728" w:type="dxa"/>
            <w:vAlign w:val="center"/>
          </w:tcPr>
          <w:p w:rsidR="00401C99" w:rsidRDefault="0069333C">
            <w:pPr>
              <w:spacing w:after="0"/>
              <w:jc w:val="left"/>
            </w:pPr>
            <w:r>
              <w:rPr>
                <w:color w:val="000000"/>
                <w:sz w:val="20"/>
              </w:rPr>
              <w:t>0.80</w:t>
            </w:r>
          </w:p>
        </w:tc>
        <w:tc>
          <w:tcPr>
            <w:tcW w:w="2592" w:type="dxa"/>
            <w:vAlign w:val="center"/>
          </w:tcPr>
          <w:p w:rsidR="00401C99" w:rsidRDefault="0069333C">
            <w:pPr>
              <w:spacing w:after="0"/>
              <w:jc w:val="left"/>
            </w:pPr>
            <w:r>
              <w:rPr>
                <w:color w:val="000000"/>
                <w:sz w:val="20"/>
              </w:rPr>
              <w:t>0.93</w:t>
            </w:r>
          </w:p>
        </w:tc>
        <w:tc>
          <w:tcPr>
            <w:tcW w:w="2448" w:type="dxa"/>
            <w:vAlign w:val="center"/>
          </w:tcPr>
          <w:p w:rsidR="00401C99" w:rsidRDefault="0069333C">
            <w:pPr>
              <w:spacing w:after="0"/>
              <w:jc w:val="left"/>
            </w:pPr>
            <w:r>
              <w:rPr>
                <w:color w:val="000000"/>
                <w:sz w:val="20"/>
              </w:rPr>
              <w:t>2200</w:t>
            </w:r>
          </w:p>
        </w:tc>
        <w:tc>
          <w:tcPr>
            <w:tcW w:w="2016" w:type="dxa"/>
            <w:vAlign w:val="center"/>
          </w:tcPr>
          <w:p w:rsidR="00401C99" w:rsidRDefault="0069333C">
            <w:pPr>
              <w:spacing w:after="0"/>
              <w:jc w:val="left"/>
            </w:pPr>
            <w:r>
              <w:rPr>
                <w:color w:val="000000"/>
                <w:sz w:val="20"/>
              </w:rPr>
              <w:t>235</w:t>
            </w:r>
          </w:p>
        </w:tc>
      </w:tr>
      <w:tr w:rsidR="00401C99">
        <w:trPr>
          <w:jc w:val="center"/>
        </w:trPr>
        <w:tc>
          <w:tcPr>
            <w:tcW w:w="1728" w:type="dxa"/>
            <w:shd w:val="clear" w:color="auto" w:fill="F3F6F8"/>
            <w:vAlign w:val="center"/>
          </w:tcPr>
          <w:p w:rsidR="00401C99" w:rsidRDefault="0069333C">
            <w:pPr>
              <w:spacing w:after="0"/>
              <w:jc w:val="left"/>
            </w:pPr>
            <w:r>
              <w:rPr>
                <w:color w:val="000000"/>
                <w:sz w:val="20"/>
              </w:rPr>
              <w:t>1.00</w:t>
            </w:r>
          </w:p>
        </w:tc>
        <w:tc>
          <w:tcPr>
            <w:tcW w:w="2592" w:type="dxa"/>
            <w:shd w:val="clear" w:color="auto" w:fill="F3F6F8"/>
            <w:vAlign w:val="center"/>
          </w:tcPr>
          <w:p w:rsidR="00401C99" w:rsidRDefault="0069333C">
            <w:pPr>
              <w:spacing w:after="0"/>
              <w:jc w:val="left"/>
            </w:pPr>
            <w:r>
              <w:rPr>
                <w:color w:val="000000"/>
                <w:sz w:val="20"/>
              </w:rPr>
              <w:t>0.92</w:t>
            </w:r>
          </w:p>
        </w:tc>
        <w:tc>
          <w:tcPr>
            <w:tcW w:w="2448" w:type="dxa"/>
            <w:shd w:val="clear" w:color="auto" w:fill="F3F6F8"/>
            <w:vAlign w:val="center"/>
          </w:tcPr>
          <w:p w:rsidR="00401C99" w:rsidRDefault="0069333C">
            <w:pPr>
              <w:spacing w:after="0"/>
              <w:jc w:val="left"/>
            </w:pPr>
            <w:r>
              <w:rPr>
                <w:color w:val="000000"/>
                <w:sz w:val="20"/>
              </w:rPr>
              <w:t>2400</w:t>
            </w:r>
          </w:p>
        </w:tc>
        <w:tc>
          <w:tcPr>
            <w:tcW w:w="2016" w:type="dxa"/>
            <w:shd w:val="clear" w:color="auto" w:fill="F3F6F8"/>
            <w:vAlign w:val="center"/>
          </w:tcPr>
          <w:p w:rsidR="00401C99" w:rsidRDefault="0069333C">
            <w:pPr>
              <w:spacing w:after="0"/>
              <w:jc w:val="left"/>
            </w:pPr>
            <w:r>
              <w:rPr>
                <w:color w:val="000000"/>
                <w:sz w:val="20"/>
              </w:rPr>
              <w:t>238</w:t>
            </w:r>
          </w:p>
        </w:tc>
      </w:tr>
      <w:tr w:rsidR="00401C99">
        <w:trPr>
          <w:jc w:val="center"/>
        </w:trPr>
        <w:tc>
          <w:tcPr>
            <w:tcW w:w="1728" w:type="dxa"/>
            <w:vAlign w:val="center"/>
          </w:tcPr>
          <w:p w:rsidR="00401C99" w:rsidRDefault="0069333C">
            <w:pPr>
              <w:spacing w:after="0"/>
              <w:jc w:val="left"/>
            </w:pPr>
            <w:r>
              <w:rPr>
                <w:color w:val="000000"/>
                <w:sz w:val="20"/>
              </w:rPr>
              <w:t>1.25</w:t>
            </w:r>
          </w:p>
        </w:tc>
        <w:tc>
          <w:tcPr>
            <w:tcW w:w="2592" w:type="dxa"/>
            <w:vAlign w:val="center"/>
          </w:tcPr>
          <w:p w:rsidR="00401C99" w:rsidRDefault="0069333C">
            <w:pPr>
              <w:spacing w:after="0"/>
              <w:jc w:val="left"/>
            </w:pPr>
            <w:r>
              <w:rPr>
                <w:color w:val="000000"/>
                <w:sz w:val="20"/>
              </w:rPr>
              <w:t>0.89</w:t>
            </w:r>
          </w:p>
        </w:tc>
        <w:tc>
          <w:tcPr>
            <w:tcW w:w="2448" w:type="dxa"/>
            <w:vAlign w:val="center"/>
          </w:tcPr>
          <w:p w:rsidR="00401C99" w:rsidRDefault="0069333C">
            <w:pPr>
              <w:spacing w:after="0"/>
              <w:jc w:val="left"/>
            </w:pPr>
            <w:r>
              <w:rPr>
                <w:color w:val="000000"/>
                <w:sz w:val="20"/>
              </w:rPr>
              <w:t>2600</w:t>
            </w:r>
          </w:p>
        </w:tc>
        <w:tc>
          <w:tcPr>
            <w:tcW w:w="2016" w:type="dxa"/>
            <w:vAlign w:val="center"/>
          </w:tcPr>
          <w:p w:rsidR="00401C99" w:rsidRDefault="0069333C">
            <w:pPr>
              <w:spacing w:after="0"/>
              <w:jc w:val="left"/>
            </w:pPr>
            <w:r>
              <w:rPr>
                <w:color w:val="000000"/>
                <w:sz w:val="20"/>
              </w:rPr>
              <w:t>250</w:t>
            </w:r>
          </w:p>
        </w:tc>
      </w:tr>
    </w:tbl>
    <w:p w:rsidR="00401C99" w:rsidRDefault="00401C99"/>
    <w:p w:rsidR="00401C99" w:rsidRDefault="0069333C">
      <w:r>
        <w:lastRenderedPageBreak/>
        <w:t xml:space="preserve">The converted code must use piecewise-linear interpolation. The map values should be held in one configuration object and may later be replaced by traceable manufacturer, published or experimental </w:t>
      </w:r>
      <w:r>
        <w:t>data without changing the interface or model equations.</w:t>
      </w:r>
    </w:p>
    <w:p w:rsidR="00401C99" w:rsidRDefault="0069333C">
      <w:pPr>
        <w:pStyle w:val="Heading1"/>
      </w:pPr>
      <w:r>
        <w:rPr>
          <w:rFonts w:ascii="Times New Roman" w:hAnsi="Times New Roman"/>
        </w:rPr>
        <w:t>6. Calculation Sequence</w:t>
      </w:r>
    </w:p>
    <w:p w:rsidR="00401C99" w:rsidRDefault="0069333C">
      <w:r>
        <w:rPr>
          <w:b/>
        </w:rPr>
        <w:t xml:space="preserve">Demand profile: </w:t>
      </w:r>
      <w:r>
        <w:t>Calculate steady, gradual or pulsed electrical demand and limit it to 0–45 kW by default.</w:t>
      </w:r>
    </w:p>
    <w:p w:rsidR="00401C99" w:rsidRDefault="0069333C">
      <w:r>
        <w:rPr>
          <w:b/>
        </w:rPr>
        <w:t xml:space="preserve">SOC support: </w:t>
      </w:r>
      <w:r>
        <w:t>Calculate P_SOC = clamp[0.15(60 − SOC), 0, 6].</w:t>
      </w:r>
    </w:p>
    <w:p w:rsidR="00401C99" w:rsidRDefault="0069333C">
      <w:r>
        <w:rPr>
          <w:b/>
        </w:rPr>
        <w:t xml:space="preserve">Generator command: </w:t>
      </w:r>
      <w:r>
        <w:t>Add demand and SOC support, restrict the result between zero and generator rating, then multiply by the enable command.</w:t>
      </w:r>
    </w:p>
    <w:p w:rsidR="00401C99" w:rsidRDefault="0069333C">
      <w:r>
        <w:rPr>
          <w:b/>
        </w:rPr>
        <w:t xml:space="preserve">Dynamic response: </w:t>
      </w:r>
      <w:r>
        <w:t>Apply a one-second transport delay and limit command rise to 8 kW/s and fall to 12 kW/s.</w:t>
      </w:r>
    </w:p>
    <w:p w:rsidR="00401C99" w:rsidRDefault="0069333C">
      <w:r>
        <w:rPr>
          <w:b/>
        </w:rPr>
        <w:t>Map interp</w:t>
      </w:r>
      <w:r>
        <w:rPr>
          <w:b/>
        </w:rPr>
        <w:t xml:space="preserve">olation: </w:t>
      </w:r>
      <w:r>
        <w:t>Calculate load fraction and interpolate generator efficiency, engine speed and BSFC.</w:t>
      </w:r>
    </w:p>
    <w:p w:rsidR="00401C99" w:rsidRDefault="0069333C">
      <w:r>
        <w:rPr>
          <w:b/>
        </w:rPr>
        <w:t xml:space="preserve">Engine conversion: </w:t>
      </w:r>
      <w:r>
        <w:t>Calculate shaft power, engine torque, fuel flow, fuel power and engine efficiency.</w:t>
      </w:r>
    </w:p>
    <w:p w:rsidR="00401C99" w:rsidRDefault="0069333C">
      <w:r>
        <w:rPr>
          <w:b/>
        </w:rPr>
        <w:t xml:space="preserve">Generator conversion: </w:t>
      </w:r>
      <w:r>
        <w:t>Calculate electrical power and generat</w:t>
      </w:r>
      <w:r>
        <w:t>or efficiency subject to the selected rating.</w:t>
      </w:r>
    </w:p>
    <w:p w:rsidR="00401C99" w:rsidRDefault="0069333C">
      <w:r>
        <w:rPr>
          <w:b/>
        </w:rPr>
        <w:t xml:space="preserve">Performance accounting: </w:t>
      </w:r>
      <w:r>
        <w:t>Calculate total fuel-to-electric efficiency, engine loss, generator loss, total loss, utilization, shortfall and residual.</w:t>
      </w:r>
    </w:p>
    <w:p w:rsidR="00401C99" w:rsidRDefault="0069333C">
      <w:r>
        <w:rPr>
          <w:b/>
        </w:rPr>
        <w:t xml:space="preserve">Cumulative results: </w:t>
      </w:r>
      <w:r>
        <w:t>Integrate powers to kWh and fuel flow to gr</w:t>
      </w:r>
      <w:r>
        <w:t>ams.</w:t>
      </w:r>
    </w:p>
    <w:p w:rsidR="00401C99" w:rsidRDefault="0069333C">
      <w:pPr>
        <w:shd w:val="clear" w:color="auto" w:fill="F2F2F2"/>
        <w:spacing w:before="60" w:line="240" w:lineRule="auto"/>
        <w:ind w:left="504" w:right="504"/>
        <w:jc w:val="left"/>
      </w:pPr>
      <w:r>
        <w:rPr>
          <w:rFonts w:ascii="Courier New" w:hAnsi="Courier New"/>
          <w:sz w:val="18"/>
        </w:rPr>
        <w:t>P_demand = selected demand profile</w:t>
      </w:r>
      <w:r>
        <w:rPr>
          <w:rFonts w:ascii="Courier New" w:hAnsi="Courier New"/>
          <w:sz w:val="18"/>
        </w:rPr>
        <w:br/>
        <w:t>P_SOC = clamp[gain × (SOC_target − SOC), 0, P_SOC,max]</w:t>
      </w:r>
      <w:r>
        <w:rPr>
          <w:rFonts w:ascii="Courier New" w:hAnsi="Courier New"/>
          <w:sz w:val="18"/>
        </w:rPr>
        <w:br/>
        <w:t>P_cmd = rateLimit(delay(min(max(P_demand + P_SOC, 0), P_rated) × enable))</w:t>
      </w:r>
      <w:r>
        <w:rPr>
          <w:rFonts w:ascii="Courier New" w:hAnsi="Courier New"/>
          <w:sz w:val="18"/>
        </w:rPr>
        <w:br/>
        <w:t>u = clamp(P_cmd / max(P_rated, epsilon), 0, 1.25)</w:t>
      </w:r>
      <w:r>
        <w:rPr>
          <w:rFonts w:ascii="Courier New" w:hAnsi="Courier New"/>
          <w:sz w:val="18"/>
        </w:rPr>
        <w:br/>
        <w:t>P_shaft = P_cmd / eta_gen(u)</w:t>
      </w:r>
      <w:r>
        <w:rPr>
          <w:rFonts w:ascii="Courier New" w:hAnsi="Courier New"/>
          <w:sz w:val="18"/>
        </w:rPr>
        <w:br/>
        <w:t>T_engine</w:t>
      </w:r>
      <w:r>
        <w:rPr>
          <w:rFonts w:ascii="Courier New" w:hAnsi="Courier New"/>
          <w:sz w:val="18"/>
        </w:rPr>
        <w:t xml:space="preserve"> = 9550 × P_shaft / max(n_engine(u), 1)</w:t>
      </w:r>
      <w:r>
        <w:rPr>
          <w:rFonts w:ascii="Courier New" w:hAnsi="Courier New"/>
          <w:sz w:val="18"/>
        </w:rPr>
        <w:br/>
        <w:t>fuelFlow = BSFC(u) × P_shaft / 3600</w:t>
      </w:r>
      <w:r>
        <w:rPr>
          <w:rFonts w:ascii="Courier New" w:hAnsi="Courier New"/>
          <w:sz w:val="18"/>
        </w:rPr>
        <w:br/>
        <w:t>P_fuel = fuelFlow × LHV</w:t>
      </w:r>
      <w:r>
        <w:rPr>
          <w:rFonts w:ascii="Courier New" w:hAnsi="Courier New"/>
          <w:sz w:val="18"/>
        </w:rPr>
        <w:br/>
        <w:t>P_gen = min(P_shaft × eta_gen(u), P_rated)</w:t>
      </w:r>
      <w:r>
        <w:rPr>
          <w:rFonts w:ascii="Courier New" w:hAnsi="Courier New"/>
          <w:sz w:val="18"/>
        </w:rPr>
        <w:br/>
        <w:t>eta_f2e = P_gen / max(P_fuel, epsilon)</w:t>
      </w:r>
      <w:r>
        <w:rPr>
          <w:rFonts w:ascii="Courier New" w:hAnsi="Courier New"/>
          <w:sz w:val="18"/>
        </w:rPr>
        <w:br/>
        <w:t>P_shortfall = max(P_demand − P_gen, 0)</w:t>
      </w:r>
    </w:p>
    <w:p w:rsidR="00401C99" w:rsidRDefault="0069333C">
      <w:pPr>
        <w:pStyle w:val="Heading1"/>
      </w:pPr>
      <w:r>
        <w:rPr>
          <w:rFonts w:ascii="Times New Roman" w:hAnsi="Times New Roman"/>
        </w:rPr>
        <w:lastRenderedPageBreak/>
        <w:t>7. Outputs Required by the Platform</w:t>
      </w:r>
    </w:p>
    <w:tbl>
      <w:tblPr>
        <w:tblStyle w:val="TableGrid"/>
        <w:tblW w:w="0" w:type="auto"/>
        <w:jc w:val="center"/>
        <w:tblLook w:val="04A0" w:firstRow="1" w:lastRow="0" w:firstColumn="1" w:lastColumn="0" w:noHBand="0" w:noVBand="1"/>
      </w:tblPr>
      <w:tblGrid>
        <w:gridCol w:w="2232"/>
        <w:gridCol w:w="7200"/>
      </w:tblGrid>
      <w:tr w:rsidR="00401C99">
        <w:trPr>
          <w:tblHeader/>
          <w:jc w:val="center"/>
        </w:trPr>
        <w:tc>
          <w:tcPr>
            <w:tcW w:w="2232" w:type="dxa"/>
            <w:shd w:val="clear" w:color="auto" w:fill="1F4E78"/>
            <w:vAlign w:val="center"/>
          </w:tcPr>
          <w:p w:rsidR="00401C99" w:rsidRDefault="0069333C">
            <w:pPr>
              <w:spacing w:after="0"/>
              <w:jc w:val="left"/>
            </w:pPr>
            <w:r>
              <w:rPr>
                <w:b/>
                <w:color w:val="FFFFFF"/>
                <w:sz w:val="20"/>
              </w:rPr>
              <w:t>Output group</w:t>
            </w:r>
          </w:p>
        </w:tc>
        <w:tc>
          <w:tcPr>
            <w:tcW w:w="7200" w:type="dxa"/>
            <w:shd w:val="clear" w:color="auto" w:fill="1F4E78"/>
            <w:vAlign w:val="center"/>
          </w:tcPr>
          <w:p w:rsidR="00401C99" w:rsidRDefault="0069333C">
            <w:pPr>
              <w:spacing w:after="0"/>
              <w:jc w:val="left"/>
            </w:pPr>
            <w:r>
              <w:rPr>
                <w:b/>
                <w:color w:val="FFFFFF"/>
                <w:sz w:val="20"/>
              </w:rPr>
              <w:t>Required quantities</w:t>
            </w:r>
          </w:p>
        </w:tc>
      </w:tr>
      <w:tr w:rsidR="00401C99">
        <w:trPr>
          <w:jc w:val="center"/>
        </w:trPr>
        <w:tc>
          <w:tcPr>
            <w:tcW w:w="2232" w:type="dxa"/>
            <w:vAlign w:val="center"/>
          </w:tcPr>
          <w:p w:rsidR="00401C99" w:rsidRDefault="0069333C">
            <w:pPr>
              <w:spacing w:after="0"/>
              <w:jc w:val="left"/>
            </w:pPr>
            <w:r>
              <w:rPr>
                <w:color w:val="000000"/>
                <w:sz w:val="20"/>
              </w:rPr>
              <w:t>Power</w:t>
            </w:r>
          </w:p>
        </w:tc>
        <w:tc>
          <w:tcPr>
            <w:tcW w:w="7200" w:type="dxa"/>
            <w:vAlign w:val="center"/>
          </w:tcPr>
          <w:p w:rsidR="00401C99" w:rsidRDefault="0069333C">
            <w:pPr>
              <w:spacing w:after="0"/>
              <w:jc w:val="left"/>
            </w:pPr>
            <w:r>
              <w:rPr>
                <w:color w:val="000000"/>
                <w:sz w:val="20"/>
              </w:rPr>
              <w:t>Demand, SOC support, raw command, delayed/ramped command, shaft power, generator power and shortfall.</w:t>
            </w:r>
          </w:p>
        </w:tc>
      </w:tr>
      <w:tr w:rsidR="00401C99">
        <w:trPr>
          <w:jc w:val="center"/>
        </w:trPr>
        <w:tc>
          <w:tcPr>
            <w:tcW w:w="2232" w:type="dxa"/>
            <w:shd w:val="clear" w:color="auto" w:fill="F3F6F8"/>
            <w:vAlign w:val="center"/>
          </w:tcPr>
          <w:p w:rsidR="00401C99" w:rsidRDefault="0069333C">
            <w:pPr>
              <w:spacing w:after="0"/>
              <w:jc w:val="left"/>
            </w:pPr>
            <w:r>
              <w:rPr>
                <w:color w:val="000000"/>
                <w:sz w:val="20"/>
              </w:rPr>
              <w:t>Engine</w:t>
            </w:r>
          </w:p>
        </w:tc>
        <w:tc>
          <w:tcPr>
            <w:tcW w:w="7200" w:type="dxa"/>
            <w:shd w:val="clear" w:color="auto" w:fill="F3F6F8"/>
            <w:vAlign w:val="center"/>
          </w:tcPr>
          <w:p w:rsidR="00401C99" w:rsidRDefault="0069333C">
            <w:pPr>
              <w:spacing w:after="0"/>
              <w:jc w:val="left"/>
            </w:pPr>
            <w:r>
              <w:rPr>
                <w:color w:val="000000"/>
                <w:sz w:val="20"/>
              </w:rPr>
              <w:t>Speed, torque, BSFC, fuel-flow rate, fuel chemical power and engine efficiency.</w:t>
            </w:r>
          </w:p>
        </w:tc>
      </w:tr>
      <w:tr w:rsidR="00401C99">
        <w:trPr>
          <w:jc w:val="center"/>
        </w:trPr>
        <w:tc>
          <w:tcPr>
            <w:tcW w:w="2232" w:type="dxa"/>
            <w:vAlign w:val="center"/>
          </w:tcPr>
          <w:p w:rsidR="00401C99" w:rsidRDefault="0069333C">
            <w:pPr>
              <w:spacing w:after="0"/>
              <w:jc w:val="left"/>
            </w:pPr>
            <w:r>
              <w:rPr>
                <w:color w:val="000000"/>
                <w:sz w:val="20"/>
              </w:rPr>
              <w:t>Generator</w:t>
            </w:r>
          </w:p>
        </w:tc>
        <w:tc>
          <w:tcPr>
            <w:tcW w:w="7200" w:type="dxa"/>
            <w:vAlign w:val="center"/>
          </w:tcPr>
          <w:p w:rsidR="00401C99" w:rsidRDefault="0069333C">
            <w:pPr>
              <w:spacing w:after="0"/>
              <w:jc w:val="left"/>
            </w:pPr>
            <w:r>
              <w:rPr>
                <w:color w:val="000000"/>
                <w:sz w:val="20"/>
              </w:rPr>
              <w:t xml:space="preserve">Efficiency, </w:t>
            </w:r>
            <w:r>
              <w:rPr>
                <w:color w:val="000000"/>
                <w:sz w:val="20"/>
              </w:rPr>
              <w:t>output, rating status and utilization.</w:t>
            </w:r>
          </w:p>
        </w:tc>
      </w:tr>
      <w:tr w:rsidR="00401C99">
        <w:trPr>
          <w:jc w:val="center"/>
        </w:trPr>
        <w:tc>
          <w:tcPr>
            <w:tcW w:w="2232" w:type="dxa"/>
            <w:shd w:val="clear" w:color="auto" w:fill="F3F6F8"/>
            <w:vAlign w:val="center"/>
          </w:tcPr>
          <w:p w:rsidR="00401C99" w:rsidRDefault="0069333C">
            <w:pPr>
              <w:spacing w:after="0"/>
              <w:jc w:val="left"/>
            </w:pPr>
            <w:r>
              <w:rPr>
                <w:color w:val="000000"/>
                <w:sz w:val="20"/>
              </w:rPr>
              <w:t>Loss and balance</w:t>
            </w:r>
          </w:p>
        </w:tc>
        <w:tc>
          <w:tcPr>
            <w:tcW w:w="7200" w:type="dxa"/>
            <w:shd w:val="clear" w:color="auto" w:fill="F3F6F8"/>
            <w:vAlign w:val="center"/>
          </w:tcPr>
          <w:p w:rsidR="00401C99" w:rsidRDefault="0069333C">
            <w:pPr>
              <w:spacing w:after="0"/>
              <w:jc w:val="left"/>
            </w:pPr>
            <w:r>
              <w:rPr>
                <w:color w:val="000000"/>
                <w:sz w:val="20"/>
              </w:rPr>
              <w:t>Engine loss, generator loss, total conversion loss and energy-balance residual.</w:t>
            </w:r>
          </w:p>
        </w:tc>
      </w:tr>
      <w:tr w:rsidR="00401C99">
        <w:trPr>
          <w:jc w:val="center"/>
        </w:trPr>
        <w:tc>
          <w:tcPr>
            <w:tcW w:w="2232" w:type="dxa"/>
            <w:vAlign w:val="center"/>
          </w:tcPr>
          <w:p w:rsidR="00401C99" w:rsidRDefault="0069333C">
            <w:pPr>
              <w:spacing w:after="0"/>
              <w:jc w:val="left"/>
            </w:pPr>
            <w:r>
              <w:rPr>
                <w:color w:val="000000"/>
                <w:sz w:val="20"/>
              </w:rPr>
              <w:t>Cumulative</w:t>
            </w:r>
          </w:p>
        </w:tc>
        <w:tc>
          <w:tcPr>
            <w:tcW w:w="7200" w:type="dxa"/>
            <w:vAlign w:val="center"/>
          </w:tcPr>
          <w:p w:rsidR="00401C99" w:rsidRDefault="0069333C">
            <w:pPr>
              <w:spacing w:after="0"/>
              <w:jc w:val="left"/>
            </w:pPr>
            <w:r>
              <w:rPr>
                <w:color w:val="000000"/>
                <w:sz w:val="20"/>
              </w:rPr>
              <w:t>Generated energy, fuel energy, loss energy, shortfall energy and total fuel used.</w:t>
            </w:r>
          </w:p>
        </w:tc>
      </w:tr>
      <w:tr w:rsidR="00401C99">
        <w:trPr>
          <w:jc w:val="center"/>
        </w:trPr>
        <w:tc>
          <w:tcPr>
            <w:tcW w:w="2232" w:type="dxa"/>
            <w:shd w:val="clear" w:color="auto" w:fill="F3F6F8"/>
            <w:vAlign w:val="center"/>
          </w:tcPr>
          <w:p w:rsidR="00401C99" w:rsidRDefault="0069333C">
            <w:pPr>
              <w:spacing w:after="0"/>
              <w:jc w:val="left"/>
            </w:pPr>
            <w:r>
              <w:rPr>
                <w:color w:val="000000"/>
                <w:sz w:val="20"/>
              </w:rPr>
              <w:t>Integration outputs</w:t>
            </w:r>
          </w:p>
        </w:tc>
        <w:tc>
          <w:tcPr>
            <w:tcW w:w="7200" w:type="dxa"/>
            <w:shd w:val="clear" w:color="auto" w:fill="F3F6F8"/>
            <w:vAlign w:val="center"/>
          </w:tcPr>
          <w:p w:rsidR="00401C99" w:rsidRDefault="0069333C">
            <w:pPr>
              <w:spacing w:after="0"/>
              <w:jc w:val="left"/>
            </w:pPr>
            <w:r>
              <w:rPr>
                <w:color w:val="000000"/>
                <w:sz w:val="20"/>
              </w:rPr>
              <w:t>P_gen_kW, eta_f2e_ratio, fuel_flow_gps, P_shortfall_kW and generator_utilisation_pct.</w:t>
            </w:r>
          </w:p>
        </w:tc>
      </w:tr>
    </w:tbl>
    <w:p w:rsidR="00401C99" w:rsidRDefault="00401C99"/>
    <w:p w:rsidR="00401C99" w:rsidRDefault="0069333C">
      <w:pPr>
        <w:pStyle w:val="Heading1"/>
      </w:pPr>
      <w:r>
        <w:rPr>
          <w:rFonts w:ascii="Times New Roman" w:hAnsi="Times New Roman"/>
        </w:rPr>
        <w:t>8. User-Friendly Interface Expected</w:t>
      </w:r>
    </w:p>
    <w:p w:rsidR="00401C99" w:rsidRDefault="0069333C">
      <w:pPr>
        <w:pStyle w:val="ListBullet"/>
        <w:ind w:left="0"/>
        <w:jc w:val="left"/>
      </w:pPr>
      <w:r>
        <w:t>A simple experiment setup panel with units, defaults, recommended ranges and tooltips.</w:t>
      </w:r>
    </w:p>
    <w:p w:rsidR="00401C99" w:rsidRDefault="0069333C">
      <w:pPr>
        <w:pStyle w:val="ListBullet"/>
        <w:ind w:left="0"/>
        <w:jc w:val="left"/>
      </w:pPr>
      <w:r>
        <w:t xml:space="preserve">Run, pause/resume where supported, reset, </w:t>
      </w:r>
      <w:r>
        <w:t>restore defaults, save scenario and load scenario controls.</w:t>
      </w:r>
    </w:p>
    <w:p w:rsidR="00401C99" w:rsidRDefault="0069333C">
      <w:pPr>
        <w:pStyle w:val="ListBullet"/>
        <w:ind w:left="0"/>
        <w:jc w:val="left"/>
      </w:pPr>
      <w:r>
        <w:t>Live result cards for generated power, fuel-to-electric efficiency, fuel flow, utilization, shortfall, energy and fuel totals.</w:t>
      </w:r>
    </w:p>
    <w:p w:rsidR="00401C99" w:rsidRDefault="0069333C">
      <w:pPr>
        <w:pStyle w:val="ListBullet"/>
        <w:ind w:left="0"/>
        <w:jc w:val="left"/>
      </w:pPr>
      <w:r>
        <w:t>Five scientific chart groups corresponding to the Simulink scopes.</w:t>
      </w:r>
    </w:p>
    <w:p w:rsidR="00401C99" w:rsidRDefault="0069333C">
      <w:pPr>
        <w:pStyle w:val="ListBullet"/>
        <w:ind w:left="0"/>
        <w:jc w:val="left"/>
      </w:pPr>
      <w:r>
        <w:t>CS</w:t>
      </w:r>
      <w:r>
        <w:t>V and JSON export, including model version and all inputs used.</w:t>
      </w:r>
    </w:p>
    <w:p w:rsidR="00401C99" w:rsidRDefault="0069333C">
      <w:pPr>
        <w:pStyle w:val="ListBullet"/>
        <w:ind w:left="0"/>
        <w:jc w:val="left"/>
      </w:pPr>
      <w:r>
        <w:t>Responsive design suitable for a typical laptop and a stacked mobile layout.</w:t>
      </w:r>
    </w:p>
    <w:p w:rsidR="00401C99" w:rsidRDefault="0069333C">
      <w:pPr>
        <w:pStyle w:val="ListBullet"/>
        <w:ind w:left="0"/>
        <w:jc w:val="left"/>
      </w:pPr>
      <w:r>
        <w:t>Visible warnings when the generator rating or demand limit is active.</w:t>
      </w:r>
    </w:p>
    <w:p w:rsidR="00401C99" w:rsidRDefault="0069333C">
      <w:pPr>
        <w:pStyle w:val="Heading1"/>
      </w:pPr>
      <w:r>
        <w:rPr>
          <w:rFonts w:ascii="Times New Roman" w:hAnsi="Times New Roman"/>
        </w:rPr>
        <w:t>9. Suitable Graphical Output</w:t>
      </w:r>
    </w:p>
    <w:p w:rsidR="00401C99" w:rsidRDefault="0069333C">
      <w:r>
        <w:rPr>
          <w:b/>
        </w:rPr>
        <w:t>Recommended prim</w:t>
      </w:r>
      <w:r>
        <w:rPr>
          <w:b/>
        </w:rPr>
        <w:t xml:space="preserve">ary visual: </w:t>
      </w:r>
      <w:r>
        <w:t>a stationary side-view vehicle silhouette containing an animated fuel tank, engine, generator and DC-link/battery connection. Animated arrows should show fuel energy, shaft power and electrical power. Arrow thickness or speed may represent powe</w:t>
      </w:r>
      <w:r>
        <w:t>r level, while component labels show operating status.</w:t>
      </w:r>
    </w:p>
    <w:p w:rsidR="00401C99" w:rsidRDefault="0069333C">
      <w:r>
        <w:rPr>
          <w:b/>
        </w:rPr>
        <w:t xml:space="preserve">Why the car should normally remain stationary: </w:t>
      </w:r>
      <w:r>
        <w:t xml:space="preserve">the present model does not calculate vehicle speed, wheel torque or road motion. A moving car could suggest a result the model does not actually produce. </w:t>
      </w:r>
      <w:r>
        <w:t xml:space="preserve">Vehicle movement may be added later when a separate vehicle-dynamics </w:t>
      </w:r>
      <w:r>
        <w:lastRenderedPageBreak/>
        <w:t>module supplies a genuine speed signal. An illustrative moving car is acceptable only when it is clearly labelled as illustrative.</w:t>
      </w:r>
    </w:p>
    <w:p w:rsidR="00401C99" w:rsidRDefault="0069333C">
      <w:r>
        <w:rPr>
          <w:b/>
        </w:rPr>
        <w:t xml:space="preserve">Mandatory visual proof from Codex: </w:t>
      </w:r>
      <w:r>
        <w:t>desktop screenshot, c</w:t>
      </w:r>
      <w:r>
        <w:t>hanged-scenario screenshot, responsive screenshot and, where the development environment supports it, a short GIF or video showing the animated flow and chart progression.</w:t>
      </w:r>
    </w:p>
    <w:p w:rsidR="00401C99" w:rsidRDefault="0069333C">
      <w:pPr>
        <w:pStyle w:val="Heading1"/>
      </w:pPr>
      <w:r>
        <w:rPr>
          <w:rFonts w:ascii="Times New Roman" w:hAnsi="Times New Roman"/>
        </w:rPr>
        <w:t>10. Baseline Reference for Confirming the Converted Logic</w:t>
      </w:r>
    </w:p>
    <w:p w:rsidR="00401C99" w:rsidRDefault="0069333C">
      <w:r>
        <w:t xml:space="preserve">The programmer should run </w:t>
      </w:r>
      <w:r>
        <w:t>the default gradual-demand case before integrating the module. The following values provide an independent reference for the converted code.</w:t>
      </w:r>
    </w:p>
    <w:tbl>
      <w:tblPr>
        <w:tblStyle w:val="TableGrid"/>
        <w:tblW w:w="0" w:type="auto"/>
        <w:jc w:val="center"/>
        <w:tblLook w:val="04A0" w:firstRow="1" w:lastRow="0" w:firstColumn="1" w:lastColumn="0" w:noHBand="0" w:noVBand="1"/>
      </w:tblPr>
      <w:tblGrid>
        <w:gridCol w:w="3672"/>
        <w:gridCol w:w="2448"/>
        <w:gridCol w:w="2448"/>
      </w:tblGrid>
      <w:tr w:rsidR="00401C99">
        <w:trPr>
          <w:tblHeader/>
          <w:jc w:val="center"/>
        </w:trPr>
        <w:tc>
          <w:tcPr>
            <w:tcW w:w="3672" w:type="dxa"/>
            <w:shd w:val="clear" w:color="auto" w:fill="1F4E78"/>
            <w:vAlign w:val="center"/>
          </w:tcPr>
          <w:p w:rsidR="00401C99" w:rsidRDefault="0069333C">
            <w:pPr>
              <w:spacing w:after="0"/>
              <w:jc w:val="left"/>
            </w:pPr>
            <w:r>
              <w:rPr>
                <w:b/>
                <w:color w:val="FFFFFF"/>
                <w:sz w:val="20"/>
              </w:rPr>
              <w:t>Result</w:t>
            </w:r>
          </w:p>
        </w:tc>
        <w:tc>
          <w:tcPr>
            <w:tcW w:w="2448" w:type="dxa"/>
            <w:shd w:val="clear" w:color="auto" w:fill="1F4E78"/>
            <w:vAlign w:val="center"/>
          </w:tcPr>
          <w:p w:rsidR="00401C99" w:rsidRDefault="0069333C">
            <w:pPr>
              <w:spacing w:after="0"/>
              <w:jc w:val="left"/>
            </w:pPr>
            <w:r>
              <w:rPr>
                <w:b/>
                <w:color w:val="FFFFFF"/>
                <w:sz w:val="20"/>
              </w:rPr>
              <w:t>Reference value</w:t>
            </w:r>
          </w:p>
        </w:tc>
        <w:tc>
          <w:tcPr>
            <w:tcW w:w="2448" w:type="dxa"/>
            <w:shd w:val="clear" w:color="auto" w:fill="1F4E78"/>
            <w:vAlign w:val="center"/>
          </w:tcPr>
          <w:p w:rsidR="00401C99" w:rsidRDefault="0069333C">
            <w:pPr>
              <w:spacing w:after="0"/>
              <w:jc w:val="left"/>
            </w:pPr>
            <w:r>
              <w:rPr>
                <w:b/>
                <w:color w:val="FFFFFF"/>
                <w:sz w:val="20"/>
              </w:rPr>
              <w:t>Suggested tolerance</w:t>
            </w:r>
          </w:p>
        </w:tc>
      </w:tr>
      <w:tr w:rsidR="00401C99">
        <w:trPr>
          <w:jc w:val="center"/>
        </w:trPr>
        <w:tc>
          <w:tcPr>
            <w:tcW w:w="3672" w:type="dxa"/>
            <w:vAlign w:val="center"/>
          </w:tcPr>
          <w:p w:rsidR="00401C99" w:rsidRDefault="0069333C">
            <w:pPr>
              <w:spacing w:after="0"/>
              <w:jc w:val="left"/>
            </w:pPr>
            <w:r>
              <w:rPr>
                <w:color w:val="000000"/>
                <w:sz w:val="20"/>
              </w:rPr>
              <w:t>Generated electrical energy</w:t>
            </w:r>
          </w:p>
        </w:tc>
        <w:tc>
          <w:tcPr>
            <w:tcW w:w="2448" w:type="dxa"/>
            <w:vAlign w:val="center"/>
          </w:tcPr>
          <w:p w:rsidR="00401C99" w:rsidRDefault="0069333C">
            <w:pPr>
              <w:spacing w:after="0"/>
              <w:jc w:val="left"/>
            </w:pPr>
            <w:r>
              <w:rPr>
                <w:color w:val="000000"/>
                <w:sz w:val="20"/>
              </w:rPr>
              <w:t>0.5896 kWh</w:t>
            </w:r>
          </w:p>
        </w:tc>
        <w:tc>
          <w:tcPr>
            <w:tcW w:w="2448" w:type="dxa"/>
            <w:vAlign w:val="center"/>
          </w:tcPr>
          <w:p w:rsidR="00401C99" w:rsidRDefault="0069333C">
            <w:pPr>
              <w:spacing w:after="0"/>
              <w:jc w:val="left"/>
            </w:pPr>
            <w:r>
              <w:rPr>
                <w:color w:val="000000"/>
                <w:sz w:val="20"/>
              </w:rPr>
              <w:t>±1%</w:t>
            </w:r>
          </w:p>
        </w:tc>
      </w:tr>
      <w:tr w:rsidR="00401C99">
        <w:trPr>
          <w:jc w:val="center"/>
        </w:trPr>
        <w:tc>
          <w:tcPr>
            <w:tcW w:w="3672" w:type="dxa"/>
            <w:shd w:val="clear" w:color="auto" w:fill="F3F6F8"/>
            <w:vAlign w:val="center"/>
          </w:tcPr>
          <w:p w:rsidR="00401C99" w:rsidRDefault="0069333C">
            <w:pPr>
              <w:spacing w:after="0"/>
              <w:jc w:val="left"/>
            </w:pPr>
            <w:r>
              <w:rPr>
                <w:color w:val="000000"/>
                <w:sz w:val="20"/>
              </w:rPr>
              <w:t>Fuel energy supplied</w:t>
            </w:r>
          </w:p>
        </w:tc>
        <w:tc>
          <w:tcPr>
            <w:tcW w:w="2448" w:type="dxa"/>
            <w:shd w:val="clear" w:color="auto" w:fill="F3F6F8"/>
            <w:vAlign w:val="center"/>
          </w:tcPr>
          <w:p w:rsidR="00401C99" w:rsidRDefault="0069333C">
            <w:pPr>
              <w:spacing w:after="0"/>
              <w:jc w:val="left"/>
            </w:pPr>
            <w:r>
              <w:rPr>
                <w:color w:val="000000"/>
                <w:sz w:val="20"/>
              </w:rPr>
              <w:t>1.8824</w:t>
            </w:r>
            <w:r>
              <w:rPr>
                <w:color w:val="000000"/>
                <w:sz w:val="20"/>
              </w:rPr>
              <w:t xml:space="preserve"> kWh</w:t>
            </w:r>
          </w:p>
        </w:tc>
        <w:tc>
          <w:tcPr>
            <w:tcW w:w="2448" w:type="dxa"/>
            <w:shd w:val="clear" w:color="auto" w:fill="F3F6F8"/>
            <w:vAlign w:val="center"/>
          </w:tcPr>
          <w:p w:rsidR="00401C99" w:rsidRDefault="0069333C">
            <w:pPr>
              <w:spacing w:after="0"/>
              <w:jc w:val="left"/>
            </w:pPr>
            <w:r>
              <w:rPr>
                <w:color w:val="000000"/>
                <w:sz w:val="20"/>
              </w:rPr>
              <w:t>±1%</w:t>
            </w:r>
          </w:p>
        </w:tc>
      </w:tr>
      <w:tr w:rsidR="00401C99">
        <w:trPr>
          <w:jc w:val="center"/>
        </w:trPr>
        <w:tc>
          <w:tcPr>
            <w:tcW w:w="3672" w:type="dxa"/>
            <w:vAlign w:val="center"/>
          </w:tcPr>
          <w:p w:rsidR="00401C99" w:rsidRDefault="0069333C">
            <w:pPr>
              <w:spacing w:after="0"/>
              <w:jc w:val="left"/>
            </w:pPr>
            <w:r>
              <w:rPr>
                <w:color w:val="000000"/>
                <w:sz w:val="20"/>
              </w:rPr>
              <w:t>Conversion loss energy</w:t>
            </w:r>
          </w:p>
        </w:tc>
        <w:tc>
          <w:tcPr>
            <w:tcW w:w="2448" w:type="dxa"/>
            <w:vAlign w:val="center"/>
          </w:tcPr>
          <w:p w:rsidR="00401C99" w:rsidRDefault="0069333C">
            <w:pPr>
              <w:spacing w:after="0"/>
              <w:jc w:val="left"/>
            </w:pPr>
            <w:r>
              <w:rPr>
                <w:color w:val="000000"/>
                <w:sz w:val="20"/>
              </w:rPr>
              <w:t>1.2928 kWh</w:t>
            </w:r>
          </w:p>
        </w:tc>
        <w:tc>
          <w:tcPr>
            <w:tcW w:w="2448" w:type="dxa"/>
            <w:vAlign w:val="center"/>
          </w:tcPr>
          <w:p w:rsidR="00401C99" w:rsidRDefault="0069333C">
            <w:pPr>
              <w:spacing w:after="0"/>
              <w:jc w:val="left"/>
            </w:pPr>
            <w:r>
              <w:rPr>
                <w:color w:val="000000"/>
                <w:sz w:val="20"/>
              </w:rPr>
              <w:t>±1%</w:t>
            </w:r>
          </w:p>
        </w:tc>
      </w:tr>
      <w:tr w:rsidR="00401C99">
        <w:trPr>
          <w:jc w:val="center"/>
        </w:trPr>
        <w:tc>
          <w:tcPr>
            <w:tcW w:w="3672" w:type="dxa"/>
            <w:shd w:val="clear" w:color="auto" w:fill="F3F6F8"/>
            <w:vAlign w:val="center"/>
          </w:tcPr>
          <w:p w:rsidR="00401C99" w:rsidRDefault="0069333C">
            <w:pPr>
              <w:spacing w:after="0"/>
              <w:jc w:val="left"/>
            </w:pPr>
            <w:r>
              <w:rPr>
                <w:color w:val="000000"/>
                <w:sz w:val="20"/>
              </w:rPr>
              <w:t>Shortfall energy</w:t>
            </w:r>
          </w:p>
        </w:tc>
        <w:tc>
          <w:tcPr>
            <w:tcW w:w="2448" w:type="dxa"/>
            <w:shd w:val="clear" w:color="auto" w:fill="F3F6F8"/>
            <w:vAlign w:val="center"/>
          </w:tcPr>
          <w:p w:rsidR="00401C99" w:rsidRDefault="0069333C">
            <w:pPr>
              <w:spacing w:after="0"/>
              <w:jc w:val="left"/>
            </w:pPr>
            <w:r>
              <w:rPr>
                <w:color w:val="000000"/>
                <w:sz w:val="20"/>
              </w:rPr>
              <w:t>0.01538 kWh</w:t>
            </w:r>
          </w:p>
        </w:tc>
        <w:tc>
          <w:tcPr>
            <w:tcW w:w="2448" w:type="dxa"/>
            <w:shd w:val="clear" w:color="auto" w:fill="F3F6F8"/>
            <w:vAlign w:val="center"/>
          </w:tcPr>
          <w:p w:rsidR="00401C99" w:rsidRDefault="0069333C">
            <w:pPr>
              <w:spacing w:after="0"/>
              <w:jc w:val="left"/>
            </w:pPr>
            <w:r>
              <w:rPr>
                <w:color w:val="000000"/>
                <w:sz w:val="20"/>
              </w:rPr>
              <w:t>±3%</w:t>
            </w:r>
          </w:p>
        </w:tc>
      </w:tr>
      <w:tr w:rsidR="00401C99">
        <w:trPr>
          <w:jc w:val="center"/>
        </w:trPr>
        <w:tc>
          <w:tcPr>
            <w:tcW w:w="3672" w:type="dxa"/>
            <w:vAlign w:val="center"/>
          </w:tcPr>
          <w:p w:rsidR="00401C99" w:rsidRDefault="0069333C">
            <w:pPr>
              <w:spacing w:after="0"/>
              <w:jc w:val="left"/>
            </w:pPr>
            <w:r>
              <w:rPr>
                <w:color w:val="000000"/>
                <w:sz w:val="20"/>
              </w:rPr>
              <w:t>Total fuel used</w:t>
            </w:r>
          </w:p>
        </w:tc>
        <w:tc>
          <w:tcPr>
            <w:tcW w:w="2448" w:type="dxa"/>
            <w:vAlign w:val="center"/>
          </w:tcPr>
          <w:p w:rsidR="00401C99" w:rsidRDefault="0069333C">
            <w:pPr>
              <w:spacing w:after="0"/>
              <w:jc w:val="left"/>
            </w:pPr>
            <w:r>
              <w:rPr>
                <w:color w:val="000000"/>
                <w:sz w:val="20"/>
              </w:rPr>
              <w:t>157.60 g</w:t>
            </w:r>
          </w:p>
        </w:tc>
        <w:tc>
          <w:tcPr>
            <w:tcW w:w="2448" w:type="dxa"/>
            <w:vAlign w:val="center"/>
          </w:tcPr>
          <w:p w:rsidR="00401C99" w:rsidRDefault="0069333C">
            <w:pPr>
              <w:spacing w:after="0"/>
              <w:jc w:val="left"/>
            </w:pPr>
            <w:r>
              <w:rPr>
                <w:color w:val="000000"/>
                <w:sz w:val="20"/>
              </w:rPr>
              <w:t>±1%</w:t>
            </w:r>
          </w:p>
        </w:tc>
      </w:tr>
      <w:tr w:rsidR="00401C99">
        <w:trPr>
          <w:jc w:val="center"/>
        </w:trPr>
        <w:tc>
          <w:tcPr>
            <w:tcW w:w="3672" w:type="dxa"/>
            <w:shd w:val="clear" w:color="auto" w:fill="F3F6F8"/>
            <w:vAlign w:val="center"/>
          </w:tcPr>
          <w:p w:rsidR="00401C99" w:rsidRDefault="0069333C">
            <w:pPr>
              <w:spacing w:after="0"/>
              <w:jc w:val="left"/>
            </w:pPr>
            <w:r>
              <w:rPr>
                <w:color w:val="000000"/>
                <w:sz w:val="20"/>
              </w:rPr>
              <w:t>Case fuel-to-electric efficiency</w:t>
            </w:r>
          </w:p>
        </w:tc>
        <w:tc>
          <w:tcPr>
            <w:tcW w:w="2448" w:type="dxa"/>
            <w:shd w:val="clear" w:color="auto" w:fill="F3F6F8"/>
            <w:vAlign w:val="center"/>
          </w:tcPr>
          <w:p w:rsidR="00401C99" w:rsidRDefault="0069333C">
            <w:pPr>
              <w:spacing w:after="0"/>
              <w:jc w:val="left"/>
            </w:pPr>
            <w:r>
              <w:rPr>
                <w:color w:val="000000"/>
                <w:sz w:val="20"/>
              </w:rPr>
              <w:t>31.32%</w:t>
            </w:r>
          </w:p>
        </w:tc>
        <w:tc>
          <w:tcPr>
            <w:tcW w:w="2448" w:type="dxa"/>
            <w:shd w:val="clear" w:color="auto" w:fill="F3F6F8"/>
            <w:vAlign w:val="center"/>
          </w:tcPr>
          <w:p w:rsidR="00401C99" w:rsidRDefault="0069333C">
            <w:pPr>
              <w:spacing w:after="0"/>
              <w:jc w:val="left"/>
            </w:pPr>
            <w:r>
              <w:rPr>
                <w:color w:val="000000"/>
                <w:sz w:val="20"/>
              </w:rPr>
              <w:t>±0.5 percentage point</w:t>
            </w:r>
          </w:p>
        </w:tc>
      </w:tr>
      <w:tr w:rsidR="00401C99">
        <w:trPr>
          <w:jc w:val="center"/>
        </w:trPr>
        <w:tc>
          <w:tcPr>
            <w:tcW w:w="3672" w:type="dxa"/>
            <w:vAlign w:val="center"/>
          </w:tcPr>
          <w:p w:rsidR="00401C99" w:rsidRDefault="0069333C">
            <w:pPr>
              <w:spacing w:after="0"/>
              <w:jc w:val="left"/>
            </w:pPr>
            <w:r>
              <w:rPr>
                <w:color w:val="000000"/>
                <w:sz w:val="20"/>
              </w:rPr>
              <w:t>Maximum generated power</w:t>
            </w:r>
          </w:p>
        </w:tc>
        <w:tc>
          <w:tcPr>
            <w:tcW w:w="2448" w:type="dxa"/>
            <w:vAlign w:val="center"/>
          </w:tcPr>
          <w:p w:rsidR="00401C99" w:rsidRDefault="0069333C">
            <w:pPr>
              <w:spacing w:after="0"/>
              <w:jc w:val="left"/>
            </w:pPr>
            <w:r>
              <w:rPr>
                <w:color w:val="000000"/>
                <w:sz w:val="20"/>
              </w:rPr>
              <w:t>22.50 kW</w:t>
            </w:r>
          </w:p>
        </w:tc>
        <w:tc>
          <w:tcPr>
            <w:tcW w:w="2448" w:type="dxa"/>
            <w:vAlign w:val="center"/>
          </w:tcPr>
          <w:p w:rsidR="00401C99" w:rsidRDefault="0069333C">
            <w:pPr>
              <w:spacing w:after="0"/>
              <w:jc w:val="left"/>
            </w:pPr>
            <w:r>
              <w:rPr>
                <w:color w:val="000000"/>
                <w:sz w:val="20"/>
              </w:rPr>
              <w:t>±0.05 kW</w:t>
            </w:r>
          </w:p>
        </w:tc>
      </w:tr>
      <w:tr w:rsidR="00401C99">
        <w:trPr>
          <w:jc w:val="center"/>
        </w:trPr>
        <w:tc>
          <w:tcPr>
            <w:tcW w:w="3672" w:type="dxa"/>
            <w:shd w:val="clear" w:color="auto" w:fill="F3F6F8"/>
            <w:vAlign w:val="center"/>
          </w:tcPr>
          <w:p w:rsidR="00401C99" w:rsidRDefault="0069333C">
            <w:pPr>
              <w:spacing w:after="0"/>
              <w:jc w:val="left"/>
            </w:pPr>
            <w:r>
              <w:rPr>
                <w:color w:val="000000"/>
                <w:sz w:val="20"/>
              </w:rPr>
              <w:t>Average generator utilization</w:t>
            </w:r>
          </w:p>
        </w:tc>
        <w:tc>
          <w:tcPr>
            <w:tcW w:w="2448" w:type="dxa"/>
            <w:shd w:val="clear" w:color="auto" w:fill="F3F6F8"/>
            <w:vAlign w:val="center"/>
          </w:tcPr>
          <w:p w:rsidR="00401C99" w:rsidRDefault="0069333C">
            <w:pPr>
              <w:spacing w:after="0"/>
              <w:jc w:val="left"/>
            </w:pPr>
            <w:r>
              <w:rPr>
                <w:color w:val="000000"/>
                <w:sz w:val="20"/>
              </w:rPr>
              <w:t>58.96%</w:t>
            </w:r>
          </w:p>
        </w:tc>
        <w:tc>
          <w:tcPr>
            <w:tcW w:w="2448" w:type="dxa"/>
            <w:shd w:val="clear" w:color="auto" w:fill="F3F6F8"/>
            <w:vAlign w:val="center"/>
          </w:tcPr>
          <w:p w:rsidR="00401C99" w:rsidRDefault="0069333C">
            <w:pPr>
              <w:spacing w:after="0"/>
              <w:jc w:val="left"/>
            </w:pPr>
            <w:r>
              <w:rPr>
                <w:color w:val="000000"/>
                <w:sz w:val="20"/>
              </w:rPr>
              <w:t>±1 percentage point</w:t>
            </w:r>
          </w:p>
        </w:tc>
      </w:tr>
      <w:tr w:rsidR="00401C99">
        <w:trPr>
          <w:jc w:val="center"/>
        </w:trPr>
        <w:tc>
          <w:tcPr>
            <w:tcW w:w="3672" w:type="dxa"/>
            <w:vAlign w:val="center"/>
          </w:tcPr>
          <w:p w:rsidR="00401C99" w:rsidRDefault="0069333C">
            <w:pPr>
              <w:spacing w:after="0"/>
              <w:jc w:val="left"/>
            </w:pPr>
            <w:r>
              <w:rPr>
                <w:color w:val="000000"/>
                <w:sz w:val="20"/>
              </w:rPr>
              <w:t>Maximum energy residual</w:t>
            </w:r>
          </w:p>
        </w:tc>
        <w:tc>
          <w:tcPr>
            <w:tcW w:w="2448" w:type="dxa"/>
            <w:vAlign w:val="center"/>
          </w:tcPr>
          <w:p w:rsidR="00401C99" w:rsidRDefault="0069333C">
            <w:pPr>
              <w:spacing w:after="0"/>
              <w:jc w:val="left"/>
            </w:pPr>
            <w:r>
              <w:rPr>
                <w:color w:val="000000"/>
                <w:sz w:val="20"/>
              </w:rPr>
              <w:t>Approximately zero</w:t>
            </w:r>
          </w:p>
        </w:tc>
        <w:tc>
          <w:tcPr>
            <w:tcW w:w="2448" w:type="dxa"/>
            <w:vAlign w:val="center"/>
          </w:tcPr>
          <w:p w:rsidR="00401C99" w:rsidRDefault="0069333C">
            <w:pPr>
              <w:spacing w:after="0"/>
              <w:jc w:val="left"/>
            </w:pPr>
            <w:r>
              <w:rPr>
                <w:color w:val="000000"/>
                <w:sz w:val="20"/>
              </w:rPr>
              <w:t>&lt; 1×10⁻⁹ kW where practical</w:t>
            </w:r>
          </w:p>
        </w:tc>
      </w:tr>
    </w:tbl>
    <w:p w:rsidR="00401C99" w:rsidRDefault="00401C99"/>
    <w:p w:rsidR="00401C99" w:rsidRDefault="0069333C">
      <w:pPr>
        <w:pStyle w:val="Heading1"/>
      </w:pPr>
      <w:r>
        <w:rPr>
          <w:rFonts w:ascii="Times New Roman" w:hAnsi="Times New Roman"/>
        </w:rPr>
        <w:t>11. Integration Contract</w:t>
      </w:r>
    </w:p>
    <w:p w:rsidR="00401C99" w:rsidRDefault="0069333C">
      <w:r>
        <w:t xml:space="preserve">The numerical core should support a full scenario method and a step method. This allows the same logic to run a complete experiment or </w:t>
      </w:r>
      <w:r>
        <w:t>receive live demand and SOC values from another model.</w:t>
      </w:r>
    </w:p>
    <w:p w:rsidR="00401C99" w:rsidRDefault="0069333C">
      <w:pPr>
        <w:shd w:val="clear" w:color="auto" w:fill="F2F2F2"/>
        <w:spacing w:before="60" w:line="240" w:lineRule="auto"/>
        <w:ind w:left="504" w:right="504"/>
        <w:jc w:val="left"/>
      </w:pPr>
      <w:r>
        <w:rPr>
          <w:rFonts w:ascii="Courier New" w:hAnsi="Courier New"/>
          <w:sz w:val="18"/>
        </w:rPr>
        <w:t>simulate(config, maps?) -&gt; complete time series and summary</w:t>
      </w:r>
      <w:r>
        <w:rPr>
          <w:rFonts w:ascii="Courier New" w:hAnsi="Courier New"/>
          <w:sz w:val="18"/>
        </w:rPr>
        <w:br/>
        <w:t>initialize(config, maps?) -&gt; model state</w:t>
      </w:r>
      <w:r>
        <w:rPr>
          <w:rFonts w:ascii="Courier New" w:hAnsi="Courier New"/>
          <w:sz w:val="18"/>
        </w:rPr>
        <w:br/>
        <w:t>step(state, externalInput, dt) -&gt; updated state and current output</w:t>
      </w:r>
      <w:r>
        <w:rPr>
          <w:rFonts w:ascii="Courier New" w:hAnsi="Courier New"/>
          <w:sz w:val="18"/>
        </w:rPr>
        <w:br/>
        <w:t>reset(state, config) -&gt; clean mod</w:t>
      </w:r>
      <w:r>
        <w:rPr>
          <w:rFonts w:ascii="Courier New" w:hAnsi="Courier New"/>
          <w:sz w:val="18"/>
        </w:rPr>
        <w:t>el state</w:t>
      </w:r>
    </w:p>
    <w:p w:rsidR="00401C99" w:rsidRDefault="0069333C">
      <w:r>
        <w:t>At minimum, the platform adapter must preserve the following root signal names:</w:t>
      </w:r>
    </w:p>
    <w:p w:rsidR="00401C99" w:rsidRDefault="0069333C">
      <w:pPr>
        <w:pStyle w:val="ListBullet"/>
        <w:ind w:left="0"/>
        <w:jc w:val="left"/>
      </w:pPr>
      <w:r>
        <w:t>P_gen_kW</w:t>
      </w:r>
    </w:p>
    <w:p w:rsidR="00401C99" w:rsidRDefault="0069333C">
      <w:pPr>
        <w:pStyle w:val="ListBullet"/>
        <w:ind w:left="0"/>
        <w:jc w:val="left"/>
      </w:pPr>
      <w:r>
        <w:lastRenderedPageBreak/>
        <w:t>eta_f2e_ratio</w:t>
      </w:r>
    </w:p>
    <w:p w:rsidR="00401C99" w:rsidRDefault="0069333C">
      <w:pPr>
        <w:pStyle w:val="ListBullet"/>
        <w:ind w:left="0"/>
        <w:jc w:val="left"/>
      </w:pPr>
      <w:r>
        <w:t>fuel_flow_gps</w:t>
      </w:r>
    </w:p>
    <w:p w:rsidR="00401C99" w:rsidRDefault="0069333C">
      <w:pPr>
        <w:pStyle w:val="ListBullet"/>
        <w:ind w:left="0"/>
        <w:jc w:val="left"/>
      </w:pPr>
      <w:r>
        <w:t>P_shortfall_kW</w:t>
      </w:r>
    </w:p>
    <w:p w:rsidR="00401C99" w:rsidRDefault="0069333C">
      <w:pPr>
        <w:pStyle w:val="ListBullet"/>
        <w:ind w:left="0"/>
        <w:jc w:val="left"/>
      </w:pPr>
      <w:r>
        <w:t>generator_utilisation_pct</w:t>
      </w:r>
    </w:p>
    <w:p w:rsidR="00401C99" w:rsidRDefault="0069333C">
      <w:pPr>
        <w:pStyle w:val="Heading1"/>
      </w:pPr>
      <w:r>
        <w:rPr>
          <w:rFonts w:ascii="Times New Roman" w:hAnsi="Times New Roman"/>
        </w:rPr>
        <w:t>12. How to Hand This Work to Codex</w:t>
      </w:r>
    </w:p>
    <w:p w:rsidR="00401C99" w:rsidRDefault="0069333C">
      <w:pPr>
        <w:pStyle w:val="ListNumber"/>
        <w:jc w:val="left"/>
      </w:pPr>
      <w:r>
        <w:t>Place the Codex implementation brief at the root of th</w:t>
      </w:r>
      <w:r>
        <w:t>e virtual-platform repository.</w:t>
      </w:r>
    </w:p>
    <w:p w:rsidR="00401C99" w:rsidRDefault="0069333C">
      <w:pPr>
        <w:pStyle w:val="ListNumber"/>
        <w:jc w:val="left"/>
      </w:pPr>
      <w:r>
        <w:t>Place the SLX and the existing model guide in a documentation or reference folder, if the repository permits binary reference files.</w:t>
      </w:r>
    </w:p>
    <w:p w:rsidR="00401C99" w:rsidRDefault="0069333C">
      <w:pPr>
        <w:pStyle w:val="ListNumber"/>
        <w:jc w:val="left"/>
      </w:pPr>
      <w:r>
        <w:t>Replace the placeholder conversation URL in the Codex brief with the Share link from this co</w:t>
      </w:r>
      <w:r>
        <w:t>nversation.</w:t>
      </w:r>
    </w:p>
    <w:p w:rsidR="00401C99" w:rsidRDefault="0069333C">
      <w:pPr>
        <w:pStyle w:val="ListNumber"/>
        <w:jc w:val="left"/>
      </w:pPr>
      <w:r>
        <w:t>Give Codex a direct instruction to implement every requirement in CODEX_BUILD_ENGINE_GENERATOR_VIRTUAL_LAB.md using the existing repository architecture.</w:t>
      </w:r>
    </w:p>
    <w:p w:rsidR="00401C99" w:rsidRDefault="0069333C">
      <w:pPr>
        <w:pStyle w:val="ListNumber"/>
        <w:jc w:val="left"/>
      </w:pPr>
      <w:r>
        <w:t xml:space="preserve">Require Codex to run the repository’s normal tests, compare the baseline case and provide </w:t>
      </w:r>
      <w:r>
        <w:t>visual proof before reporting completion.</w:t>
      </w:r>
    </w:p>
    <w:p w:rsidR="00401C99" w:rsidRDefault="0069333C">
      <w:pPr>
        <w:pStyle w:val="ListNumber"/>
        <w:jc w:val="left"/>
      </w:pPr>
      <w:r>
        <w:t>Review the equations, units and visual labels before merging the implementation into the main platform.</w:t>
      </w:r>
    </w:p>
    <w:p w:rsidR="00401C99" w:rsidRDefault="0069333C">
      <w:pPr>
        <w:pStyle w:val="Heading1"/>
      </w:pPr>
      <w:r>
        <w:rPr>
          <w:rFonts w:ascii="Times New Roman" w:hAnsi="Times New Roman"/>
        </w:rPr>
        <w:t>13. Programmer Acceptance Checklist</w:t>
      </w:r>
    </w:p>
    <w:p w:rsidR="00401C99" w:rsidRDefault="0069333C">
      <w:pPr>
        <w:ind w:left="288"/>
      </w:pPr>
      <w:r>
        <w:rPr>
          <w:sz w:val="22"/>
        </w:rPr>
        <w:t>☐</w:t>
      </w:r>
      <w:r>
        <w:rPr>
          <w:sz w:val="22"/>
        </w:rPr>
        <w:t xml:space="preserve"> One authoritative model core exists and has no UI dependencies.</w:t>
      </w:r>
    </w:p>
    <w:p w:rsidR="00401C99" w:rsidRDefault="0069333C">
      <w:pPr>
        <w:ind w:left="288"/>
      </w:pPr>
      <w:r>
        <w:rPr>
          <w:sz w:val="22"/>
        </w:rPr>
        <w:t>☐</w:t>
      </w:r>
      <w:r>
        <w:rPr>
          <w:sz w:val="22"/>
        </w:rPr>
        <w:t xml:space="preserve"> All si</w:t>
      </w:r>
      <w:r>
        <w:rPr>
          <w:sz w:val="22"/>
        </w:rPr>
        <w:t>x basic inputs and all advanced constants are represented with units.</w:t>
      </w:r>
    </w:p>
    <w:p w:rsidR="00401C99" w:rsidRDefault="0069333C">
      <w:pPr>
        <w:ind w:left="288"/>
      </w:pPr>
      <w:r>
        <w:rPr>
          <w:sz w:val="22"/>
        </w:rPr>
        <w:t>☐</w:t>
      </w:r>
      <w:r>
        <w:rPr>
          <w:sz w:val="22"/>
        </w:rPr>
        <w:t xml:space="preserve"> The three demand profiles match the specified equations.</w:t>
      </w:r>
    </w:p>
    <w:p w:rsidR="00401C99" w:rsidRDefault="0069333C">
      <w:pPr>
        <w:ind w:left="288"/>
      </w:pPr>
      <w:r>
        <w:rPr>
          <w:sz w:val="22"/>
        </w:rPr>
        <w:t>☐</w:t>
      </w:r>
      <w:r>
        <w:rPr>
          <w:sz w:val="22"/>
        </w:rPr>
        <w:t xml:space="preserve"> Delay, ramp limits, rating limits and map interpolation are implemented.</w:t>
      </w:r>
    </w:p>
    <w:p w:rsidR="00401C99" w:rsidRDefault="0069333C">
      <w:pPr>
        <w:ind w:left="288"/>
      </w:pPr>
      <w:r>
        <w:rPr>
          <w:sz w:val="22"/>
        </w:rPr>
        <w:t>☐</w:t>
      </w:r>
      <w:r>
        <w:rPr>
          <w:sz w:val="22"/>
        </w:rPr>
        <w:t xml:space="preserve"> The baseline case matches the reference values wit</w:t>
      </w:r>
      <w:r>
        <w:rPr>
          <w:sz w:val="22"/>
        </w:rPr>
        <w:t>hin tolerance.</w:t>
      </w:r>
    </w:p>
    <w:p w:rsidR="00401C99" w:rsidRDefault="0069333C">
      <w:pPr>
        <w:ind w:left="288"/>
      </w:pPr>
      <w:r>
        <w:rPr>
          <w:sz w:val="22"/>
        </w:rPr>
        <w:t>☐</w:t>
      </w:r>
      <w:r>
        <w:rPr>
          <w:sz w:val="22"/>
        </w:rPr>
        <w:t xml:space="preserve"> No NaN or infinite values appear for valid inputs.</w:t>
      </w:r>
    </w:p>
    <w:p w:rsidR="00401C99" w:rsidRDefault="0069333C">
      <w:pPr>
        <w:ind w:left="288"/>
      </w:pPr>
      <w:r>
        <w:rPr>
          <w:sz w:val="22"/>
        </w:rPr>
        <w:t>☐</w:t>
      </w:r>
      <w:r>
        <w:rPr>
          <w:sz w:val="22"/>
        </w:rPr>
        <w:t xml:space="preserve"> The five standard platform outputs are available.</w:t>
      </w:r>
    </w:p>
    <w:p w:rsidR="00401C99" w:rsidRDefault="0069333C">
      <w:pPr>
        <w:ind w:left="288"/>
      </w:pPr>
      <w:r>
        <w:rPr>
          <w:sz w:val="22"/>
        </w:rPr>
        <w:t>☐</w:t>
      </w:r>
      <w:r>
        <w:rPr>
          <w:sz w:val="22"/>
        </w:rPr>
        <w:t xml:space="preserve"> The interface provides clear charts, live values and exports.</w:t>
      </w:r>
    </w:p>
    <w:p w:rsidR="00401C99" w:rsidRDefault="0069333C">
      <w:pPr>
        <w:ind w:left="288"/>
      </w:pPr>
      <w:r>
        <w:rPr>
          <w:sz w:val="22"/>
        </w:rPr>
        <w:t>☐</w:t>
      </w:r>
      <w:r>
        <w:rPr>
          <w:sz w:val="22"/>
        </w:rPr>
        <w:t xml:space="preserve"> The animated visual shows fuel, shaft and electrical energy correctly.</w:t>
      </w:r>
    </w:p>
    <w:p w:rsidR="00401C99" w:rsidRDefault="0069333C">
      <w:pPr>
        <w:ind w:left="288"/>
      </w:pPr>
      <w:r>
        <w:rPr>
          <w:sz w:val="22"/>
        </w:rPr>
        <w:lastRenderedPageBreak/>
        <w:t>☐</w:t>
      </w:r>
      <w:r>
        <w:rPr>
          <w:sz w:val="22"/>
        </w:rPr>
        <w:t xml:space="preserve"> A moving car is not presented as a calculated result unless vehicle speed is supplied by another model.</w:t>
      </w:r>
    </w:p>
    <w:p w:rsidR="00401C99" w:rsidRDefault="0069333C">
      <w:pPr>
        <w:ind w:left="288"/>
      </w:pPr>
      <w:r>
        <w:rPr>
          <w:sz w:val="22"/>
        </w:rPr>
        <w:t>☐</w:t>
      </w:r>
      <w:r>
        <w:rPr>
          <w:sz w:val="22"/>
        </w:rPr>
        <w:t xml:space="preserve"> Screenshots and an animation or equivalent visual proof are supplied.</w:t>
      </w:r>
    </w:p>
    <w:p w:rsidR="00401C99" w:rsidRDefault="0069333C">
      <w:pPr>
        <w:ind w:left="288"/>
      </w:pPr>
      <w:r>
        <w:rPr>
          <w:sz w:val="22"/>
        </w:rPr>
        <w:t>☐</w:t>
      </w:r>
      <w:r>
        <w:rPr>
          <w:sz w:val="22"/>
        </w:rPr>
        <w:t xml:space="preserve"> Assumptions, map sources, version and limitations are documented.</w:t>
      </w:r>
    </w:p>
    <w:tbl>
      <w:tblPr>
        <w:tblW w:w="0" w:type="auto"/>
        <w:tblLook w:val="04A0" w:firstRow="1" w:lastRow="0" w:firstColumn="1" w:lastColumn="0" w:noHBand="0" w:noVBand="1"/>
      </w:tblPr>
      <w:tblGrid>
        <w:gridCol w:w="9360"/>
      </w:tblGrid>
      <w:tr w:rsidR="00401C99">
        <w:trPr>
          <w:tblHeader/>
        </w:trPr>
        <w:tc>
          <w:tcPr>
            <w:tcW w:w="9360" w:type="dxa"/>
            <w:shd w:val="clear" w:color="auto" w:fill="D9EAF7"/>
          </w:tcPr>
          <w:p w:rsidR="00401C99" w:rsidRDefault="0069333C">
            <w:pPr>
              <w:jc w:val="left"/>
            </w:pPr>
            <w:r>
              <w:rPr>
                <w:b/>
                <w:sz w:val="22"/>
              </w:rPr>
              <w:t xml:space="preserve">Expected </w:t>
            </w:r>
            <w:r>
              <w:rPr>
                <w:b/>
                <w:sz w:val="22"/>
              </w:rPr>
              <w:t>final outcome</w:t>
            </w:r>
            <w:r>
              <w:rPr>
                <w:b/>
                <w:sz w:val="22"/>
              </w:rPr>
              <w:br/>
            </w:r>
            <w:r>
              <w:rPr>
                <w:sz w:val="20"/>
              </w:rPr>
              <w:t>A user can open the engine–generator module in the virtual laboratory, change operating conditions, run the model, watch the energy conversion, inspect scientific charts, export evidence and pass standard outputs to other models. The interfac</w:t>
            </w:r>
            <w:r>
              <w:rPr>
                <w:sz w:val="20"/>
              </w:rPr>
              <w:t>e must explain the model rather than hide it.</w:t>
            </w:r>
          </w:p>
        </w:tc>
      </w:tr>
    </w:tbl>
    <w:p w:rsidR="0069333C" w:rsidRDefault="0069333C"/>
    <w:sectPr w:rsidR="0069333C"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333C" w:rsidRDefault="0069333C">
      <w:pPr>
        <w:spacing w:after="0" w:line="240" w:lineRule="auto"/>
      </w:pPr>
      <w:r>
        <w:separator/>
      </w:r>
    </w:p>
  </w:endnote>
  <w:endnote w:type="continuationSeparator" w:id="0">
    <w:p w:rsidR="0069333C" w:rsidRDefault="00693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C99" w:rsidRDefault="0069333C">
    <w:pPr>
      <w:pStyle w:val="Footer"/>
      <w:jc w:val="center"/>
    </w:pPr>
    <w:r>
      <w:fldChar w:fldCharType="begin"/>
    </w:r>
    <w:r>
      <w:instrText xml:space="preserve"> PAGE </w:instrText>
    </w:r>
    <w:r w:rsidR="00394A98">
      <w:fldChar w:fldCharType="separate"/>
    </w:r>
    <w:r w:rsidR="00394A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333C" w:rsidRDefault="0069333C">
      <w:pPr>
        <w:spacing w:after="0" w:line="240" w:lineRule="auto"/>
      </w:pPr>
      <w:r>
        <w:separator/>
      </w:r>
    </w:p>
  </w:footnote>
  <w:footnote w:type="continuationSeparator" w:id="0">
    <w:p w:rsidR="0069333C" w:rsidRDefault="00693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4A98"/>
    <w:rsid w:val="00401C99"/>
    <w:rsid w:val="006933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54B374E-351D-48BA-A611-CE8223A4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70130-6DB8-4F19-A197-B74924706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Engine–Generator Virtual Platform Programmer Guide</dc:title>
  <dc:subject>Implementation guide for conversion of the Simulink engine–generator model into a virtual laboratory module</dc:subject>
  <dc:creator>OpenAI</dc:creator>
  <cp:keywords>engine-generator, fuel-to-electric, virtual laboratory, Simulink, Codex, interface</cp:keywords>
  <dc:description>generated by python-docx</dc:description>
  <cp:lastModifiedBy>THE PLUG</cp:lastModifiedBy>
  <cp:revision>2</cp:revision>
  <dcterms:created xsi:type="dcterms:W3CDTF">2013-12-23T23:15:00Z</dcterms:created>
  <dcterms:modified xsi:type="dcterms:W3CDTF">2026-10-24T16:45:00Z</dcterms:modified>
  <cp:category/>
</cp:coreProperties>
</file>