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CHAPTER ONE</w:t>
      </w:r>
    </w:p>
    <w:p>
      <w:pPr>
        <w:pStyle w:val="ChapterTitle"/>
        <w:spacing w:after="360"/>
      </w:pPr>
      <w:r>
        <w:t>INTRODUCTION</w:t>
      </w:r>
    </w:p>
    <w:p>
      <w:pPr>
        <w:pStyle w:val="Heading1"/>
      </w:pPr>
      <w:r>
        <w:t>1.1 Background to the Study</w:t>
      </w:r>
    </w:p>
    <w:p>
      <w:pPr>
        <w:keepLines w:val="0"/>
        <w:ind w:firstLine="720"/>
      </w:pPr>
      <w:r>
        <w:t>Automotive engineering becomes clearer when classroom explanations are connected to observable system behaviour. A student may understand the definition of braking force, battery state of charge, air-fuel ratio, suspension movement or wheel slip, but still needs to see how the variables interact before the principle becomes meaningful. Practical learning therefore remains essential because it allows students to relate equations to results, compare expected and observed behaviour, interpret evidence and communicate technical findings. Feisel and Rosa (2005) explain that engineering laboratories support several outcomes, including experimentation, data analysis, model interpretation, design judgement and recognition of practical limitations.</w:t>
      </w:r>
    </w:p>
    <w:p>
      <w:pPr>
        <w:keepLines w:val="0"/>
        <w:ind w:firstLine="720"/>
      </w:pPr>
      <w:r>
        <w:t>The proposed ATU Virtual Laboratory Management Platform is a web-based educational environment intended to support this connection. It brings together practical questions, approved demonstrations or simulations, student outputs, assessment records and the people responsible for the learning process. It is not an industrial research platform. Industrial research may involve product development, calibration, certification, high-fidelity testing or the production of new engineering knowledge. This platform has a more defined academic purpose: to demonstrate established automotive principles, guide students through practical tasks and provide evidence for educational assessment. Its outputs must therefore not be used to certify a vehicle, validate a safety-critical controller or replace proper industrial testing.</w:t>
      </w:r>
    </w:p>
    <w:p>
      <w:pPr>
        <w:keepLines w:val="0"/>
        <w:ind w:firstLine="720"/>
      </w:pPr>
      <w:r>
        <w:t>The virtual laboratory is also not meant to replace theory or physical workshop experience. Every demonstration must be based on known formulas, accepted relationships, empirical maps or validated datasets. The web interface only makes the effect of those relationships easier to observe. It can help a learner change a permitted input, view the resulting graph, value, gauge or animation and explain why the response occurred. However, a model remains a simplified representation and cannot reproduce every real loss, disturbance, manufacturing variation or sensory experience. Research generally supports virtual laboratories as useful for access, repetition and conceptual understanding, while continuing to recognise the importance of hands-on work for physical measurement, manipulation and practical skill (Ma &amp; Nickerson, 2006; de Jong, Linn, &amp; Zacharia, 2013; Brinson, 2015; Faulconer &amp; Gruss, 2018; Kapici, Akcay, &amp; de Jong, 2019; Li &amp; Liang, 2024). The proposed platform is therefore a supporting layer before, between and after scheduled practical sessions.</w:t>
      </w:r>
    </w:p>
    <w:p>
      <w:pPr>
        <w:keepLines w:val="0"/>
        <w:ind w:firstLine="720"/>
      </w:pPr>
      <w:r>
        <w:t>Within that supporting role, lecturers can modify tasks according to the learning result they want students to demonstrate. The flexibility is controlled rather than unlimited. A lecturer can select an approved model, define the question, identify the variables that may be changed, set valid parameter ranges and specify the evidence to be submitted. The underlying formulas, assumptions and operating limits remain defined. Each activity can also retain a work trail, including the model and version used, input values, run identifier, date and duration, saved plots or metrics, uploaded files, revisions and final submission status. This makes the basis of a student's answer more visible than an isolated screenshot or result.</w:t>
      </w:r>
    </w:p>
    <w:p>
      <w:pPr>
        <w:keepLines w:val="0"/>
        <w:ind w:firstLine="720"/>
      </w:pPr>
      <w:r>
        <w:t>The platform architecture is organised around Administrator, Lecturer and Student workspaces, supported by a shared database. The Welcome page provides the platform identity, General Help, registration and sign-in. Students and lecturers register through the web interface and remain in a Pending Approval state until their details are verified; Administrator accounts are not created through public registration. The Administrator workspace covers account approval, academic structure, course access, platform integration, notifications, reports, password-reset support and the activity log. The Lecturer workspace provides pages for creating and organising questions, assigning an approved practical resource, defining required outputs, reviewing submissions and resubmissions, grading, giving feedback and releasing or exporting results. The Student workspace presents assigned tasks, deadlines, approved demonstration resources, saved sessions, submissions, notifications, feedback and released results. A Virtual Modelling and Demonstration page will be integrated as the controlled entry point to approved technical demonstrations, while the design and validation of individual models remain outside the scope of this study. Across the three workspaces, notifications and audit records preserve the sequence from assignment creation through practical activity, upload, assessment and result release.</w:t>
      </w:r>
    </w:p>
    <w:p>
      <w:pPr>
        <w:keepLines w:val="0"/>
        <w:ind w:firstLine="720"/>
      </w:pPr>
      <w:r>
        <w:t>Similar initiatives show why a virtual experiment is stronger when it is placed inside a structured learning process. The Go-Lab project connected online laboratories to guided inquiry spaces (de Jong, Sotiriou, &amp; Gillet, 2014), while India's Virtual Labs project widened access to engineering experiments beyond normal laboratory constraints (Bose, 2013). More recent studies have also discussed virtual experiments within learning-management environments and the use of activity records to understand participation and progress (Elmoazen et al., 2023; Zhang &amp; Liu, 2024). The present study applies these ideas to the management of automotive practical assessment. Accra Technical University is used as the initial case so that the proposed process can be designed and examined within a real automotive engineering teaching environment. The proposed web platform does not suggest that existing practical facilities are absent; it provides an organised way to extend practical learning beyond the time and place of a scheduled session and leaves room for other courses to integrate their own approved practical resources in the future.</w:t>
      </w:r>
    </w:p>
    <w:p>
      <w:pPr>
        <w:keepNext/>
        <w:spacing w:before="160" w:after="40"/>
        <w:jc w:val="center"/>
      </w:pPr>
      <w:r>
        <w:drawing>
          <wp:inline xmlns:a="http://schemas.openxmlformats.org/drawingml/2006/main" xmlns:pic="http://schemas.openxmlformats.org/drawingml/2006/picture">
            <wp:extent cx="5806440" cy="4258056"/>
            <wp:docPr id="1" name="Picture 1" descr="Figure 1.1: Conceptual architecture showing the access layer, Administrator, Lecturer and Student workspaces, the Virtual Modelling and Demonstration page, and the shared record layer." title="Figure 1.1"/>
            <wp:cNvGraphicFramePr>
              <a:graphicFrameLocks noChangeAspect="1"/>
            </wp:cNvGraphicFramePr>
            <a:graphic>
              <a:graphicData uri="http://schemas.openxmlformats.org/drawingml/2006/picture">
                <pic:pic>
                  <pic:nvPicPr>
                    <pic:cNvPr id="0" name="bless_platform_architecture.png"/>
                    <pic:cNvPicPr/>
                  </pic:nvPicPr>
                  <pic:blipFill>
                    <a:blip r:embed="rId11"/>
                    <a:stretch>
                      <a:fillRect/>
                    </a:stretch>
                  </pic:blipFill>
                  <pic:spPr>
                    <a:xfrm>
                      <a:off x="0" y="0"/>
                      <a:ext cx="5806440" cy="4258056"/>
                    </a:xfrm>
                    <a:prstGeom prst="rect"/>
                  </pic:spPr>
                </pic:pic>
              </a:graphicData>
            </a:graphic>
          </wp:inline>
        </w:drawing>
      </w:r>
    </w:p>
    <w:p>
      <w:pPr>
        <w:keepNext/>
        <w:spacing w:before="80" w:after="40"/>
        <w:jc w:val="center"/>
      </w:pPr>
      <w:r>
        <w:rPr>
          <w:rFonts w:ascii="Times New Roman" w:hAnsi="Times New Roman"/>
          <w:b/>
          <w:color w:val="000000"/>
          <w:sz w:val="21"/>
        </w:rPr>
        <w:t>Figure 1.1: Conceptual architecture of the ATU Virtual Laboratory Management Platform</w:t>
      </w:r>
    </w:p>
    <w:p>
      <w:pPr>
        <w:spacing w:after="160"/>
        <w:jc w:val="center"/>
      </w:pPr>
      <w:r>
        <w:rPr>
          <w:rFonts w:ascii="Times New Roman" w:hAnsi="Times New Roman"/>
          <w:i/>
          <w:color w:val="666666"/>
          <w:sz w:val="20"/>
        </w:rPr>
        <w:t>Source: Researcher's construct (2026)</w:t>
      </w:r>
    </w:p>
    <w:p>
      <w:pPr>
        <w:pStyle w:val="Heading1"/>
      </w:pPr>
      <w:r>
        <w:t>1.2 Problem Statement</w:t>
      </w:r>
    </w:p>
    <w:p>
      <w:pPr>
        <w:keepLines w:val="0"/>
        <w:ind w:firstLine="720"/>
      </w:pPr>
      <w:r>
        <w:t>Automotive engineering students require regular opportunities to connect theoretical principles with demonstration, observation and practice. Accra Technical University provides workshops and laboratory support for engineering training, but access to physical practical activities cannot always be continuous. Facilities and equipment must be shared, sessions must fit within the academic timetable, and some activities require supervision, safety preparation and maintenance. As a result, the time available to each student for repeating an exercise, comparing alternative conditions or revisiting a difficult system response may be limited even where practical facilities exist.</w:t>
      </w:r>
    </w:p>
    <w:p>
      <w:pPr>
        <w:keepLines w:val="0"/>
        <w:ind w:firstLine="720"/>
      </w:pPr>
      <w:r>
        <w:t>A further gap occurs when practical learning is handled through separate files and channels. A lecturer may issue a question in one place, provide a simulation or demonstration elsewhere, receive student outputs with inconsistent names and organise results separately. General learning-management systems can distribute notes and collect files, but they do not always preserve the model version, parameter values, run history, plots, metrics and revision trail needed to explain how an automotive practical result was produced. This weakens continuity between the task, the practical activity, the submitted evidence and the final assessment record.</w:t>
      </w:r>
    </w:p>
    <w:p>
      <w:pPr>
        <w:keepLines w:val="0"/>
        <w:ind w:firstLine="720"/>
      </w:pPr>
      <w:r>
        <w:t>This study therefore proposes a web-based Virtual Laboratory Management Platform that brings this process into one controlled environment. Using the Automotive Engineering area of Accra Technical University as the initial case, the platform will allow lecturers to set and manage practical tasks, students to access approved demonstrations or simulations and submit structured evidence, and administrators to manage access and preserve the academic activity trail. The concept is intended to increase opportunities for practical exploration and improve the organisation of assessment; it does not replace theory, workshops or physical laboratories. Although the first implementation is limited to automotive engineering, the architecture will allow other courses to integrate suitable practical resources in future development.</w:t>
      </w:r>
    </w:p>
    <w:p>
      <w:pPr>
        <w:pStyle w:val="Heading1"/>
      </w:pPr>
      <w:r>
        <w:t>1.3 Aim of the Study</w:t>
      </w:r>
    </w:p>
    <w:p>
      <w:pPr>
        <w:keepLines w:val="0"/>
        <w:ind w:firstLine="0"/>
      </w:pPr>
      <w:r>
        <w:rPr>
          <w:rFonts w:ascii="Times New Roman" w:hAnsi="Times New Roman" w:eastAsia="Times New Roman"/>
          <w:sz w:val="24"/>
        </w:rPr>
        <w:t>The aim of this study is to develop a web-based platform for managing automotive practical assessment, including question setting, student submission, result organisation, and linkage to approved simulation or practical-task outputs.</w:t>
      </w:r>
    </w:p>
    <w:p>
      <w:pPr>
        <w:pStyle w:val="Heading1"/>
      </w:pPr>
      <w:r>
        <w:t>1.4 Specific Objectives</w:t>
      </w:r>
    </w:p>
    <w:p>
      <w:pPr>
        <w:keepLines w:val="0"/>
        <w:ind w:firstLine="0"/>
      </w:pPr>
      <w:r>
        <w:t>The study seeks to achieve the following specific objectives:</w:t>
      </w:r>
    </w:p>
    <w:p>
      <w:pPr>
        <w:keepLines/>
        <w:numPr>
          <w:ilvl w:val="0"/>
          <w:numId w:val="10"/>
        </w:numPr>
      </w:pPr>
      <w:r>
        <w:t>To design a web-based system that allows lecturers to create, organise and manage automotive practical assessment tasks.</w:t>
      </w:r>
    </w:p>
    <w:p>
      <w:pPr>
        <w:keepLines/>
        <w:numPr>
          <w:ilvl w:val="0"/>
          <w:numId w:val="10"/>
        </w:numPr>
      </w:pPr>
      <w:r>
        <w:t>To develop a student interface through which practical questions can be accessed, attempted and submitted in a structured format.</w:t>
      </w:r>
    </w:p>
    <w:p>
      <w:pPr>
        <w:keepLines/>
        <w:numPr>
          <w:ilvl w:val="0"/>
          <w:numId w:val="10"/>
        </w:numPr>
      </w:pPr>
      <w:r>
        <w:t>To create a database system for storing practical questions, student responses, assessment records, approved demonstration files and practical-output data.</w:t>
      </w:r>
    </w:p>
    <w:p>
      <w:pPr>
        <w:keepLines/>
        <w:numPr>
          <w:ilvl w:val="0"/>
          <w:numId w:val="10"/>
        </w:numPr>
      </w:pPr>
      <w:r>
        <w:rPr>
          <w:rFonts w:ascii="Times New Roman" w:hAnsi="Times New Roman" w:eastAsia="Times New Roman"/>
          <w:sz w:val="24"/>
        </w:rPr>
        <w:t>To provide an integrated platform for accessing approved simulations, demonstrations or practical concepts that can support automotive practical learning.</w:t>
      </w:r>
    </w:p>
    <w:p>
      <w:pPr>
        <w:pStyle w:val="Heading1"/>
      </w:pPr>
      <w:r>
        <w:t>1.5 Research Questions</w:t>
      </w:r>
    </w:p>
    <w:p>
      <w:pPr>
        <w:keepLines w:val="0"/>
        <w:ind w:firstLine="0"/>
      </w:pPr>
      <w:r>
        <w:t>The study is guided by the following research questions:</w:t>
      </w:r>
    </w:p>
    <w:p>
      <w:pPr>
        <w:keepLines/>
        <w:numPr>
          <w:ilvl w:val="0"/>
          <w:numId w:val="11"/>
        </w:numPr>
      </w:pPr>
      <w:r>
        <w:t>How can a web-based system enable lecturers to create, organise and manage automotive practical assessment tasks?</w:t>
      </w:r>
    </w:p>
    <w:p>
      <w:pPr>
        <w:keepLines/>
        <w:numPr>
          <w:ilvl w:val="0"/>
          <w:numId w:val="11"/>
        </w:numPr>
      </w:pPr>
      <w:r>
        <w:t>How can a student interface support structured access to, completion of and submission of automotive practical questions?</w:t>
      </w:r>
    </w:p>
    <w:p>
      <w:pPr>
        <w:keepLines/>
        <w:numPr>
          <w:ilvl w:val="0"/>
          <w:numId w:val="11"/>
        </w:numPr>
      </w:pPr>
      <w:r>
        <w:rPr>
          <w:rFonts w:ascii="Times New Roman" w:hAnsi="Times New Roman" w:eastAsia="Times New Roman"/>
          <w:sz w:val="24"/>
        </w:rPr>
        <w:t>How can a database system be developed to store and organise practical questions, student responses, assessment records, approved demonstration files and practical-output data?</w:t>
      </w:r>
    </w:p>
    <w:p>
      <w:pPr>
        <w:keepLines/>
        <w:numPr>
          <w:ilvl w:val="0"/>
          <w:numId w:val="11"/>
        </w:numPr>
      </w:pPr>
      <w:r>
        <w:rPr>
          <w:rFonts w:ascii="Times New Roman" w:hAnsi="Times New Roman" w:eastAsia="Times New Roman"/>
          <w:sz w:val="24"/>
        </w:rPr>
        <w:t>How can approved simulations, demonstrations or practical concepts be accessed through an integrated platform to support automotive practical learning?</w:t>
      </w:r>
    </w:p>
    <w:p>
      <w:pPr>
        <w:pStyle w:val="Heading1"/>
      </w:pPr>
      <w:r>
        <w:t>1.6 Significance of the Study</w:t>
      </w:r>
    </w:p>
    <w:p>
      <w:pPr>
        <w:pStyle w:val="Heading2"/>
      </w:pPr>
      <w:r>
        <w:t>1.6.1 Significance to students</w:t>
      </w:r>
    </w:p>
    <w:p>
      <w:pPr>
        <w:keepLines w:val="0"/>
        <w:ind w:firstLine="720"/>
      </w:pPr>
      <w:r>
        <w:t>For students, the platform is expected to provide a clearer connection between a practical question and the evidence needed to answer it. Instead of receiving a question in one place and searching separately for the relevant model or output file, the learner can move through one organised workflow. The opportunity to repeat an approved demonstration, compare cases and revisit saved results may help students prepare for workshop activities and consolidate their understanding afterward. The saved work trail also encourages students to explain how a result was obtained rather than submitting an isolated number or screenshot.</w:t>
      </w:r>
    </w:p>
    <w:p>
      <w:pPr>
        <w:keepLines w:val="0"/>
        <w:ind w:firstLine="720"/>
      </w:pPr>
      <w:r>
        <w:t>The platform may also improve continuity when physical access is limited by timetable or equipment availability. It gives the student an additional learning space that can be used without starting a vehicle or occupying a workshop bay. This benefit should be understood carefully: the learner gains more opportunity for conceptual and analytical practice, but still requires physical laboratory and workshop experiences to develop tool-handling, measurement, diagnostic and psychomotor skills.</w:t>
      </w:r>
    </w:p>
    <w:p>
      <w:pPr>
        <w:pStyle w:val="Heading2"/>
      </w:pPr>
      <w:r>
        <w:t>1.6.2 Significance to lecturers</w:t>
      </w:r>
    </w:p>
    <w:p>
      <w:pPr>
        <w:keepLines w:val="0"/>
        <w:ind w:firstLine="720"/>
      </w:pPr>
      <w:r>
        <w:t>For lecturers, the study provides a structured way to design and manage practical assessment. Tasks can be linked to a course, learning objective, model, parameter range, deadline and required evidence. Submission and resubmission records can be reviewed together with the conditions under which the work was completed. This can reduce the difficulty of matching separately named files to students and can make feedback more specific because the lecturer sees the inputs, outputs and version associated with the answer. Notification and export functions further support routine academic administration.</w:t>
      </w:r>
    </w:p>
    <w:p>
      <w:pPr>
        <w:pStyle w:val="Heading2"/>
      </w:pPr>
      <w:r>
        <w:t>1.6.3 Significance to the Department and University</w:t>
      </w:r>
    </w:p>
    <w:p>
      <w:pPr>
        <w:keepLines w:val="0"/>
        <w:ind w:firstLine="720"/>
      </w:pPr>
      <w:r>
        <w:t>For the Automotive Engineering area and Accra Technical University, the platform offers a practical means of extending the value of existing teaching resources. It can create a common point through which approved virtual demonstrations are introduced, accessed and assessed, while maintaining role control and an academic record. The audit trail can also help the department understand how practical tasks are being used, where students encounter difficulty and which approved resources may require review by their responsible providers. In this sense, the work supports ATU's practice-oriented direction without presenting digital activity as a substitute for its workshops and laboratories.</w:t>
      </w:r>
    </w:p>
    <w:p>
      <w:pPr>
        <w:pStyle w:val="Heading2"/>
      </w:pPr>
      <w:r>
        <w:t>1.6.4 Significance to future development and other disciplines</w:t>
      </w:r>
    </w:p>
    <w:p>
      <w:pPr>
        <w:keepLines w:val="0"/>
        <w:ind w:firstLine="720"/>
      </w:pPr>
      <w:r>
        <w:t>The architecture may serve as a starting point for other courses that need to connect practical questions with model-based or digital evidence. The first version is intentionally automotive, but the separation between user management, academic structure and approved-resource integration means that another department could later connect its own approved content. The study can also provide future developers and researchers with a documented case of how virtual laboratory access, assessment management and activity records may be combined in one educational platform.</w:t>
      </w:r>
    </w:p>
    <w:p>
      <w:pPr>
        <w:pStyle w:val="Heading1"/>
      </w:pPr>
      <w:r>
        <w:t>1.7 Scope and Delimitation of the Study</w:t>
      </w:r>
    </w:p>
    <w:p>
      <w:pPr>
        <w:keepLines w:val="0"/>
        <w:ind w:firstLine="720"/>
      </w:pPr>
      <w:r>
        <w:t>The study covers the design and development of a web-based Virtual Laboratory Management Platform for automotive practical education, using Accra Technical University's Automotive Engineering context as the initial case. The functional scope includes the Welcome and General Help interface; student and lecturer registration; administrator approval; secure sign-in and password recovery; academic setup; role-based Administrator, Lecturer and Student dashboards; question and assignment management; student access to assigned practical tasks; linkage to approved demonstration or simulation providers; saving of practical outputs; submission and resubmission; grading, feedback and result organisation; notifications; profile management; reports; and an administrator activity record.</w:t>
      </w:r>
    </w:p>
    <w:p>
      <w:pPr>
        <w:keepLines w:val="0"/>
        <w:ind w:firstLine="720"/>
      </w:pPr>
      <w:r>
        <w:t>The database scope covers user and role records, academic structure, practical questions, assignments, student responses, assessment records, simulation or demonstration files, output data, notifications and audit events. Practical sessions linked to the platform may retain the model and version, selected parameters, run identifier, result files and submission status needed to explain the basis of a student's work.</w:t>
      </w:r>
    </w:p>
    <w:p>
      <w:pPr>
        <w:keepLines w:val="0"/>
        <w:ind w:firstLine="720"/>
      </w:pPr>
      <w:r>
        <w:t>The study is delimited to educational management and demonstration. It does not develop an industrial research, calibration, homologation or safety-certification system. It does not control a real vehicle or safety-critical automotive process, and it does not claim that model output is sufficient for industrial design decisions. The creation and scientific validation of every integrated practical model is also outside the core responsibility of the management platform. The integrated Virtual Modelling and Demonstration page may provide approved technical demonstrations and return practical outputs, but the present study focuses on managing access, tasks, records and assessment around those resources.</w:t>
      </w:r>
    </w:p>
    <w:p>
      <w:pPr>
        <w:keepLines w:val="0"/>
        <w:ind w:firstLine="720"/>
      </w:pPr>
      <w:r>
        <w:t>The first implementation is limited to automotive engineering. Although the database and access structure allow future expansion, practical content for other faculties, departments and courses is not developed or evaluated in this study. Physical workshop instruction, actual component handling and on-vehicle diagnosis remain outside the virtual platform and continue to form part of the wider practical-learning process.</w:t>
      </w:r>
    </w:p>
    <w:p>
      <w:pPr>
        <w:pStyle w:val="Heading1"/>
      </w:pPr>
      <w:r>
        <w:t>1.8 Limitations of the Study</w:t>
      </w:r>
    </w:p>
    <w:p>
      <w:pPr>
        <w:keepLines w:val="0"/>
        <w:ind w:firstLine="720"/>
      </w:pPr>
      <w:r>
        <w:t>The first limitation is the subject boundary. The work is designed and evaluated around automotive engineering. Its user roles and general assessment functions may be transferable, but the practical tasks, terminology, files and resource interfaces considered in this study are automotive. It should therefore not be assumed that the platform is ready for another course merely because the architecture leaves room for future integration. Each new discipline would require its own learning objectives, approved demonstration resources, data requirements and validation.</w:t>
      </w:r>
    </w:p>
    <w:p>
      <w:pPr>
        <w:keepLines w:val="0"/>
        <w:ind w:firstLine="720"/>
      </w:pPr>
      <w:r>
        <w:t>The second limitation concerns parameter freedom. The demonstrations available through the platform operate within defined ranges and known formulas. This restriction is necessary because a model is only reliable within the assumptions and conditions for which it was designed. However, it also means that students cannot investigate every possible real-world condition. Inputs outside the approved range must be rejected, limited or treated as unsupported rather than producing a result that appears valid.</w:t>
      </w:r>
    </w:p>
    <w:p>
      <w:pPr>
        <w:keepLines w:val="0"/>
        <w:ind w:firstLine="720"/>
      </w:pPr>
      <w:r>
        <w:rPr>
          <w:rFonts w:ascii="Times New Roman" w:hAnsi="Times New Roman" w:eastAsia="Times New Roman"/>
          <w:sz w:val="24"/>
        </w:rPr>
        <w:t>The third limitation is that the educational strength of the platform depends heavily on the approved demonstration resources connected to it. A management platform may organise access and evidence well, but it cannot correct a model that represents the wrong relationship, omits an important variable or covers a very narrow operating range. Where the available models are limited, a knowledge-acquisition gap may remain because students can only explore the behaviour that those models were designed to show. Clear model descriptions, assumptions, version control and lecturer guidance are therefore necessary. The connected demonstrations are educational tools; they are not certified industrial-design, homologation or validation systems and must not be used as the sole basis for safety-critical decisions.</w:t>
      </w:r>
    </w:p>
    <w:p>
      <w:pPr>
        <w:keepLines w:val="0"/>
        <w:ind w:firstLine="720"/>
      </w:pPr>
      <w:r>
        <w:t>The fourth limitation is the absence of full physical interaction. The platform can display data, animation, graphs, gauges and calculated results, but it cannot reproduce all tactile, auditory, spatial and safety-related experiences of working with an actual vehicle or component. It cannot by itself develop the feel of a tool, the judgement required to identify abnormal vibration or noise, or the discipline of setting up and protecting real equipment. These learning outcomes must continue to be addressed through supervised physical practical work.</w:t>
      </w:r>
    </w:p>
    <w:p>
      <w:pPr>
        <w:keepLines w:val="0"/>
        <w:ind w:firstLine="720"/>
      </w:pPr>
      <w:r>
        <w:t>Finally, the initial findings will be linked to the ATU case, the users available for testing, the computer environment and the approved demonstration resources ready at the time of evaluation. Performance and usability may change when the number of users, courses and integrated resources increases. The study can establish whether the proposed concept works within its initial scope, but wider institutional adoption would require further testing, technical support and continued resource development.</w:t>
      </w:r>
    </w:p>
    <w:p>
      <w:pPr>
        <w:pStyle w:val="Heading1"/>
      </w:pPr>
      <w:r>
        <w:t>1.9 Organisation of the Study</w:t>
      </w:r>
    </w:p>
    <w:p>
      <w:pPr>
        <w:keepLines w:val="0"/>
        <w:ind w:firstLine="720"/>
      </w:pPr>
      <w:r>
        <w:rPr>
          <w:rFonts w:ascii="Times New Roman" w:hAnsi="Times New Roman" w:eastAsia="Times New Roman"/>
          <w:sz w:val="24"/>
        </w:rPr>
        <w:t>The study is organised into five chapters. Chapter One presents the background, problem statement, aim, specific objectives, research questions, significance, scope and limitations. Chapter Two reviews the related literature and develops the conceptual basis of the study. Chapter Three presents the system design and planning, proposed development and implementation procedure, and testing and evaluation method. Chapter Four presents and evaluates the implemented platform, while Chapter Five summarises the findings, conclusions and recommendations.</w:t>
      </w:r>
    </w:p>
    <w:p>
      <w:pPr>
        <w:pStyle w:val="ChapterTitle"/>
        <w:pageBreakBefore/>
        <w:spacing w:after="320"/>
      </w:pPr>
      <w:r>
        <w:t>REFERENCES</w:t>
      </w:r>
    </w:p>
    <w:p>
      <w:pPr>
        <w:spacing w:line="240" w:lineRule="auto" w:after="80"/>
        <w:ind w:hanging="720" w:left="720"/>
        <w:jc w:val="left"/>
      </w:pPr>
      <w:r>
        <w:rPr>
          <w:rFonts w:ascii="Times New Roman" w:hAnsi="Times New Roman"/>
          <w:color w:val="000000"/>
          <w:sz w:val="22"/>
        </w:rPr>
        <w:t>Bose, R. (2013). Virtual Labs Project: A paradigm shift in internet-based remote experimentation. IEEE Access, 1, 718-725. https://doi.org/10.1109/ACCESS.2013.2286202</w:t>
      </w:r>
    </w:p>
    <w:p>
      <w:pPr>
        <w:spacing w:line="240" w:lineRule="auto" w:after="80"/>
        <w:ind w:hanging="720" w:left="720"/>
        <w:jc w:val="left"/>
      </w:pPr>
      <w:r>
        <w:rPr>
          <w:rFonts w:ascii="Times New Roman" w:hAnsi="Times New Roman"/>
          <w:color w:val="000000"/>
          <w:sz w:val="22"/>
        </w:rPr>
        <w:t>Brinson, J. R. (2015). Learning outcome achievement in non-traditional (virtual and remote) versus traditional (hands-on) laboratories: A review of the empirical research. Computers &amp; Education, 87, 218-237. https://doi.org/10.1016/j.compedu.2015.07.003</w:t>
      </w:r>
    </w:p>
    <w:p>
      <w:pPr>
        <w:spacing w:line="240" w:lineRule="auto" w:after="80"/>
        <w:ind w:hanging="720" w:left="720"/>
        <w:jc w:val="left"/>
      </w:pPr>
      <w:r>
        <w:rPr>
          <w:rFonts w:ascii="Times New Roman" w:hAnsi="Times New Roman"/>
          <w:color w:val="000000"/>
          <w:sz w:val="22"/>
        </w:rPr>
        <w:t>de Jong, T., Linn, M. C., &amp; Zacharia, Z. C. (2013). Physical and virtual laboratories in science and engineering education. Science, 340(6130), 305-308. https://doi.org/10.1126/science.1230579</w:t>
      </w:r>
    </w:p>
    <w:p>
      <w:pPr>
        <w:spacing w:line="240" w:lineRule="auto" w:after="80"/>
        <w:ind w:hanging="720" w:left="720"/>
        <w:jc w:val="left"/>
      </w:pPr>
      <w:r>
        <w:rPr>
          <w:rFonts w:ascii="Times New Roman" w:hAnsi="Times New Roman"/>
          <w:color w:val="000000"/>
          <w:sz w:val="22"/>
        </w:rPr>
        <w:t>de Jong, T., Sotiriou, S., &amp; Gillet, D. (2014). Innovations in STEM education: The Go-Lab federation of online labs. Smart Learning Environments, 1, Article 3. https://doi.org/10.1186/s40561-014-0003-6</w:t>
      </w:r>
    </w:p>
    <w:p>
      <w:pPr>
        <w:spacing w:line="240" w:lineRule="auto" w:after="80"/>
        <w:ind w:hanging="720" w:left="720"/>
        <w:jc w:val="left"/>
      </w:pPr>
      <w:r>
        <w:rPr>
          <w:rFonts w:ascii="Times New Roman" w:hAnsi="Times New Roman"/>
          <w:color w:val="000000"/>
          <w:sz w:val="22"/>
        </w:rPr>
        <w:t>Elmoazen, R., Saqr, M., Khalil, M., &amp; Wasson, B. (2023). Learning analytics in virtual laboratories: A systematic literature review of empirical research. Smart Learning Environments, 10, Article 24. https://doi.org/10.1186/s40561-023-00244-y</w:t>
      </w:r>
    </w:p>
    <w:p>
      <w:pPr>
        <w:spacing w:line="240" w:lineRule="auto" w:after="80"/>
        <w:ind w:hanging="720" w:left="720"/>
        <w:jc w:val="left"/>
      </w:pPr>
      <w:r>
        <w:rPr>
          <w:rFonts w:ascii="Times New Roman" w:hAnsi="Times New Roman"/>
          <w:color w:val="000000"/>
          <w:sz w:val="22"/>
        </w:rPr>
        <w:t>Faulconer, E. K., &amp; Gruss, A. B. (2018). A review to weigh the pros and cons of online, remote, and distance science laboratory experiences. The International Review of Research in Open and Distributed Learning, 19(2). https://doi.org/10.19173/irrodl.v19i2.3386</w:t>
      </w:r>
    </w:p>
    <w:p>
      <w:pPr>
        <w:spacing w:line="240" w:lineRule="auto" w:after="80"/>
        <w:ind w:hanging="720" w:left="720"/>
        <w:jc w:val="left"/>
      </w:pPr>
      <w:r>
        <w:rPr>
          <w:rFonts w:ascii="Times New Roman" w:hAnsi="Times New Roman"/>
          <w:color w:val="000000"/>
          <w:sz w:val="22"/>
        </w:rPr>
        <w:t>Feisel, L. D., &amp; Rosa, A. J. (2005). The role of the laboratory in undergraduate engineering education. Journal of Engineering Education, 94(1), 121-130. https://doi.org/10.1002/j.2168-9830.2005.tb00833.x</w:t>
      </w:r>
    </w:p>
    <w:p>
      <w:pPr>
        <w:spacing w:line="240" w:lineRule="auto" w:after="80"/>
        <w:ind w:hanging="720" w:left="720"/>
        <w:jc w:val="left"/>
      </w:pPr>
      <w:r>
        <w:rPr>
          <w:rFonts w:ascii="Times New Roman" w:hAnsi="Times New Roman"/>
          <w:color w:val="000000"/>
          <w:sz w:val="22"/>
        </w:rPr>
        <w:t>Kapici, H. O., Akcay, H., &amp; de Jong, T. (2019). Using hands-on and virtual laboratories alone or together: Which works better for acquiring knowledge and skills? Journal of Science Education and Technology, 28(3), 231-250. https://doi.org/10.1007/s10956-018-9762-0</w:t>
      </w:r>
    </w:p>
    <w:p>
      <w:pPr>
        <w:spacing w:line="240" w:lineRule="auto" w:after="80"/>
        <w:ind w:hanging="720" w:left="720"/>
        <w:jc w:val="left"/>
      </w:pPr>
      <w:r>
        <w:rPr>
          <w:rFonts w:ascii="Times New Roman" w:hAnsi="Times New Roman"/>
          <w:color w:val="000000"/>
          <w:sz w:val="22"/>
        </w:rPr>
        <w:t>Li, J., &amp; Liang, W. (2024). Effectiveness of virtual laboratory in engineering education: A meta-analysis. PLOS ONE, 19(12), e0316269. https://doi.org/10.1371/journal.pone.0316269</w:t>
      </w:r>
    </w:p>
    <w:p>
      <w:pPr>
        <w:spacing w:line="240" w:lineRule="auto" w:after="80"/>
        <w:ind w:hanging="720" w:left="720"/>
        <w:jc w:val="left"/>
      </w:pPr>
      <w:r>
        <w:rPr>
          <w:rFonts w:ascii="Times New Roman" w:hAnsi="Times New Roman"/>
          <w:color w:val="000000"/>
          <w:sz w:val="22"/>
        </w:rPr>
        <w:t>Ma, J., &amp; Nickerson, J. V. (2006). Hands-on, simulated, and remote laboratories: A comparative literature review. ACM Computing Surveys, 38(3), Article 7. https://doi.org/10.1145/1132960.1132961</w:t>
      </w:r>
    </w:p>
    <w:p>
      <w:pPr>
        <w:spacing w:line="240" w:lineRule="auto" w:after="80"/>
        <w:ind w:hanging="720" w:left="720"/>
        <w:jc w:val="left"/>
      </w:pPr>
      <w:r>
        <w:rPr>
          <w:rFonts w:ascii="Times New Roman" w:hAnsi="Times New Roman"/>
          <w:color w:val="000000"/>
          <w:sz w:val="22"/>
        </w:rPr>
        <w:t>Zhang, N., &amp; Liu, Y. (2024). Design and implementation of virtual laboratories for higher education sustainability: A case study of Nankai University. Frontiers in Education, 8, 1322263. https://doi.org/10.3389/feduc.2023.1322263</w:t>
      </w:r>
    </w:p>
    <w:p>
      <w:r>
        <w:br w:type="page"/>
      </w:r>
    </w:p>
    <w:p>
      <w:pPr>
        <w:pStyle w:val="ChapterTitle"/>
        <w:jc w:val="center"/>
      </w:pPr>
      <w:r>
        <w:rPr>
          <w:rFonts w:ascii="Times New Roman" w:hAnsi="Times New Roman" w:eastAsia="Times New Roman"/>
          <w:b/>
          <w:i w:val="0"/>
          <w:color w:val="000000"/>
          <w:sz w:val="30"/>
        </w:rPr>
        <w:t>CHAPTER TWO</w:t>
      </w:r>
    </w:p>
    <w:p>
      <w:pPr>
        <w:pStyle w:val="ChapterTitle"/>
        <w:jc w:val="center"/>
      </w:pPr>
      <w:r>
        <w:rPr>
          <w:rFonts w:ascii="Times New Roman" w:hAnsi="Times New Roman" w:eastAsia="Times New Roman"/>
          <w:b/>
          <w:i w:val="0"/>
          <w:color w:val="000000"/>
          <w:sz w:val="30"/>
        </w:rPr>
        <w:t>LITERATURE REVIEW</w:t>
      </w:r>
    </w:p>
    <w:p>
      <w:pPr>
        <w:pStyle w:val="Heading1"/>
        <w:jc w:val="left"/>
        <w:keepNext/>
      </w:pPr>
      <w:r>
        <w:rPr>
          <w:rFonts w:ascii="Times New Roman" w:hAnsi="Times New Roman" w:eastAsia="Times New Roman"/>
          <w:b/>
          <w:i w:val="0"/>
          <w:color w:val="000000"/>
          <w:sz w:val="28"/>
        </w:rPr>
        <w:t>2.1 Introduction</w:t>
      </w:r>
    </w:p>
    <w:p>
      <w:pPr>
        <w:spacing w:after="120" w:line="360" w:lineRule="auto"/>
        <w:ind w:firstLine="720"/>
        <w:jc w:val="both"/>
      </w:pPr>
      <w:r>
        <w:rPr>
          <w:rFonts w:ascii="Times New Roman" w:hAnsi="Times New Roman" w:eastAsia="Times New Roman"/>
          <w:b w:val="0"/>
          <w:i w:val="0"/>
          <w:color w:val="000000"/>
          <w:sz w:val="24"/>
        </w:rPr>
        <w:t>This chapter reviews the ideas and evidence that shape the proposed web-based platform for managing automotive practical education. The review is deliberately wider than a discussion of virtual laboratories. Automotive practical learning is an academic process with several connected parts: students must be admitted to the right learning space, practical tasks must be issued and explained, approved resources must be made available, work must be recorded, and lecturers must be able to assess what was done and give useful feedback. A platform that supports only one of these activities may still leave the main management problem unresolved. For that reason, the literature is examined from the standpoint of competence development, access and continuity, virtual laboratories, web-based learning, assessment, evidence management, user administration, interoperability, usability, accessibility and security.</w:t>
      </w:r>
    </w:p>
    <w:p>
      <w:pPr>
        <w:spacing w:after="120" w:line="360" w:lineRule="auto"/>
        <w:ind w:firstLine="720"/>
        <w:jc w:val="both"/>
      </w:pPr>
      <w:r>
        <w:rPr>
          <w:rFonts w:ascii="Times New Roman" w:hAnsi="Times New Roman" w:eastAsia="Times New Roman"/>
          <w:b w:val="0"/>
          <w:i w:val="0"/>
          <w:color w:val="000000"/>
          <w:sz w:val="24"/>
        </w:rPr>
        <w:t>The chapter also keeps a clear distinction between a practical learning platform and a technical modelling package. In the proposed system, a virtual demonstration is one controlled resource that may be opened from an approved task. The educational platform manages who may use it, the instructions attached to it, the record of the learner's engagement, the evidence submitted afterwards and the lecturer's judgement. It does not attempt to reproduce the internal mathematical or engineering behaviour of every demonstration tool. That boundary is important because it places the study within educational management while still recognising the value of interactive practical resources.</w:t>
      </w:r>
    </w:p>
    <w:p>
      <w:pPr>
        <w:spacing w:after="120" w:line="360" w:lineRule="auto"/>
        <w:ind w:firstLine="720"/>
        <w:jc w:val="both"/>
      </w:pPr>
      <w:r>
        <w:rPr>
          <w:rFonts w:ascii="Times New Roman" w:hAnsi="Times New Roman" w:eastAsia="Times New Roman"/>
          <w:b w:val="0"/>
          <w:i w:val="0"/>
          <w:color w:val="000000"/>
          <w:sz w:val="24"/>
        </w:rPr>
        <w:t>The discussion moves from broad educational concerns to the specific design gap. First, it considers how practical competence is formed and why continuity matters. It then examines the strengths and limitations of virtual and web-based provision, before turning to the records, roles and safeguards that make online practical work academically defensible. The theoretical review draws on experiential learning, constructivist learning and the Technology Acceptance Model. Finally, existing platforms and empirical studies are compared, the unresolved gap is stated, and a conceptual framework is presented for the proposed platform.</w:t>
      </w:r>
    </w:p>
    <w:p>
      <w:pPr>
        <w:pStyle w:val="Heading1"/>
        <w:jc w:val="left"/>
        <w:keepNext/>
      </w:pPr>
      <w:r>
        <w:rPr>
          <w:rFonts w:ascii="Times New Roman" w:hAnsi="Times New Roman" w:eastAsia="Times New Roman"/>
          <w:b/>
          <w:i w:val="0"/>
          <w:color w:val="000000"/>
          <w:sz w:val="28"/>
        </w:rPr>
        <w:t>2.2 Automotive Practical Education and Competence Development</w:t>
      </w:r>
    </w:p>
    <w:p>
      <w:pPr>
        <w:spacing w:after="120" w:line="360" w:lineRule="auto"/>
        <w:ind w:firstLine="720"/>
        <w:jc w:val="both"/>
      </w:pPr>
      <w:r>
        <w:rPr>
          <w:rFonts w:ascii="Times New Roman" w:hAnsi="Times New Roman" w:eastAsia="Times New Roman"/>
          <w:sz w:val="24"/>
        </w:rPr>
        <w:t>Automotive education fulfils its practical purpose when knowledge can be carried into purposeful action. A student may be able to describe a braking system, an electrical charging circuit or an engine-management principle and still struggle to diagnose a fault, select a safe procedure or explain the meaning of an observed result. This is why engineering laboratory education has traditionally been treated as more than illustration. Feisel and Rosa (2005) identify objectives that include instrumentation, experimentation, data analysis, design, learning from failure, creativity and psychomotor development. These objectives show that competence depends on what the learner can do with knowledge, not only on what the learner can recall.</w:t>
      </w:r>
    </w:p>
    <w:p>
      <w:pPr>
        <w:spacing w:after="120" w:line="360" w:lineRule="auto"/>
        <w:ind w:firstLine="720"/>
        <w:jc w:val="both"/>
      </w:pPr>
      <w:r>
        <w:rPr>
          <w:rFonts w:ascii="Times New Roman" w:hAnsi="Times New Roman" w:eastAsia="Times New Roman"/>
          <w:b w:val="0"/>
          <w:i w:val="0"/>
          <w:color w:val="000000"/>
          <w:sz w:val="24"/>
        </w:rPr>
        <w:t>Competence in this setting has several layers. It includes conceptual understanding, procedural fluency, interpretation, communication and professional responsibility. Passow and Passow (2017) found that engineering programmes must develop a combination of technical and professional competencies, while Crawley et al. (2014) argue that disciplinary knowledge becomes meaningful when it is integrated with personal, interpersonal and system-building abilities. In an automotive task, these dimensions appear together. A learner may need to follow a sequence, choose an instrument, compare readings, justify a diagnosis and leave a record that another person can review. A learning platform should therefore make room for the whole work process, not only the final answer.</w:t>
      </w:r>
    </w:p>
    <w:p>
      <w:pPr>
        <w:spacing w:after="120" w:line="360" w:lineRule="auto"/>
        <w:ind w:firstLine="720"/>
        <w:jc w:val="both"/>
      </w:pPr>
      <w:r>
        <w:rPr>
          <w:rFonts w:ascii="Times New Roman" w:hAnsi="Times New Roman" w:eastAsia="Times New Roman"/>
          <w:b w:val="0"/>
          <w:i w:val="0"/>
          <w:color w:val="000000"/>
          <w:sz w:val="24"/>
        </w:rPr>
        <w:t>Practical competence is also formed through activity. Prince (2004) shows that active learning generally produces stronger learning than uninterrupted exposition, and Prince and Felder (2006) explain how inductive approaches can begin with a problem, observation or case before formal explanation is consolidated. Automotive practical work naturally follows this pattern. The learner is presented with a condition, inspects evidence, tests an idea and revises an explanation. A web platform can support that movement when tasks are written around decisions and evidence rather than being reduced to files for students to download.</w:t>
      </w:r>
    </w:p>
    <w:p>
      <w:pPr>
        <w:spacing w:after="120" w:line="360" w:lineRule="auto"/>
        <w:ind w:firstLine="720"/>
        <w:jc w:val="both"/>
      </w:pPr>
      <w:r>
        <w:rPr>
          <w:rFonts w:ascii="Times New Roman" w:hAnsi="Times New Roman" w:eastAsia="Times New Roman"/>
          <w:b w:val="0"/>
          <w:i w:val="0"/>
          <w:color w:val="000000"/>
          <w:sz w:val="24"/>
        </w:rPr>
        <w:t>The laboratory remains central because it connects abstract principles with the consequences of action. Abdulwahed and Nagy (2009) applied Kolb's experiential learning cycle to laboratory education and showed the value of linking concrete experience, reflection, conceptualisation and further experimentation. In the same spirit, Herrington and Oliver (2000) argue that authentic learning environments should provide realistic contexts, sustained investigation, multiple perspectives and opportunities for reflection. For automotive students, authenticity does not require that every activity be performed on a complete vehicle. It requires that the task, evidence and reasoning resemble the decisions expected in professional practice.</w:t>
      </w:r>
    </w:p>
    <w:p>
      <w:pPr>
        <w:spacing w:after="120" w:line="360" w:lineRule="auto"/>
        <w:ind w:firstLine="720"/>
        <w:jc w:val="both"/>
      </w:pPr>
      <w:r>
        <w:rPr>
          <w:rFonts w:ascii="Times New Roman" w:hAnsi="Times New Roman" w:eastAsia="Times New Roman"/>
          <w:b w:val="0"/>
          <w:i w:val="0"/>
          <w:color w:val="000000"/>
          <w:sz w:val="24"/>
        </w:rPr>
        <w:t>At the programme level, practical activities also need progression. Learning factories, for example, are designed to connect academic learning with increasingly realistic industrial processes (Abele et al., 2017). More recent outcome-oriented engineering frameworks similarly organise practical work from foundational skills toward integrated and innovative performance (Chen et al., 2026). These studies suggest that isolated exercises are not enough. Students need a visible path through introductory procedures, guided diagnosis, increasingly independent tasks and reflective evaluation. A management platform can make that path clearer by grouping tasks by programme, course, level, learning outcome and completion status.</w:t>
      </w:r>
    </w:p>
    <w:p>
      <w:pPr>
        <w:spacing w:after="120" w:line="360" w:lineRule="auto"/>
        <w:ind w:firstLine="720"/>
        <w:jc w:val="both"/>
      </w:pPr>
      <w:r>
        <w:rPr>
          <w:rFonts w:ascii="Times New Roman" w:hAnsi="Times New Roman" w:eastAsia="Times New Roman"/>
          <w:b w:val="0"/>
          <w:i w:val="0"/>
          <w:color w:val="000000"/>
          <w:sz w:val="24"/>
        </w:rPr>
        <w:t>Assessment must remain aligned with that progression. Biggs (1996) describes constructive alignment as the deliberate connection between intended learning outcomes, learning activities and assessment. In automotive education, an outcome such as 'diagnose a charging-system fault and justify the conclusion' cannot be assessed fairly through a recall question alone. The task, permitted resources, required evidence and rubric should all point to the same capability. The proposed platform therefore needs to carry the learning outcome into the task brief and then preserve the evidence on which the lecturer's judgement is based.</w:t>
      </w:r>
    </w:p>
    <w:p>
      <w:pPr>
        <w:spacing w:after="120" w:line="360" w:lineRule="auto"/>
        <w:ind w:firstLine="720"/>
        <w:jc w:val="both"/>
      </w:pPr>
      <w:r>
        <w:rPr>
          <w:rFonts w:ascii="Times New Roman" w:hAnsi="Times New Roman" w:eastAsia="Times New Roman"/>
          <w:b w:val="0"/>
          <w:i w:val="0"/>
          <w:color w:val="000000"/>
          <w:sz w:val="24"/>
        </w:rPr>
        <w:t>Research on virtual and physical laboratories reinforces the same point. Koretsky et al. (2011) found that students perceived different laboratory formats as supporting different kinds of learning, while de Jong et al. (2013) caution against treating physical and virtual laboratories as simple substitutes. What matters is the educational purpose assigned to each environment. A physical workshop may be necessary for tool handling, force, noise, heat, safety routines and collaborative practice. A virtual demonstration may be more suitable for previewing a sequence, observing an otherwise hidden process, repeating an activity or preparing for a later physical session.</w:t>
      </w:r>
    </w:p>
    <w:p>
      <w:pPr>
        <w:spacing w:after="120" w:line="360" w:lineRule="auto"/>
        <w:ind w:firstLine="720"/>
        <w:jc w:val="both"/>
      </w:pPr>
      <w:r>
        <w:rPr>
          <w:rFonts w:ascii="Times New Roman" w:hAnsi="Times New Roman" w:eastAsia="Times New Roman"/>
          <w:b w:val="0"/>
          <w:i w:val="0"/>
          <w:color w:val="000000"/>
          <w:sz w:val="24"/>
        </w:rPr>
        <w:t>For the present study, competence development is therefore understood as a managed cycle rather than a single practical event. The learner receives a purposeful task, uses approved guidance, performs or observes the relevant procedure, records evidence, explains the result, receives feedback and is given another opportunity to improve. That interpretation is consistent with laboratory objectives, active learning, authentic learning, experiential learning, constructive alignment and outcome-based programme design (Feisel &amp; Rosa, 2005; Prince, 2004; Herrington &amp; Oliver, 2000; Abdulwahed &amp; Nagy, 2009; Biggs, 1996; Crawley et al., 2014; Passow &amp; Passow, 2017; Abele et al., 2017; Chen et al., 2026; Koretsky et al., 2011). It also explains why the proposed system requires both educational resources and a reliable work trail.</w:t>
      </w:r>
    </w:p>
    <w:p>
      <w:pPr>
        <w:pStyle w:val="Heading1"/>
        <w:jc w:val="left"/>
        <w:keepNext/>
      </w:pPr>
      <w:r>
        <w:rPr>
          <w:rFonts w:ascii="Times New Roman" w:hAnsi="Times New Roman" w:eastAsia="Times New Roman"/>
          <w:b/>
          <w:i w:val="0"/>
          <w:color w:val="000000"/>
          <w:sz w:val="28"/>
        </w:rPr>
        <w:t>2.3 Access, Continuity and Constraints in Conventional Practical Learning</w:t>
      </w:r>
    </w:p>
    <w:p>
      <w:pPr>
        <w:spacing w:after="120" w:line="360" w:lineRule="auto"/>
        <w:ind w:firstLine="720"/>
        <w:jc w:val="both"/>
      </w:pPr>
      <w:r>
        <w:rPr>
          <w:rFonts w:ascii="Times New Roman" w:hAnsi="Times New Roman" w:eastAsia="Times New Roman"/>
          <w:b w:val="0"/>
          <w:i w:val="0"/>
          <w:color w:val="000000"/>
          <w:sz w:val="24"/>
        </w:rPr>
        <w:t>Conventional practical education is often limited by place and time. Workshops contain expensive equipment, consumable materials and safety-sensitive spaces, so access is normally scheduled in short blocks. Bourne et al. (2005) observed that online engineering education can widen access beyond the fixed classroom, while Cooper and Ferreira (2009) showed how remote laboratories extend curricular access to scarce scientific and engineering resources. The underlying issue is not convenience alone. When students can revisit instructions, examples and records outside a timetable, practical preparation and reflection no longer have to compete with the minutes allocated for physical equipment.</w:t>
      </w:r>
    </w:p>
    <w:p>
      <w:pPr>
        <w:spacing w:after="120" w:line="360" w:lineRule="auto"/>
        <w:ind w:firstLine="720"/>
        <w:jc w:val="both"/>
      </w:pPr>
      <w:r>
        <w:rPr>
          <w:rFonts w:ascii="Times New Roman" w:hAnsi="Times New Roman" w:eastAsia="Times New Roman"/>
          <w:b w:val="0"/>
          <w:i w:val="0"/>
          <w:color w:val="000000"/>
          <w:sz w:val="24"/>
        </w:rPr>
        <w:t>Short access windows can affect the quality of learning. A learner who is seeing an unfamiliar circuit or diagnostic sequence for the first time may spend much of the session trying to understand the procedure. Lindsay and Good (2005) found that laboratory access modes influence learning experiences and outcomes, and Nedic et al. (2003) reported different advantages across real, virtual and remote laboratory formats. These findings do not establish one universally superior mode. They show that access conditions shape what students are able to practise, repeat and understand.</w:t>
      </w:r>
    </w:p>
    <w:p>
      <w:pPr>
        <w:spacing w:after="120" w:line="360" w:lineRule="auto"/>
        <w:ind w:firstLine="720"/>
        <w:jc w:val="both"/>
      </w:pPr>
      <w:r>
        <w:rPr>
          <w:rFonts w:ascii="Times New Roman" w:hAnsi="Times New Roman" w:eastAsia="Times New Roman"/>
          <w:b w:val="0"/>
          <w:i w:val="0"/>
          <w:color w:val="000000"/>
          <w:sz w:val="24"/>
        </w:rPr>
        <w:t>Resource pressure is particularly serious where class sizes are large or equipment is limited. Ma and Nickerson (2006) explain that hands-on, simulated and remote laboratories involve different costs, affordances and forms of presence. Physical equipment gives students direct contact with materials and instruments, but it is also subject to maintenance, breakdown, booking conflicts and consumable costs. A web-based layer cannot remove those realities. It can, however, preserve task instructions, prepare learners before attendance and provide a continuing space for evidence and feedback after the workshop has closed.</w:t>
      </w:r>
    </w:p>
    <w:p>
      <w:pPr>
        <w:spacing w:after="120" w:line="360" w:lineRule="auto"/>
        <w:ind w:firstLine="720"/>
        <w:jc w:val="both"/>
      </w:pPr>
      <w:r>
        <w:rPr>
          <w:rFonts w:ascii="Times New Roman" w:hAnsi="Times New Roman" w:eastAsia="Times New Roman"/>
          <w:b w:val="0"/>
          <w:i w:val="0"/>
          <w:color w:val="000000"/>
          <w:sz w:val="24"/>
        </w:rPr>
        <w:t>Continuity became especially visible when institutions were forced to move teaching online. Gamage et al. (2020) found that laboratory teaching required a mixture of demonstrations, simulations, home-based activities and redesigned assessment during emergency disruption. The lesson extends beyond emergencies: practical education benefits from having a planned digital route that can keep preparation, communication and review moving when normal access is interrupted. A platform built only as an emergency file store is unlikely to support this well; continuity depends on the connection between people, tasks, resources, submissions and feedback.</w:t>
      </w:r>
    </w:p>
    <w:p>
      <w:pPr>
        <w:spacing w:after="120" w:line="360" w:lineRule="auto"/>
        <w:ind w:firstLine="720"/>
        <w:jc w:val="both"/>
      </w:pPr>
      <w:r>
        <w:rPr>
          <w:rFonts w:ascii="Times New Roman" w:hAnsi="Times New Roman" w:eastAsia="Times New Roman"/>
          <w:b w:val="0"/>
          <w:i w:val="0"/>
          <w:color w:val="000000"/>
          <w:sz w:val="24"/>
        </w:rPr>
        <w:t>Blended learning research offers a useful perspective because it avoids the false choice between online and face-to-face education. Garrison and Kanuka (2004) describe blended learning as a thoughtful integration that can transform the learning experience. Meta-analytic evidence also indicates that blended and online arrangements can be effective when their design, interaction and implementation are sound (Means et al., 2013; Bernard et al., 2014). In practical education, the strongest arrangement is often complementary: online preparation and reflection are combined with scheduled physical activity, rather than being presented as a cheaper imitation of the workshop.</w:t>
      </w:r>
    </w:p>
    <w:p>
      <w:pPr>
        <w:spacing w:after="120" w:line="360" w:lineRule="auto"/>
        <w:ind w:firstLine="720"/>
        <w:jc w:val="both"/>
      </w:pPr>
      <w:r>
        <w:rPr>
          <w:rFonts w:ascii="Times New Roman" w:hAnsi="Times New Roman" w:eastAsia="Times New Roman"/>
          <w:b w:val="0"/>
          <w:i w:val="0"/>
          <w:color w:val="000000"/>
          <w:sz w:val="24"/>
        </w:rPr>
        <w:t>Access also has a personal dimension. Online learners must manage time, interpret instructions and sustain effort with less immediate supervision. Broadbent and Poon (2015) found that self-regulated learning strategies are related to achievement in online higher education, while Kuo et al. (2014) identified interaction and internet self-efficacy as important in online learning satisfaction. A platform that merely opens access twenty-four hours a day may therefore reproduce disadvantage if its tasks are unclear or if students cannot tell what they have completed. Progress indicators, due dates, reminders, staged instructions and visible feedback can turn availability into usable access.</w:t>
      </w:r>
    </w:p>
    <w:p>
      <w:pPr>
        <w:spacing w:after="120" w:line="360" w:lineRule="auto"/>
        <w:ind w:firstLine="720"/>
        <w:jc w:val="both"/>
      </w:pPr>
      <w:r>
        <w:rPr>
          <w:rFonts w:ascii="Times New Roman" w:hAnsi="Times New Roman" w:eastAsia="Times New Roman"/>
          <w:b w:val="0"/>
          <w:i w:val="0"/>
          <w:color w:val="000000"/>
          <w:sz w:val="24"/>
        </w:rPr>
        <w:t>The institutional dimension is equally important. Martin et al. (2020) found that effective online teaching and learning involves course design, interaction, assessment, learner support and technology, rather than technology in isolation. Bond et al. (2020) similarly show that student engagement with educational technology is shaped by behavioural, emotional and cognitive factors. For automotive practical education, continuity should therefore be judged by whether the student can remain connected to a meaningful practical process, not merely by whether a website remains online.</w:t>
      </w:r>
    </w:p>
    <w:p>
      <w:pPr>
        <w:spacing w:after="120" w:line="360" w:lineRule="auto"/>
        <w:ind w:firstLine="720"/>
        <w:jc w:val="both"/>
      </w:pPr>
      <w:r>
        <w:rPr>
          <w:rFonts w:ascii="Times New Roman" w:hAnsi="Times New Roman" w:eastAsia="Times New Roman"/>
          <w:b w:val="0"/>
          <w:i w:val="0"/>
          <w:color w:val="000000"/>
          <w:sz w:val="24"/>
        </w:rPr>
        <w:t>The literature points to a balanced position. Physical workshop access should be protected for activities that require tactile control, real tools, embodied safety habits and interpersonal coordination. At the same time, scarce workshop hours should not carry every part of the learning process. Preparation, approved demonstrations, task clarification, evidence submission, reflective explanation and feedback can continue through a web-based environment (Bourne et al., 2005; Cooper &amp; Ferreira, 2009; Lindsay &amp; Good, 2005; Nedic et al., 2003; Ma &amp; Nickerson, 2006; Gamage et al., 2020; Garrison &amp; Kanuka, 2004; Means et al., 2013; Bernard et al., 2014; Broadbent &amp; Poon, 2015; Kuo et al., 2014; Martin et al., 2020). The proposed platform is positioned within this complementary role.</w:t>
      </w:r>
    </w:p>
    <w:p>
      <w:pPr>
        <w:pStyle w:val="Heading1"/>
        <w:jc w:val="left"/>
        <w:keepNext/>
      </w:pPr>
      <w:r>
        <w:rPr>
          <w:rFonts w:ascii="Times New Roman" w:hAnsi="Times New Roman" w:eastAsia="Times New Roman"/>
          <w:b/>
          <w:i w:val="0"/>
          <w:color w:val="000000"/>
          <w:sz w:val="28"/>
        </w:rPr>
        <w:t>2.4 Virtual Laboratories in Engineering Education</w:t>
      </w:r>
    </w:p>
    <w:p>
      <w:pPr>
        <w:spacing w:after="120" w:line="360" w:lineRule="auto"/>
        <w:ind w:firstLine="720"/>
        <w:jc w:val="both"/>
      </w:pPr>
      <w:r>
        <w:rPr>
          <w:rFonts w:ascii="Times New Roman" w:hAnsi="Times New Roman" w:eastAsia="Times New Roman"/>
          <w:b w:val="0"/>
          <w:i w:val="0"/>
          <w:color w:val="000000"/>
          <w:sz w:val="24"/>
        </w:rPr>
        <w:t>The term virtual laboratory is used for several different forms of technology. Some systems simulate equipment or processes entirely in software; others provide a visual or three-dimensional representation; remote laboratories allow a learner to operate real equipment through a network; and mixed environments combine physical, simulated and remote elements. Potkonjak et al. (2016) note this diversity in their review of virtual laboratories for science, technology and engineering, while Heradio et al. (2016) show that the field has grown across many disciplines and technical architectures. A clear definition is therefore necessary whenever effectiveness is discussed.</w:t>
      </w:r>
    </w:p>
    <w:p>
      <w:pPr>
        <w:spacing w:after="120" w:line="360" w:lineRule="auto"/>
        <w:ind w:firstLine="720"/>
        <w:jc w:val="both"/>
      </w:pPr>
      <w:r>
        <w:rPr>
          <w:rFonts w:ascii="Times New Roman" w:hAnsi="Times New Roman" w:eastAsia="Times New Roman"/>
          <w:b w:val="0"/>
          <w:i w:val="0"/>
          <w:color w:val="000000"/>
          <w:sz w:val="24"/>
        </w:rPr>
        <w:t>In this study, a virtual laboratory resource means an interactive or demonstrative environment that supports an approved automotive practical task without requiring the learner to be physically present at the represented equipment. This definition is educational rather than software-centred. It includes resources that allow observation, guided manipulation, repetition or interpretation, but it does not assume that every tool has the same fidelity or learning purpose. Ma and Nickerson (2006) similarly distinguish hands-on, simulated and remote laboratories because the experience of manipulating a model is not identical to controlling real apparatus at a distance.</w:t>
      </w:r>
    </w:p>
    <w:p>
      <w:pPr>
        <w:spacing w:after="120" w:line="360" w:lineRule="auto"/>
        <w:ind w:firstLine="720"/>
        <w:jc w:val="both"/>
      </w:pPr>
      <w:r>
        <w:rPr>
          <w:rFonts w:ascii="Times New Roman" w:hAnsi="Times New Roman" w:eastAsia="Times New Roman"/>
          <w:b w:val="0"/>
          <w:i w:val="0"/>
          <w:color w:val="000000"/>
          <w:sz w:val="24"/>
        </w:rPr>
        <w:t>One strength of virtual laboratories is repeatability. Learners can return to a procedure, vary an input, compare outcomes and correct an error without consuming materials or placing equipment at risk. Brinson's (2015) review found that non-traditional laboratories often produced learning outcomes equal to or better than traditional laboratories on the measures used in the reviewed studies. More recent meta-analysis also reports a positive overall effect for virtual laboratories in engineering education, although the size of the effect varies with design and context (Li &amp; Liang, 2024). These findings support use, but they do not justify treating every simulation as automatically effective.</w:t>
      </w:r>
    </w:p>
    <w:p>
      <w:pPr>
        <w:spacing w:after="120" w:line="360" w:lineRule="auto"/>
        <w:ind w:firstLine="720"/>
        <w:jc w:val="both"/>
      </w:pPr>
      <w:r>
        <w:rPr>
          <w:rFonts w:ascii="Times New Roman" w:hAnsi="Times New Roman" w:eastAsia="Times New Roman"/>
          <w:b w:val="0"/>
          <w:i w:val="0"/>
          <w:color w:val="000000"/>
          <w:sz w:val="24"/>
        </w:rPr>
        <w:t>Virtual environments can also reveal processes that are difficult to see directly. PhET simulations, for example, were designed to make scientific relationships visible and support active sense-making (Wieman et al., 2008). In biotechnology education, a gamified laboratory simulation was associated with improved learning and motivation when it was integrated into a course (Bonde et al., 2014). The relevance to automotive education is clear: a well-designed resource can slow down a rapid event, expose an internal relationship, or allow a learner to compare conditions before confronting a physical system.</w:t>
      </w:r>
    </w:p>
    <w:p>
      <w:pPr>
        <w:spacing w:after="120" w:line="360" w:lineRule="auto"/>
        <w:ind w:firstLine="720"/>
        <w:jc w:val="both"/>
      </w:pPr>
      <w:r>
        <w:rPr>
          <w:rFonts w:ascii="Times New Roman" w:hAnsi="Times New Roman" w:eastAsia="Times New Roman"/>
          <w:b w:val="0"/>
          <w:i w:val="0"/>
          <w:color w:val="000000"/>
          <w:sz w:val="24"/>
        </w:rPr>
        <w:t>Another contribution is preparation. Students who meet a practical procedure in a virtual environment before a workshop can arrive with a clearer mental model of the task. Abdulwahed and Nagy (2013) developed a TriLab model that combines virtual, remote and hands-on experiences around an experiential learning approach. This sequence recognises that different laboratory modes can prepare for and reinforce one another. It is more educationally useful than asking whether one mode should replace all the others.</w:t>
      </w:r>
    </w:p>
    <w:p>
      <w:pPr>
        <w:spacing w:after="120" w:line="360" w:lineRule="auto"/>
        <w:ind w:firstLine="720"/>
        <w:jc w:val="both"/>
      </w:pPr>
      <w:r>
        <w:rPr>
          <w:rFonts w:ascii="Times New Roman" w:hAnsi="Times New Roman" w:eastAsia="Times New Roman"/>
          <w:b w:val="0"/>
          <w:i w:val="0"/>
          <w:color w:val="000000"/>
          <w:sz w:val="24"/>
        </w:rPr>
        <w:t>Comparison studies make the need for this balance clearer. Corter et al. (2007) found that remote, simulated and hands-on laboratories create different forms of reality and student experience. Nedic et al. (2003) likewise reported that students valued features differently across real, virtual and remote formats. A virtual resource may offer safe repetition and broad access, while a physical workshop develops tactile judgement and familiarity with imperfect real-world conditions. The proper decision is therefore based on the learning outcome, not on technological novelty.</w:t>
      </w:r>
    </w:p>
    <w:p>
      <w:pPr>
        <w:spacing w:after="120" w:line="360" w:lineRule="auto"/>
        <w:ind w:firstLine="720"/>
        <w:jc w:val="both"/>
      </w:pPr>
      <w:r>
        <w:rPr>
          <w:rFonts w:ascii="Times New Roman" w:hAnsi="Times New Roman" w:eastAsia="Times New Roman"/>
          <w:b w:val="0"/>
          <w:i w:val="0"/>
          <w:color w:val="000000"/>
          <w:sz w:val="24"/>
        </w:rPr>
        <w:t>Systematic reviews have also identified limitations in the evidence base. Reeves and Crippen (2021) found considerable variation in how virtual laboratories are designed and evaluated across undergraduate science and engineering courses. Faulconer and Gruss (2018) note that convenience, safety and accessibility have to be weighed against limitations such as reduced physical realism, technical dependence and the possibility of learner isolation. A platform should not hide these limitations. Its task brief should explain what the virtual resource can demonstrate and what still requires physical practice.</w:t>
      </w:r>
    </w:p>
    <w:p>
      <w:pPr>
        <w:spacing w:after="120" w:line="360" w:lineRule="auto"/>
        <w:ind w:firstLine="720"/>
        <w:jc w:val="both"/>
      </w:pPr>
      <w:r>
        <w:rPr>
          <w:rFonts w:ascii="Times New Roman" w:hAnsi="Times New Roman" w:eastAsia="Times New Roman"/>
          <w:b w:val="0"/>
          <w:i w:val="0"/>
          <w:color w:val="000000"/>
          <w:sz w:val="24"/>
        </w:rPr>
        <w:t>The strongest evidence favours purposeful combination. De Jong et al. (2013) argue that physical and virtual laboratories each have affordances that can contribute to learning, and Kapici et al. (2019) found benefits when hands-on and virtual laboratories were used together. This means that a virtual activity should be linked to an explanation, a question, an evidence requirement or a later practical application. Without that link, repeated clicking may create activity without reflection.</w:t>
      </w:r>
    </w:p>
    <w:p>
      <w:pPr>
        <w:spacing w:after="120" w:line="360" w:lineRule="auto"/>
        <w:ind w:firstLine="720"/>
        <w:jc w:val="both"/>
      </w:pPr>
      <w:r>
        <w:rPr>
          <w:rFonts w:ascii="Times New Roman" w:hAnsi="Times New Roman" w:eastAsia="Times New Roman"/>
          <w:b w:val="0"/>
          <w:i w:val="0"/>
          <w:color w:val="000000"/>
          <w:sz w:val="24"/>
        </w:rPr>
        <w:t>Management features are rarely the most visible part of a virtual laboratory, but they determine whether it can support a course. Lecturers need to decide which students may enter, attach the resource to a particular task, state the expected output, view the evidence returned and know which version of the resource was used. Elmoazen et al. (2023) show that learning analytics can be used within virtual laboratories to understand learner actions, while Gustavsson et al. (2009) discuss individual assessment and collaborative remote laboratory use. These concerns move the discussion from access to academic accountability.</w:t>
      </w:r>
    </w:p>
    <w:p>
      <w:pPr>
        <w:spacing w:after="120" w:line="360" w:lineRule="auto"/>
        <w:ind w:firstLine="720"/>
        <w:jc w:val="both"/>
      </w:pPr>
      <w:r>
        <w:rPr>
          <w:rFonts w:ascii="Times New Roman" w:hAnsi="Times New Roman" w:eastAsia="Times New Roman"/>
          <w:b w:val="0"/>
          <w:i w:val="0"/>
          <w:color w:val="000000"/>
          <w:sz w:val="24"/>
        </w:rPr>
        <w:t>For the proposed platform, the virtual demonstration page is therefore a controlled educational component, not the entire system. Its contribution lies in making a selected resource available at the right point in a practical task and then connecting the resulting activity to a student work trail. This position is supported by at least three broad conclusions in the literature: laboratory modes are not equivalent (Ma &amp; Nickerson, 2006; Corter et al., 2007), virtual environments can strengthen learning when deliberately designed (Brinson, 2015; Li &amp; Liang, 2024; Wieman et al., 2008; Bonde et al., 2014), and combined use is often more defensible than replacement (de Jong et al., 2013; Kapici et al., 2019; Abdulwahed &amp; Nagy, 2013; Faulconer &amp; Gruss, 2018; Reeves &amp; Crippen, 2021; Potkonjak et al., 2016).</w:t>
      </w:r>
    </w:p>
    <w:p>
      <w:pPr>
        <w:pStyle w:val="Heading1"/>
        <w:jc w:val="left"/>
        <w:keepNext/>
      </w:pPr>
      <w:r>
        <w:rPr>
          <w:rFonts w:ascii="Times New Roman" w:hAnsi="Times New Roman" w:eastAsia="Times New Roman"/>
          <w:b/>
          <w:i w:val="0"/>
          <w:color w:val="000000"/>
          <w:sz w:val="28"/>
        </w:rPr>
        <w:t>2.5 Web-Based Practical Learning Platforms</w:t>
      </w:r>
    </w:p>
    <w:p>
      <w:pPr>
        <w:spacing w:after="120" w:line="360" w:lineRule="auto"/>
        <w:ind w:firstLine="720"/>
        <w:jc w:val="both"/>
      </w:pPr>
      <w:r>
        <w:rPr>
          <w:rFonts w:ascii="Times New Roman" w:hAnsi="Times New Roman" w:eastAsia="Times New Roman"/>
          <w:b w:val="0"/>
          <w:i w:val="0"/>
          <w:color w:val="000000"/>
          <w:sz w:val="24"/>
        </w:rPr>
        <w:t>A web-based learning platform provides a persistent space in which educational activities can be organised and accessed through a browser. Early course-management systems such as Moodle demonstrated how enrolment, resources, communication and assessment could be brought together within an open platform (Dougiamas &amp; Taylor, 2003). This integration is more significant than the delivery of notes. It gives a course a continuing structure that can be entered by different users at different times and still preserve a common record.</w:t>
      </w:r>
    </w:p>
    <w:p>
      <w:pPr>
        <w:spacing w:after="120" w:line="360" w:lineRule="auto"/>
        <w:ind w:firstLine="720"/>
        <w:jc w:val="both"/>
      </w:pPr>
      <w:r>
        <w:rPr>
          <w:rFonts w:ascii="Times New Roman" w:hAnsi="Times New Roman" w:eastAsia="Times New Roman"/>
          <w:b w:val="0"/>
          <w:i w:val="0"/>
          <w:color w:val="000000"/>
          <w:sz w:val="24"/>
        </w:rPr>
        <w:t>Learning management systems have nevertheless been criticised when institutional use becomes centred on administration rather than learning. Coates et al. (2005) found that such systems can shape teaching practices and institutional routines, sometimes narrowing them to the functions supplied by the software. For practical education, this warning matters. A generic assignment page may record a file submission but fail to represent the stages of a practical task, the approved demonstration used, the expected evidence or the lecturer's diagnostic feedback.</w:t>
      </w:r>
    </w:p>
    <w:p>
      <w:pPr>
        <w:spacing w:after="120" w:line="360" w:lineRule="auto"/>
        <w:ind w:firstLine="720"/>
        <w:jc w:val="both"/>
      </w:pPr>
      <w:r>
        <w:rPr>
          <w:rFonts w:ascii="Times New Roman" w:hAnsi="Times New Roman" w:eastAsia="Times New Roman"/>
          <w:b w:val="0"/>
          <w:i w:val="0"/>
          <w:color w:val="000000"/>
          <w:sz w:val="24"/>
        </w:rPr>
        <w:t>Successful web-based learning depends on several conditions working together. Sun et al. (2008) identified learner, instructor, course, technology, design and environmental factors in e-learning satisfaction. Al-Fraihat et al. (2020) likewise found that system quality, information quality, service quality and learner-related factors contribute to e-learning success. A practical platform must therefore be dependable and understandable, but it must also provide information that is educationally useful. Fast access to a poorly specified task is still poor support.</w:t>
      </w:r>
    </w:p>
    <w:p>
      <w:pPr>
        <w:spacing w:after="120" w:line="360" w:lineRule="auto"/>
        <w:ind w:firstLine="720"/>
        <w:jc w:val="both"/>
      </w:pPr>
      <w:r>
        <w:rPr>
          <w:rFonts w:ascii="Times New Roman" w:hAnsi="Times New Roman" w:eastAsia="Times New Roman"/>
          <w:b w:val="0"/>
          <w:i w:val="0"/>
          <w:color w:val="000000"/>
          <w:sz w:val="24"/>
        </w:rPr>
        <w:t>The web is especially useful for blended continuity. Garrison and Kanuka (2004) argue that blended learning can transform higher education when online and face-to-face elements are integrated intentionally. Means et al. (2013) found that blended arrangements often performed well in the studies included in their meta-analysis, but the benefit could not be separated from design and additional learning time. The implication is modest but important: a web layer should earn its place by extending or improving the practical process, not by duplicating classroom administration.</w:t>
      </w:r>
    </w:p>
    <w:p>
      <w:pPr>
        <w:spacing w:after="120" w:line="360" w:lineRule="auto"/>
        <w:ind w:firstLine="720"/>
        <w:jc w:val="both"/>
      </w:pPr>
      <w:r>
        <w:rPr>
          <w:rFonts w:ascii="Times New Roman" w:hAnsi="Times New Roman" w:eastAsia="Times New Roman"/>
          <w:b w:val="0"/>
          <w:i w:val="0"/>
          <w:color w:val="000000"/>
          <w:sz w:val="24"/>
        </w:rPr>
        <w:t>Interaction is another central issue. Kuo et al. (2014) linked learner-content, learner-instructor and learner-learner interaction with satisfaction in online learning, while Martin and Bolliger (2018) found that students value engagement strategies involving learners, instructors and peers. For an automotive task, interaction may take the form of a lecturer clarification, feedback on a submitted observation, a structured peer discussion or a shared explanation of a fault condition. The platform should make such interaction visible without allowing it to obscure the student's individual responsibility.</w:t>
      </w:r>
    </w:p>
    <w:p>
      <w:pPr>
        <w:spacing w:after="120" w:line="360" w:lineRule="auto"/>
        <w:ind w:firstLine="720"/>
        <w:jc w:val="both"/>
      </w:pPr>
      <w:r>
        <w:rPr>
          <w:rFonts w:ascii="Times New Roman" w:hAnsi="Times New Roman" w:eastAsia="Times New Roman"/>
          <w:b w:val="0"/>
          <w:i w:val="0"/>
          <w:color w:val="000000"/>
          <w:sz w:val="24"/>
        </w:rPr>
        <w:t>Student engagement and self-management also need support. Bond et al. (2020) show that educational technology can be associated with behavioural, cognitive and affective engagement, but the relationship depends on context and pedagogy. Broadbent and Poon (2015) identify time management, metacognition, effort regulation and critical thinking among the self-regulated strategies linked with online success. In practical terms, students need a dashboard that tells them what is available, what is due, what evidence has been received and what requires correction.</w:t>
      </w:r>
    </w:p>
    <w:p>
      <w:pPr>
        <w:spacing w:after="120" w:line="360" w:lineRule="auto"/>
        <w:ind w:firstLine="720"/>
        <w:jc w:val="both"/>
      </w:pPr>
      <w:r>
        <w:rPr>
          <w:rFonts w:ascii="Times New Roman" w:hAnsi="Times New Roman" w:eastAsia="Times New Roman"/>
          <w:b w:val="0"/>
          <w:i w:val="0"/>
          <w:color w:val="000000"/>
          <w:sz w:val="24"/>
        </w:rPr>
        <w:t>Web platforms increasingly depend on standards and modular integration. The Learning Tools Interoperability specification allows an external learning tool to be launched from a learning platform with identity and context information, while Caliper provides a vocabulary for learning activity events (1EdTech Consortium, 2019a, 2019b). Research on online laboratories shows that this connection can allow laboratory activities and results to participate in a wider course workflow (Ruano et al., 2016a, 2016b; Ruano et al., 2023). These approaches support the architectural choice to keep demonstration resources distinct from the main management platform while linking them through controlled access and shared records.</w:t>
      </w:r>
    </w:p>
    <w:p>
      <w:pPr>
        <w:spacing w:after="120" w:line="360" w:lineRule="auto"/>
        <w:ind w:firstLine="720"/>
        <w:jc w:val="both"/>
      </w:pPr>
      <w:r>
        <w:rPr>
          <w:rFonts w:ascii="Times New Roman" w:hAnsi="Times New Roman" w:eastAsia="Times New Roman"/>
          <w:b w:val="0"/>
          <w:i w:val="0"/>
          <w:color w:val="000000"/>
          <w:sz w:val="24"/>
        </w:rPr>
        <w:t>The proposed platform therefore extends the idea of a learning management system in a focused direction. It retains familiar functions such as user accounts, course membership, resources, tasks, submissions and feedback, but organises them around automotive practical work. The literature suggests ten principles for this role: persistent course structure, purposeful integration, information quality, system quality, interaction, engagement, self-regulation, standards-based connection, traceable assessment and alignment with face-to-face practice (Dougiamas &amp; Taylor, 2003; Coates et al., 2005; Sun et al., 2008; Al-Fraihat et al., 2020; Garrison &amp; Kanuka, 2004; Means et al., 2013; Kuo et al., 2014; Martin &amp; Bolliger, 2018; Bond et al., 2020; Broadbent &amp; Poon, 2015; 1EdTech Consortium, 2019a; Ruano et al., 2023).</w:t>
      </w:r>
    </w:p>
    <w:p>
      <w:pPr>
        <w:pStyle w:val="Heading1"/>
        <w:jc w:val="left"/>
        <w:keepNext/>
      </w:pPr>
      <w:r>
        <w:rPr>
          <w:rFonts w:ascii="Times New Roman" w:hAnsi="Times New Roman" w:eastAsia="Times New Roman"/>
          <w:b/>
          <w:i w:val="0"/>
          <w:color w:val="000000"/>
          <w:sz w:val="28"/>
        </w:rPr>
        <w:t>2.6 Management of Practical Assessment</w:t>
      </w:r>
    </w:p>
    <w:p>
      <w:pPr>
        <w:spacing w:after="120" w:line="360" w:lineRule="auto"/>
        <w:ind w:firstLine="720"/>
        <w:jc w:val="both"/>
      </w:pPr>
      <w:r>
        <w:rPr>
          <w:rFonts w:ascii="Times New Roman" w:hAnsi="Times New Roman" w:eastAsia="Times New Roman"/>
          <w:b w:val="0"/>
          <w:i w:val="0"/>
          <w:color w:val="000000"/>
          <w:sz w:val="24"/>
        </w:rPr>
        <w:t>Assessment gives practical activity academic direction. When the intended outcome, task and judgement criteria are aligned, students can see what competence they are expected to demonstrate. Biggs (1996) describes this relationship as constructive alignment. In an automotive practical course, alignment requires more than attaching a mark to attendance. A task should identify the procedure or problem, the evidence required, the criteria for an acceptable interpretation and the connection with the course outcome.</w:t>
      </w:r>
    </w:p>
    <w:p>
      <w:pPr>
        <w:spacing w:after="120" w:line="360" w:lineRule="auto"/>
        <w:ind w:firstLine="720"/>
        <w:jc w:val="both"/>
      </w:pPr>
      <w:r>
        <w:rPr>
          <w:rFonts w:ascii="Times New Roman" w:hAnsi="Times New Roman" w:eastAsia="Times New Roman"/>
          <w:b w:val="0"/>
          <w:i w:val="0"/>
          <w:color w:val="000000"/>
          <w:sz w:val="24"/>
        </w:rPr>
        <w:t>Formative assessment is especially important because practical competence develops through correction. Sadler (1989) argues that improvement depends on understanding the standard, comparing current performance with that standard and taking action to close the gap. Nicol and Macfarlane-Dick (2006) connect effective feedback with self-regulated learning, while Hattie and Timperley (2007) explain that useful feedback helps learners understand where they are going, how they are doing and what should happen next. A platform can support this cycle only if feedback is attached to identifiable evidence and remains available for later review.</w:t>
      </w:r>
    </w:p>
    <w:p>
      <w:pPr>
        <w:spacing w:after="120" w:line="360" w:lineRule="auto"/>
        <w:ind w:firstLine="720"/>
        <w:jc w:val="both"/>
      </w:pPr>
      <w:r>
        <w:rPr>
          <w:rFonts w:ascii="Times New Roman" w:hAnsi="Times New Roman" w:eastAsia="Times New Roman"/>
          <w:b w:val="0"/>
          <w:i w:val="0"/>
          <w:color w:val="000000"/>
          <w:sz w:val="24"/>
        </w:rPr>
        <w:t>The timing and form of feedback matter as much as its presence. Shute (2008) shows that formative feedback is most useful when it is specific, supportive and focused on the task or process. Evans (2013) also found that students' use of assessment feedback depends on the way it is understood and situated within the learning environment. For practical work, a short comment such as 'incorrect' does little to improve diagnosis. A better response points to the observation that was overlooked, asks for a revised explanation or identifies the next procedure to repeat.</w:t>
      </w:r>
    </w:p>
    <w:p>
      <w:pPr>
        <w:spacing w:after="120" w:line="360" w:lineRule="auto"/>
        <w:ind w:firstLine="720"/>
        <w:jc w:val="both"/>
      </w:pPr>
      <w:r>
        <w:rPr>
          <w:rFonts w:ascii="Times New Roman" w:hAnsi="Times New Roman" w:eastAsia="Times New Roman"/>
          <w:b w:val="0"/>
          <w:i w:val="0"/>
          <w:color w:val="000000"/>
          <w:sz w:val="24"/>
        </w:rPr>
        <w:t>Online environments can make the assessment cycle more visible. Gikandi et al. (2011) found that online formative assessment can support engagement, feedback and learner responsibility when it is carefully designed. Bennett (2011), however, warns that formative assessment should be understood as a process rather than a label attached to any frequent test. The proposed platform should therefore support drafts, revisions, lecturer comments and resubmission where appropriate, instead of treating every upload as a final event.</w:t>
      </w:r>
    </w:p>
    <w:p>
      <w:pPr>
        <w:spacing w:after="120" w:line="360" w:lineRule="auto"/>
        <w:ind w:firstLine="720"/>
        <w:jc w:val="both"/>
      </w:pPr>
      <w:r>
        <w:rPr>
          <w:rFonts w:ascii="Times New Roman" w:hAnsi="Times New Roman" w:eastAsia="Times New Roman"/>
          <w:b w:val="0"/>
          <w:i w:val="0"/>
          <w:color w:val="000000"/>
          <w:sz w:val="24"/>
        </w:rPr>
        <w:t>Assessment also prepares students for future judgement. Boud and Falchikov (2006) argue that assessment should contribute to long-term learning, including the learner's ability to evaluate quality beyond a single course. Carless and Boud (2018) describe feedback literacy as the ability to appreciate feedback, make judgements, manage affect and take action. In automotive education, students should gradually become able to decide whether evidence is sufficient, whether a reading is plausible and whether a conclusion is safe. Rubrics and worked criteria can support this growth when they are used as guides for judgement rather than hidden scoring devices.</w:t>
      </w:r>
    </w:p>
    <w:p>
      <w:pPr>
        <w:spacing w:after="120" w:line="360" w:lineRule="auto"/>
        <w:ind w:firstLine="720"/>
        <w:jc w:val="both"/>
      </w:pPr>
      <w:r>
        <w:rPr>
          <w:rFonts w:ascii="Times New Roman" w:hAnsi="Times New Roman" w:eastAsia="Times New Roman"/>
          <w:b w:val="0"/>
          <w:i w:val="0"/>
          <w:color w:val="000000"/>
          <w:sz w:val="24"/>
        </w:rPr>
        <w:t>Feedback is effective only when students act on it. Winstone et al. (2017) reviewed interventions that support learners' active engagement with feedback and emphasised that responsibility is shared between students and educators. A web platform can help by showing unresolved feedback, allowing a corrected submission and preserving the relationship between the first attempt and the revision. That record turns improvement into something observable instead of leaving it in an informal conversation that may later be forgotten.</w:t>
      </w:r>
    </w:p>
    <w:p>
      <w:pPr>
        <w:spacing w:after="120" w:line="360" w:lineRule="auto"/>
        <w:ind w:firstLine="720"/>
        <w:jc w:val="both"/>
      </w:pPr>
      <w:r>
        <w:rPr>
          <w:rFonts w:ascii="Times New Roman" w:hAnsi="Times New Roman" w:eastAsia="Times New Roman"/>
          <w:b w:val="0"/>
          <w:i w:val="0"/>
          <w:color w:val="000000"/>
          <w:sz w:val="24"/>
        </w:rPr>
        <w:t>Practical assessment must also protect individual accountability. Gustavsson et al. (2009) discuss individual assessment in collaborative remote laboratory work, where the system must distinguish shared activity from each learner's understanding. Koretsky et al. (2011) similarly show that students may experience different learning opportunities in different laboratory formats. The platform should therefore allow group context where collaboration is appropriate, but it should still require individual explanation, evidence ownership or lecturer confirmation when the course outcome is individual competence.</w:t>
      </w:r>
    </w:p>
    <w:p>
      <w:pPr>
        <w:spacing w:after="120" w:line="360" w:lineRule="auto"/>
        <w:ind w:firstLine="720"/>
        <w:jc w:val="both"/>
      </w:pPr>
      <w:r>
        <w:rPr>
          <w:rFonts w:ascii="Times New Roman" w:hAnsi="Times New Roman" w:eastAsia="Times New Roman"/>
          <w:b w:val="0"/>
          <w:i w:val="0"/>
          <w:color w:val="000000"/>
          <w:sz w:val="24"/>
        </w:rPr>
        <w:t>A defensible assessment workflow follows from this literature. The lecturer defines an aligned task and rubric; the student sees the requirements before beginning; evidence is submitted against the task; feedback identifies the quality of the work and the next action; and revisions remain connected to the original attempt. These requirements are supported across constructive alignment, formative assessment, feedback and long-term learning research (Biggs, 1996; Sadler, 1989; Nicol &amp; Macfarlane-Dick, 2006; Hattie &amp; Timperley, 2007; Shute, 2008; Gikandi et al., 2011; Bennett, 2011; Boud &amp; Falchikov, 2006; Evans, 2013; Carless &amp; Boud, 2018; Winstone et al., 2017; Gustavsson et al., 2009). They form the academic basis for the task, rubric, marking and feedback functions of the proposed system.</w:t>
      </w:r>
    </w:p>
    <w:p>
      <w:pPr>
        <w:pStyle w:val="Heading1"/>
        <w:jc w:val="left"/>
        <w:keepNext/>
      </w:pPr>
      <w:r>
        <w:rPr>
          <w:rFonts w:ascii="Times New Roman" w:hAnsi="Times New Roman" w:eastAsia="Times New Roman"/>
          <w:b/>
          <w:i w:val="0"/>
          <w:color w:val="000000"/>
          <w:sz w:val="28"/>
        </w:rPr>
        <w:t>2.7 Practical Evidence, Records, Work Trail and Learning Analytics</w:t>
      </w:r>
    </w:p>
    <w:p>
      <w:pPr>
        <w:spacing w:after="120" w:line="360" w:lineRule="auto"/>
        <w:ind w:firstLine="720"/>
        <w:jc w:val="both"/>
      </w:pPr>
      <w:r>
        <w:rPr>
          <w:rFonts w:ascii="Times New Roman" w:hAnsi="Times New Roman" w:eastAsia="Times New Roman"/>
          <w:b w:val="0"/>
          <w:i w:val="0"/>
          <w:color w:val="000000"/>
          <w:sz w:val="24"/>
        </w:rPr>
        <w:t>Practical learning produces more than a final mark. It produces a trail of task instructions, access events, observations, readings, images, explanations, submissions, comments and revisions. When these items are scattered across paper sheets, personal messaging applications and separate storage folders, it becomes difficult to reconstruct what a student actually did. A web platform can bring the trail together, but only if records are collected for a clear academic purpose.</w:t>
      </w:r>
    </w:p>
    <w:p>
      <w:pPr>
        <w:spacing w:after="120" w:line="360" w:lineRule="auto"/>
        <w:ind w:firstLine="720"/>
        <w:jc w:val="both"/>
      </w:pPr>
      <w:r>
        <w:rPr>
          <w:rFonts w:ascii="Times New Roman" w:hAnsi="Times New Roman" w:eastAsia="Times New Roman"/>
          <w:b w:val="0"/>
          <w:i w:val="0"/>
          <w:color w:val="000000"/>
          <w:sz w:val="24"/>
        </w:rPr>
        <w:t>Learning analytics provides a language for examining digital traces. Siemens and Long (2011) describe analytics as a way of using educational data to support decision-making, while Ferguson (2012) traces its development and the challenges that arise when data is used to understand learning. The key word is support. A count of clicks may describe activity, but it does not by itself demonstrate practical competence. Evidence must remain connected to the task, learning outcome and lecturer's interpretation.</w:t>
      </w:r>
    </w:p>
    <w:p>
      <w:pPr>
        <w:spacing w:after="120" w:line="360" w:lineRule="auto"/>
        <w:ind w:firstLine="720"/>
        <w:jc w:val="both"/>
      </w:pPr>
      <w:r>
        <w:rPr>
          <w:rFonts w:ascii="Times New Roman" w:hAnsi="Times New Roman" w:eastAsia="Times New Roman"/>
          <w:b w:val="0"/>
          <w:i w:val="0"/>
          <w:color w:val="000000"/>
          <w:sz w:val="24"/>
        </w:rPr>
        <w:t>Reviews of learning analytics in higher education show both promise and inconsistency. Viberg et al. (2018) found growing use of analytics for understanding and supporting learning, but also a need for stronger theoretical and methodological foundations. Ifenthaler and Yau (2020) similarly report that analytics can support study success, though implementations vary widely. For automotive practical work, this suggests beginning with modest, interpretable indicators such as task status, submission timing, revision history and unresolved feedback rather than claiming that an automated score can replace professional judgement.</w:t>
      </w:r>
    </w:p>
    <w:p>
      <w:pPr>
        <w:spacing w:after="120" w:line="360" w:lineRule="auto"/>
        <w:ind w:firstLine="720"/>
        <w:jc w:val="both"/>
      </w:pPr>
      <w:r>
        <w:rPr>
          <w:rFonts w:ascii="Times New Roman" w:hAnsi="Times New Roman" w:eastAsia="Times New Roman"/>
          <w:b w:val="0"/>
          <w:i w:val="0"/>
          <w:color w:val="000000"/>
          <w:sz w:val="24"/>
        </w:rPr>
        <w:t>Dashboards are one way to return information to users. Verbert et al. (2013) describe learning analytics dashboards that present awareness and reflection information, and Schwendimann et al. (2017) found wide variation in their data, designs and evaluation. Matcha et al. (2020) further show that dashboard effects depend on how visual information is connected to learning strategies. A student dashboard should therefore answer practical questions: Which task is open? Which evidence has been accepted? What feedback needs action? A lecturer dashboard should show who is waiting, who has not begun and which submissions require review.</w:t>
      </w:r>
    </w:p>
    <w:p>
      <w:pPr>
        <w:spacing w:after="120" w:line="360" w:lineRule="auto"/>
        <w:ind w:firstLine="720"/>
        <w:jc w:val="both"/>
      </w:pPr>
      <w:r>
        <w:rPr>
          <w:rFonts w:ascii="Times New Roman" w:hAnsi="Times New Roman" w:eastAsia="Times New Roman"/>
          <w:b w:val="0"/>
          <w:i w:val="0"/>
          <w:color w:val="000000"/>
          <w:sz w:val="24"/>
        </w:rPr>
        <w:t>Student-facing analytics must be designed with care. Bodily and Verbert (2017) found that dashboards often provide descriptive information but do not always guide the learner toward an effective response. Mangaroska and Giannakos (2019) argue for a closer relationship between learning analytics and learning design. The work trail in the proposed platform should therefore be actionable. A missed task can lead to a reminder, repeated attempts can prompt lecturer support, and a feedback status can direct the student back to the relevant evidence.</w:t>
      </w:r>
    </w:p>
    <w:p>
      <w:pPr>
        <w:spacing w:after="120" w:line="360" w:lineRule="auto"/>
        <w:ind w:firstLine="720"/>
        <w:jc w:val="both"/>
      </w:pPr>
      <w:r>
        <w:rPr>
          <w:rFonts w:ascii="Times New Roman" w:hAnsi="Times New Roman" w:eastAsia="Times New Roman"/>
          <w:b w:val="0"/>
          <w:i w:val="0"/>
          <w:color w:val="000000"/>
          <w:sz w:val="24"/>
        </w:rPr>
        <w:t>Virtual laboratories can produce particularly rich traces because learner actions occur within an interactive environment. Elmoazen et al. (2023) identify opportunities for virtual-laboratory analytics to support learning and assessment. At the same time, the meaning of an event depends on the resource. Opening a demonstration is not the same as completing it; completing it is not the same as understanding it. The platform should preserve resource identity, access time and submitted output where available, but the academic claim should be based on the full evidence set rather than a single event.</w:t>
      </w:r>
    </w:p>
    <w:p>
      <w:pPr>
        <w:spacing w:after="120" w:line="360" w:lineRule="auto"/>
        <w:ind w:firstLine="720"/>
        <w:jc w:val="both"/>
      </w:pPr>
      <w:r>
        <w:rPr>
          <w:rFonts w:ascii="Times New Roman" w:hAnsi="Times New Roman" w:eastAsia="Times New Roman"/>
          <w:b w:val="0"/>
          <w:i w:val="0"/>
          <w:color w:val="000000"/>
          <w:sz w:val="24"/>
        </w:rPr>
        <w:t>Ethical concerns place necessary limits on collection. Slade and Prinsloo (2013) argue that learning analytics raises questions of consent, identity, power and institutional responsibility. Pardo and Siemens (2014) propose principles concerned with transparency, access, privacy and accountability, while Kitto and Knight (2019) stress practical ethical decision-making during system design. These concerns support data minimisation: the platform should collect what is needed for learning, assessment and security, explain its purpose, restrict access by role and retain records according to an institutional policy.</w:t>
      </w:r>
    </w:p>
    <w:p>
      <w:pPr>
        <w:spacing w:after="120" w:line="360" w:lineRule="auto"/>
        <w:ind w:firstLine="720"/>
        <w:jc w:val="both"/>
      </w:pPr>
      <w:r>
        <w:rPr>
          <w:rFonts w:ascii="Times New Roman" w:hAnsi="Times New Roman" w:eastAsia="Times New Roman"/>
          <w:b w:val="0"/>
          <w:i w:val="0"/>
          <w:color w:val="000000"/>
          <w:sz w:val="24"/>
        </w:rPr>
        <w:t>The practical work trail can therefore be understood as a curated academic record, not surveillance. Its minimum elements are the task and version, assigned learner, approved resource, access or attempt record, evidence submitted, timestamp, lecturer feedback, assessment decision and revision history. This interpretation draws on learning analytics, dashboard and ethics research (Siemens &amp; Long, 2011; Ferguson, 2012; Viberg et al., 2018; Ifenthaler &amp; Yau, 2020; Verbert et al., 2013; Schwendimann et al., 2017; Matcha et al., 2020; Bodily &amp; Verbert, 2017; Mangaroska &amp; Giannakos, 2019; Elmoazen et al., 2023; Slade &amp; Prinsloo, 2013; Pardo &amp; Siemens, 2014; Kitto &amp; Knight, 2019). It provides a basis for review without pretending that data can replace the lecturer's educational judgement.</w:t>
      </w:r>
    </w:p>
    <w:p>
      <w:pPr>
        <w:pStyle w:val="Heading1"/>
        <w:jc w:val="left"/>
        <w:keepNext/>
      </w:pPr>
      <w:r>
        <w:rPr>
          <w:rFonts w:ascii="Times New Roman" w:hAnsi="Times New Roman" w:eastAsia="Times New Roman"/>
          <w:b/>
          <w:i w:val="0"/>
          <w:color w:val="000000"/>
          <w:sz w:val="28"/>
        </w:rPr>
        <w:t>2.8 User and Academic Management</w:t>
      </w:r>
    </w:p>
    <w:p>
      <w:pPr>
        <w:spacing w:after="120" w:line="360" w:lineRule="auto"/>
        <w:ind w:firstLine="720"/>
        <w:jc w:val="both"/>
      </w:pPr>
      <w:r>
        <w:rPr>
          <w:rFonts w:ascii="Times New Roman" w:hAnsi="Times New Roman" w:eastAsia="Times New Roman"/>
          <w:b w:val="0"/>
          <w:i w:val="0"/>
          <w:color w:val="000000"/>
          <w:sz w:val="24"/>
        </w:rPr>
        <w:t>Educational platforms are shared environments, but users should not all have the same authority. Students need to view their courses, open approved tasks, submit evidence and read feedback. Lecturers need to create or manage tasks, review student work and record academic decisions. Administrators need to maintain accounts, programmes, courses, academic periods and institutional settings. Role-based access control provides a well-established way to assign permissions through organisational roles rather than managing each user in isolation (Sandhu et al., 1996; Ferraiolo et al., 2001).</w:t>
      </w:r>
    </w:p>
    <w:p>
      <w:pPr>
        <w:spacing w:after="120" w:line="360" w:lineRule="auto"/>
        <w:ind w:firstLine="720"/>
        <w:jc w:val="both"/>
      </w:pPr>
      <w:r>
        <w:rPr>
          <w:rFonts w:ascii="Times New Roman" w:hAnsi="Times New Roman" w:eastAsia="Times New Roman"/>
          <w:b w:val="0"/>
          <w:i w:val="0"/>
          <w:color w:val="000000"/>
          <w:sz w:val="24"/>
        </w:rPr>
        <w:t>The principle of least privilege gives this structure a security purpose. Saltzer and Schroeder (1975) argue that a user or process should operate with only the privileges needed for its task. In the proposed platform, a student should not be able to edit a rubric, and a lecturer should not automatically gain system-wide administrative power. Clear boundaries reduce accidental changes and make the meaning of an action easier to defend.</w:t>
      </w:r>
    </w:p>
    <w:p>
      <w:pPr>
        <w:spacing w:after="120" w:line="360" w:lineRule="auto"/>
        <w:ind w:firstLine="720"/>
        <w:jc w:val="both"/>
      </w:pPr>
      <w:r>
        <w:rPr>
          <w:rFonts w:ascii="Times New Roman" w:hAnsi="Times New Roman" w:eastAsia="Times New Roman"/>
          <w:b w:val="0"/>
          <w:i w:val="0"/>
          <w:color w:val="000000"/>
          <w:sz w:val="24"/>
        </w:rPr>
        <w:t>Identity management is more than a login form. Current digital identity guidance treats enrolment, authentication, authenticator management and federation as connected assurance decisions (National Institute of Standards and Technology, 2025). An institution may begin with local accounts, but the platform should still support unique identities, protected credentials, account recovery and the suspension of users who no longer require access. Academic records lose value when actions cannot be reliably associated with a person.</w:t>
      </w:r>
    </w:p>
    <w:p>
      <w:pPr>
        <w:spacing w:after="120" w:line="360" w:lineRule="auto"/>
        <w:ind w:firstLine="720"/>
        <w:jc w:val="both"/>
      </w:pPr>
      <w:r>
        <w:rPr>
          <w:rFonts w:ascii="Times New Roman" w:hAnsi="Times New Roman" w:eastAsia="Times New Roman"/>
          <w:b w:val="0"/>
          <w:i w:val="0"/>
          <w:color w:val="000000"/>
          <w:sz w:val="24"/>
        </w:rPr>
        <w:t>Academic structures also change over time. Programmes contain courses; courses are offered in academic periods; lecturers receive teaching assignments; students register or are enrolled; and practical tasks belong to a particular offering. Course-management research shows that digital platforms can become part of institutional routines and must reflect the realities of enrolment and teaching responsibility (Coates et al., 2005; Dougiamas &amp; Taylor, 2003). The data model should therefore distinguish a course definition from a specific class and preserve historical records when staff or curricula change.</w:t>
      </w:r>
    </w:p>
    <w:p>
      <w:pPr>
        <w:spacing w:after="120" w:line="360" w:lineRule="auto"/>
        <w:ind w:firstLine="720"/>
        <w:jc w:val="both"/>
      </w:pPr>
      <w:r>
        <w:rPr>
          <w:rFonts w:ascii="Times New Roman" w:hAnsi="Times New Roman" w:eastAsia="Times New Roman"/>
          <w:b w:val="0"/>
          <w:i w:val="0"/>
          <w:color w:val="000000"/>
          <w:sz w:val="24"/>
        </w:rPr>
        <w:t>System success depends partly on whether these administrative arrangements feel coherent to users. DeLone and McLean (2003) link system quality, information quality and service quality with use, satisfaction and benefits. Islam (2013) found that e-learning system use produces different outcomes depending on how the system supports learners and their tasks. Al-Fraihat et al. (2020) similarly emphasise the combined influence of technical, informational and service conditions. A correct permission structure can still fail in practice if users cannot understand where their responsibilities begin and end.</w:t>
      </w:r>
    </w:p>
    <w:p>
      <w:pPr>
        <w:spacing w:after="120" w:line="360" w:lineRule="auto"/>
        <w:ind w:firstLine="720"/>
        <w:jc w:val="both"/>
      </w:pPr>
      <w:r>
        <w:rPr>
          <w:rFonts w:ascii="Times New Roman" w:hAnsi="Times New Roman" w:eastAsia="Times New Roman"/>
          <w:b w:val="0"/>
          <w:i w:val="0"/>
          <w:color w:val="000000"/>
          <w:sz w:val="24"/>
        </w:rPr>
        <w:t>Interoperability can reduce duplicate administration. Learning Tools Interoperability can pass identity, role and learning context from a host learning platform to an external tool (1EdTech Consortium, 2019a). The proposed system need not depend on such integration in its first version, but its user and course structures should be designed so that institutional sign-on or learning-tool launch can be added later. This protects the platform from becoming an isolated list of accounts that must be maintained separately forever.</w:t>
      </w:r>
    </w:p>
    <w:p>
      <w:pPr>
        <w:spacing w:after="120" w:line="360" w:lineRule="auto"/>
        <w:ind w:firstLine="720"/>
        <w:jc w:val="both"/>
      </w:pPr>
      <w:r>
        <w:rPr>
          <w:rFonts w:ascii="Times New Roman" w:hAnsi="Times New Roman" w:eastAsia="Times New Roman"/>
          <w:b w:val="0"/>
          <w:i w:val="0"/>
          <w:color w:val="000000"/>
          <w:sz w:val="24"/>
        </w:rPr>
        <w:t>Accountability also requires a record of sensitive administrative actions. Changes to user status, role assignment, course ownership, task publication and assessment release should be attributable and time-stamped. This is consistent with role-based governance, least privilege and information-system quality principles (Sandhu et al., 1996; Ferraiolo et al., 2001; Saltzer &amp; Schroeder, 1975; DeLone &amp; McLean, 2003). The audit record should be limited to legitimate oversight and should not be confused with unrestricted monitoring.</w:t>
      </w:r>
    </w:p>
    <w:p>
      <w:pPr>
        <w:spacing w:after="120" w:line="360" w:lineRule="auto"/>
        <w:ind w:firstLine="720"/>
        <w:jc w:val="both"/>
      </w:pPr>
      <w:r>
        <w:rPr>
          <w:rFonts w:ascii="Times New Roman" w:hAnsi="Times New Roman" w:eastAsia="Times New Roman"/>
          <w:b w:val="0"/>
          <w:i w:val="0"/>
          <w:color w:val="000000"/>
          <w:sz w:val="24"/>
        </w:rPr>
        <w:t>Taken together, the literature supports a management layer built around verified identity, role separation, academic structure, enrolment, lifecycle control and traceable administration. Its design is informed by role-based access research, classic protection principles, contemporary identity guidance and studies of learning-system quality and institutional use (Sandhu et al., 1996; Ferraiolo et al., 2001; Saltzer &amp; Schroeder, 1975; National Institute of Standards and Technology, 2025; Coates et al., 2005; Dougiamas &amp; Taylor, 2003; DeLone &amp; McLean, 2003; Islam, 2013; Al-Fraihat et al., 2020; 1EdTech Consortium, 2019a). This management layer is what allows practical resources and records to be used responsibly at institutional scale.</w:t>
      </w:r>
    </w:p>
    <w:p>
      <w:pPr>
        <w:pStyle w:val="Heading1"/>
        <w:jc w:val="left"/>
        <w:keepNext/>
      </w:pPr>
      <w:r>
        <w:rPr>
          <w:rFonts w:ascii="Times New Roman" w:hAnsi="Times New Roman" w:eastAsia="Times New Roman"/>
          <w:b/>
          <w:i w:val="0"/>
          <w:color w:val="000000"/>
          <w:sz w:val="28"/>
        </w:rPr>
        <w:t>2.9 System Integration and Interoperability</w:t>
      </w:r>
    </w:p>
    <w:p>
      <w:pPr>
        <w:spacing w:after="120" w:line="360" w:lineRule="auto"/>
        <w:ind w:firstLine="720"/>
        <w:jc w:val="both"/>
      </w:pPr>
      <w:r>
        <w:rPr>
          <w:rFonts w:ascii="Times New Roman" w:hAnsi="Times New Roman" w:eastAsia="Times New Roman"/>
          <w:b w:val="0"/>
          <w:i w:val="0"/>
          <w:color w:val="000000"/>
          <w:sz w:val="24"/>
        </w:rPr>
        <w:t>A practical education platform is unlikely to remain a single, self-contained application. It may need to launch an external demonstration, receive a result, identify a course from another learning system or export a record for later analysis. Interoperability addresses this need by defining shared ways to describe resources, exchange context and record activity. It is a design concern even when the first implementation uses only a small number of tools.</w:t>
      </w:r>
    </w:p>
    <w:p>
      <w:pPr>
        <w:spacing w:after="120" w:line="360" w:lineRule="auto"/>
        <w:ind w:firstLine="720"/>
        <w:jc w:val="both"/>
      </w:pPr>
      <w:r>
        <w:rPr>
          <w:rFonts w:ascii="Times New Roman" w:hAnsi="Times New Roman" w:eastAsia="Times New Roman"/>
          <w:b w:val="0"/>
          <w:i w:val="0"/>
          <w:color w:val="000000"/>
          <w:sz w:val="24"/>
        </w:rPr>
        <w:t>Metadata supports discovery and reuse. The IEEE Learning Object Metadata standard provides a structured way to describe learning objects, including their identity, lifecycle, technical characteristics and educational properties (IEEE Computer Society, 2020). For an automotive demonstration, useful local metadata would include title, version, topic, learning outcome, prerequisites, instructions, expected evidence, compatibility and approval status. These fields allow the platform to manage the resource as an academic object rather than as an unexplained hyperlink.</w:t>
      </w:r>
    </w:p>
    <w:p>
      <w:pPr>
        <w:spacing w:after="120" w:line="360" w:lineRule="auto"/>
        <w:ind w:firstLine="720"/>
        <w:jc w:val="both"/>
      </w:pPr>
      <w:r>
        <w:rPr>
          <w:rFonts w:ascii="Times New Roman" w:hAnsi="Times New Roman" w:eastAsia="Times New Roman"/>
          <w:b w:val="0"/>
          <w:i w:val="0"/>
          <w:color w:val="000000"/>
          <w:sz w:val="24"/>
        </w:rPr>
        <w:t>Launch standards help keep the main platform separate from an external tool. Learning Tools Interoperability enables a platform to send a secure launch request containing user, role and course context, while Caliper Analytics defines event structures that can describe learning activities (1EdTech Consortium, 2019a, 2019b). This separation is valuable because the educational platform can manage access and evidence without owning the internal engineering logic of the demonstration resource.</w:t>
      </w:r>
    </w:p>
    <w:p>
      <w:pPr>
        <w:spacing w:after="120" w:line="360" w:lineRule="auto"/>
        <w:ind w:firstLine="720"/>
        <w:jc w:val="both"/>
      </w:pPr>
      <w:r>
        <w:rPr>
          <w:rFonts w:ascii="Times New Roman" w:hAnsi="Times New Roman" w:eastAsia="Times New Roman"/>
          <w:b w:val="0"/>
          <w:i w:val="0"/>
          <w:color w:val="000000"/>
          <w:sz w:val="24"/>
        </w:rPr>
        <w:t>Online laboratory research has examined this problem directly. Sancristobal et al. (2010) proposed an integration view of web laboratories and learning management systems. Ruano et al. (2016a) demonstrated advanced integration of SCORM-based web laboratories, while Ruano et al. (2016b) connected laboratory design with learning effectiveness and platform integration. Their later review of standards concludes that online laboratories can be integrated through several approaches, although fragmentation and inconsistent implementation remain challenges (Ruano et al., 2023).</w:t>
      </w:r>
    </w:p>
    <w:p>
      <w:pPr>
        <w:spacing w:after="120" w:line="360" w:lineRule="auto"/>
        <w:ind w:firstLine="720"/>
        <w:jc w:val="both"/>
      </w:pPr>
      <w:r>
        <w:rPr>
          <w:rFonts w:ascii="Times New Roman" w:hAnsi="Times New Roman" w:eastAsia="Times New Roman"/>
          <w:b w:val="0"/>
          <w:i w:val="0"/>
          <w:color w:val="000000"/>
          <w:sz w:val="24"/>
        </w:rPr>
        <w:t>Remote laboratory management systems provide another set of lessons. The iLab Shared Architecture was designed to support scalable sharing of laboratory services across institutions (Harward et al., 2008). WebLab-Deusto developed an architecture for managing remote laboratory access and experiments (Orduña et al., 2018), while VISIR provided a remotely accessible environment for wiring and measuring electronic circuits (Tawfik et al., 2013). These systems show the value of separating scheduling, user management and experiment services, even though their technical domains differ from automotive practical education.</w:t>
      </w:r>
    </w:p>
    <w:p>
      <w:pPr>
        <w:spacing w:after="120" w:line="360" w:lineRule="auto"/>
        <w:ind w:firstLine="720"/>
        <w:jc w:val="both"/>
      </w:pPr>
      <w:r>
        <w:rPr>
          <w:rFonts w:ascii="Times New Roman" w:hAnsi="Times New Roman" w:eastAsia="Times New Roman"/>
          <w:b w:val="0"/>
          <w:i w:val="0"/>
          <w:color w:val="000000"/>
          <w:sz w:val="24"/>
        </w:rPr>
        <w:t>Federated educational laboratory initiatives broaden the picture. Go-Lab brought online laboratories into inquiry learning spaces supported by guidance and learning applications (de Jong et al., 2014). India's Virtual Labs initiative developed a large-scale model for widening access to laboratory experiences across institutions (Bose, 2013). Both demonstrate that the usefulness of a laboratory resource increases when it is placed within a designed learning sequence rather than offered as an isolated technical service.</w:t>
      </w:r>
    </w:p>
    <w:p>
      <w:pPr>
        <w:spacing w:after="120" w:line="360" w:lineRule="auto"/>
        <w:ind w:firstLine="720"/>
        <w:jc w:val="both"/>
      </w:pPr>
      <w:r>
        <w:rPr>
          <w:rFonts w:ascii="Times New Roman" w:hAnsi="Times New Roman" w:eastAsia="Times New Roman"/>
          <w:b w:val="0"/>
          <w:i w:val="0"/>
          <w:color w:val="000000"/>
          <w:sz w:val="24"/>
        </w:rPr>
        <w:t>The proposed platform can apply these lessons in a proportionate way. Each demonstration resource should have a stable identifier and version; tasks should specify the approved version; launches should pass only necessary user and course context; results or evidence should return through a defined interface; and failures should be logged without exposing sensitive information. Where no standard connection is available, the platform can still use a controlled link and require the learner to submit evidence against the task.</w:t>
      </w:r>
    </w:p>
    <w:p>
      <w:pPr>
        <w:spacing w:after="120" w:line="360" w:lineRule="auto"/>
        <w:ind w:firstLine="720"/>
        <w:jc w:val="both"/>
      </w:pPr>
      <w:r>
        <w:rPr>
          <w:rFonts w:ascii="Times New Roman" w:hAnsi="Times New Roman" w:eastAsia="Times New Roman"/>
          <w:b w:val="0"/>
          <w:i w:val="0"/>
          <w:color w:val="000000"/>
          <w:sz w:val="24"/>
        </w:rPr>
        <w:t>This approach is supported by more than ten strands of work on metadata, tool launch, activity events, laboratory integration and remote-laboratory architectures (IEEE Computer Society, 2020; 1EdTech Consortium, 2019a, 2019b; Sancristobal et al., 2010; Ruano et al., 2016a, 2016b, 2023; Harward et al., 2008; Orduña et al., 2018; Tawfik et al., 2013; de Jong et al., 2014; Bose, 2013). The central design decision is loose coupling: the platform manages the academic relationship around a resource, while the resource remains responsible for its own specialised interaction.</w:t>
      </w:r>
    </w:p>
    <w:p>
      <w:pPr>
        <w:pStyle w:val="Heading1"/>
        <w:jc w:val="left"/>
        <w:keepNext/>
      </w:pPr>
      <w:r>
        <w:rPr>
          <w:rFonts w:ascii="Times New Roman" w:hAnsi="Times New Roman" w:eastAsia="Times New Roman"/>
          <w:b/>
          <w:i w:val="0"/>
          <w:color w:val="000000"/>
          <w:sz w:val="28"/>
        </w:rPr>
        <w:t>2.10 Usability, Accessibility and Security</w:t>
      </w:r>
    </w:p>
    <w:p>
      <w:pPr>
        <w:spacing w:after="120" w:line="360" w:lineRule="auto"/>
        <w:ind w:firstLine="720"/>
        <w:jc w:val="both"/>
      </w:pPr>
      <w:r>
        <w:rPr>
          <w:rFonts w:ascii="Times New Roman" w:hAnsi="Times New Roman" w:eastAsia="Times New Roman"/>
          <w:b w:val="0"/>
          <w:i w:val="0"/>
          <w:color w:val="000000"/>
          <w:sz w:val="24"/>
        </w:rPr>
        <w:t>A platform can be educationally sound and still fail if users cannot operate it reliably. ISO 9241-11 defines usability in relation to effectiveness, efficiency and satisfaction within a specified context of use (International Organization for Standardization, 2018). The context here includes students who may use mobile phones or shared computers, lecturers working under marking pressure and administrators maintaining academic records. Usability should therefore be evaluated through realistic tasks rather than visual preference alone.</w:t>
      </w:r>
    </w:p>
    <w:p>
      <w:pPr>
        <w:spacing w:after="120" w:line="360" w:lineRule="auto"/>
        <w:ind w:firstLine="720"/>
        <w:jc w:val="both"/>
      </w:pPr>
      <w:r>
        <w:rPr>
          <w:rFonts w:ascii="Times New Roman" w:hAnsi="Times New Roman" w:eastAsia="Times New Roman"/>
          <w:b w:val="0"/>
          <w:i w:val="0"/>
          <w:color w:val="000000"/>
          <w:sz w:val="24"/>
        </w:rPr>
        <w:t>The System Usability Scale offers a concise way to collect users' overall perception of a system (Brooke, 1996). Later studies have clarified how its scores can be interpreted across many products and contexts (Bangor et al., 2008; Lewis, 2018). The instrument does not diagnose every design problem, but it can be combined with task completion, error observation and interviews. For the proposed platform, evaluation should include registering or approving a user, publishing a task, opening a demonstration, submitting evidence and responding to feedback.</w:t>
      </w:r>
    </w:p>
    <w:p>
      <w:pPr>
        <w:spacing w:after="120" w:line="360" w:lineRule="auto"/>
        <w:ind w:firstLine="720"/>
        <w:jc w:val="both"/>
      </w:pPr>
      <w:r>
        <w:rPr>
          <w:rFonts w:ascii="Times New Roman" w:hAnsi="Times New Roman" w:eastAsia="Times New Roman"/>
          <w:b w:val="0"/>
          <w:i w:val="0"/>
          <w:color w:val="000000"/>
          <w:sz w:val="24"/>
        </w:rPr>
        <w:t>Accessibility extends usability by recognising that users differ in vision, hearing, movement, language, attention and technology. The Web Content Accessibility Guidelines 2.2 organise requirements under perceivable, operable, understandable and robust principles (World Wide Web Consortium, 2024). Universal Design for Learning also encourages multiple means of engagement, representation and action or expression (Al-Azawei et al., 2016; Burgstahler, 2015). In practical terms, the platform should support keyboard operation, meaningful labels, sufficient contrast, captions or transcripts, clear error messages and alternatives to evidence formats that create unnecessary barriers.</w:t>
      </w:r>
    </w:p>
    <w:p>
      <w:pPr>
        <w:spacing w:after="120" w:line="360" w:lineRule="auto"/>
        <w:ind w:firstLine="720"/>
        <w:jc w:val="both"/>
      </w:pPr>
      <w:r>
        <w:rPr>
          <w:rFonts w:ascii="Times New Roman" w:hAnsi="Times New Roman" w:eastAsia="Times New Roman"/>
          <w:b w:val="0"/>
          <w:i w:val="0"/>
          <w:color w:val="000000"/>
          <w:sz w:val="24"/>
        </w:rPr>
        <w:t>Accessibility is especially important when interactive demonstrations are embedded or linked. A visually rich resource may still exclude a learner if important changes are communicated only by colour or if controls have no keyboard equivalent. The platform cannot repair every external tool, but it can record accessibility information, provide equivalent instructions and allow lecturers to approve an alternative route. This is consistent with WCAG's emphasis on conformance and with universal design's focus on reducing avoidable barriers (World Wide Web Consortium, 2024; Al-Azawei et al., 2016).</w:t>
      </w:r>
    </w:p>
    <w:p>
      <w:pPr>
        <w:spacing w:after="120" w:line="360" w:lineRule="auto"/>
        <w:ind w:firstLine="720"/>
        <w:jc w:val="both"/>
      </w:pPr>
      <w:r>
        <w:rPr>
          <w:rFonts w:ascii="Times New Roman" w:hAnsi="Times New Roman" w:eastAsia="Times New Roman"/>
          <w:b w:val="0"/>
          <w:i w:val="0"/>
          <w:color w:val="000000"/>
          <w:sz w:val="24"/>
        </w:rPr>
        <w:t>Security protects both educational continuity and the trustworthiness of records. Classic protection principles such as least privilege, complete mediation and secure defaults remain relevant (Saltzer &amp; Schroeder, 1975). Role-based access control translates some of these principles into manageable institutional permissions (Sandhu et al., 1996; Ferraiolo et al., 2001). Authentication, authorisation and session handling should be applied consistently across the main platform and any connected resource.</w:t>
      </w:r>
    </w:p>
    <w:p>
      <w:pPr>
        <w:spacing w:after="120" w:line="360" w:lineRule="auto"/>
        <w:ind w:firstLine="720"/>
        <w:jc w:val="both"/>
      </w:pPr>
      <w:r>
        <w:rPr>
          <w:rFonts w:ascii="Times New Roman" w:hAnsi="Times New Roman" w:eastAsia="Times New Roman"/>
          <w:b w:val="0"/>
          <w:i w:val="0"/>
          <w:color w:val="000000"/>
          <w:sz w:val="24"/>
        </w:rPr>
        <w:t>Modern web risks also require secure development practices. The OWASP Top 10 identifies common categories such as broken access control, cryptographic failures, injection, insecure design and security misconfiguration (OWASP Foundation, 2021). The Secure Software Development Framework recommends practices for preparing the organisation, protecting software, producing well-secured releases and responding to vulnerabilities (Souppaya et al., 2022). These sources support security work throughout development rather than a single test performed after the platform is complete.</w:t>
      </w:r>
    </w:p>
    <w:p>
      <w:pPr>
        <w:spacing w:after="120" w:line="360" w:lineRule="auto"/>
        <w:ind w:firstLine="720"/>
        <w:jc w:val="both"/>
      </w:pPr>
      <w:r>
        <w:rPr>
          <w:rFonts w:ascii="Times New Roman" w:hAnsi="Times New Roman" w:eastAsia="Times New Roman"/>
          <w:b w:val="0"/>
          <w:i w:val="0"/>
          <w:color w:val="000000"/>
          <w:sz w:val="24"/>
        </w:rPr>
        <w:t>Identity guidance adds practical detail. NIST SP 800-63-4 addresses identity proofing, authentication and federation at different assurance levels (National Institute of Standards and Technology, 2025). A student project platform may not require the highest assurance level, but it should protect passwords, use secure recovery, restrict repeated login attempts, invalidate sessions when appropriate and consider stronger authentication for administrative roles. The security level should be proportionate to the personal and academic records held.</w:t>
      </w:r>
    </w:p>
    <w:p>
      <w:pPr>
        <w:spacing w:after="120" w:line="360" w:lineRule="auto"/>
        <w:ind w:firstLine="720"/>
        <w:jc w:val="both"/>
      </w:pPr>
      <w:r>
        <w:rPr>
          <w:rFonts w:ascii="Times New Roman" w:hAnsi="Times New Roman" w:eastAsia="Times New Roman"/>
          <w:b w:val="0"/>
          <w:i w:val="0"/>
          <w:color w:val="000000"/>
          <w:sz w:val="24"/>
        </w:rPr>
        <w:t>Privacy must also be treated as a design requirement. Learning records reveal behaviour, performance and sometimes difficulties. Slade and Prinsloo (2013), Pardo and Siemens (2014), and Kitto and Knight (2019) show why educational data use needs transparency, purpose limitation and accountable decision-making. The proposed platform should tell users what it records, collect only what the course requires, limit access, protect data in transit and at rest, and define how long records are retained.</w:t>
      </w:r>
    </w:p>
    <w:p>
      <w:pPr>
        <w:spacing w:after="120" w:line="360" w:lineRule="auto"/>
        <w:ind w:firstLine="720"/>
        <w:jc w:val="both"/>
      </w:pPr>
      <w:r>
        <w:rPr>
          <w:rFonts w:ascii="Times New Roman" w:hAnsi="Times New Roman" w:eastAsia="Times New Roman"/>
          <w:b w:val="0"/>
          <w:i w:val="0"/>
          <w:color w:val="000000"/>
          <w:sz w:val="24"/>
        </w:rPr>
        <w:t>Usability, accessibility and security should not be treated as competing extras. Clear navigation can reduce errors; accessible labels can improve form completion for everyone; and well-designed permissions can make responsibility easier to understand. The design basis is therefore drawn from usability standards and measurement, accessibility and universal design, protection principles, role-based access, web security, secure development, digital identity and educational data ethics (International Organization for Standardization, 2018; Brooke, 1996; Bangor et al., 2008; Lewis, 2018; World Wide Web Consortium, 2024; Al-Azawei et al., 2016; Burgstahler, 2015; Saltzer &amp; Schroeder, 1975; Sandhu et al., 1996; Ferraiolo et al., 2001; OWASP Foundation, 2021; Souppaya et al., 2022; National Institute of Standards and Technology, 2025; Slade &amp; Prinsloo, 2013).</w:t>
      </w:r>
    </w:p>
    <w:p>
      <w:pPr>
        <w:pStyle w:val="Heading1"/>
        <w:jc w:val="left"/>
        <w:keepNext/>
      </w:pPr>
      <w:r>
        <w:rPr>
          <w:rFonts w:ascii="Times New Roman" w:hAnsi="Times New Roman" w:eastAsia="Times New Roman"/>
          <w:b/>
          <w:i w:val="0"/>
          <w:color w:val="000000"/>
          <w:sz w:val="28"/>
        </w:rPr>
        <w:t>2.11 Theoretical Review</w:t>
      </w:r>
    </w:p>
    <w:p>
      <w:pPr>
        <w:spacing w:after="120" w:line="360" w:lineRule="auto"/>
        <w:ind w:firstLine="720"/>
        <w:jc w:val="both"/>
      </w:pPr>
      <w:r>
        <w:rPr>
          <w:rFonts w:ascii="Times New Roman" w:hAnsi="Times New Roman" w:eastAsia="Times New Roman"/>
          <w:b w:val="0"/>
          <w:i w:val="0"/>
          <w:color w:val="000000"/>
          <w:sz w:val="24"/>
        </w:rPr>
        <w:t>The proposed platform is guided by three complementary theoretical perspectives. Experiential learning explains why practical activity must move through experience, reflection, conceptual understanding and renewed action. Constructivist learning explains why students need to interpret evidence and build meaning through purposeful tasks rather than receive information passively. The Technology Acceptance Model explains why perceived usefulness and ease of use affect whether students and lecturers will actually adopt the platform. Together, the theories connect pedagogy, activity and system use.</w:t>
      </w:r>
    </w:p>
    <w:p>
      <w:pPr>
        <w:pStyle w:val="Heading2"/>
        <w:jc w:val="left"/>
        <w:keepNext/>
      </w:pPr>
      <w:r>
        <w:rPr>
          <w:rFonts w:ascii="Times New Roman" w:hAnsi="Times New Roman" w:eastAsia="Times New Roman"/>
          <w:b/>
          <w:i w:val="0"/>
          <w:color w:val="000000"/>
          <w:sz w:val="24"/>
        </w:rPr>
        <w:t>2.11.1 Experiential Learning Theory</w:t>
      </w:r>
    </w:p>
    <w:p>
      <w:pPr>
        <w:spacing w:after="120" w:line="360" w:lineRule="auto"/>
        <w:ind w:firstLine="720"/>
        <w:jc w:val="both"/>
      </w:pPr>
      <w:r>
        <w:rPr>
          <w:rFonts w:ascii="Times New Roman" w:hAnsi="Times New Roman" w:eastAsia="Times New Roman"/>
          <w:b w:val="0"/>
          <w:i w:val="0"/>
          <w:color w:val="000000"/>
          <w:sz w:val="24"/>
        </w:rPr>
        <w:t>Kolb (1984) presents learning as a cycle in which concrete experience is transformed through reflective observation, abstract conceptualisation and active experimentation. The stages are not a rigid checklist; they describe the movement between doing, considering what happened, forming an explanation and trying that explanation in another situation. This is well suited to automotive diagnosis, where a learner observes a condition, interprets evidence, develops a possible cause and tests the idea.</w:t>
      </w:r>
    </w:p>
    <w:p>
      <w:pPr>
        <w:spacing w:after="120" w:line="360" w:lineRule="auto"/>
        <w:ind w:firstLine="720"/>
        <w:jc w:val="both"/>
      </w:pPr>
      <w:r>
        <w:rPr>
          <w:rFonts w:ascii="Times New Roman" w:hAnsi="Times New Roman" w:eastAsia="Times New Roman"/>
          <w:b w:val="0"/>
          <w:i w:val="0"/>
          <w:color w:val="000000"/>
          <w:sz w:val="24"/>
        </w:rPr>
        <w:t>Laboratory education provides a natural setting for this cycle. Abdulwahed and Nagy (2009) showed how laboratory activities can be designed around experiential stages rather than treated as isolated procedures. Feisel and Rosa (2005) also identify laboratory objectives that require students to design investigations, analyse data, learn from failure and exercise judgement. A platform can preserve these stages by separating the task brief, activity, observation, explanation, feedback and revision without breaking their relationship.</w:t>
      </w:r>
    </w:p>
    <w:p>
      <w:pPr>
        <w:spacing w:after="120" w:line="360" w:lineRule="auto"/>
        <w:ind w:firstLine="720"/>
        <w:jc w:val="both"/>
      </w:pPr>
      <w:r>
        <w:rPr>
          <w:rFonts w:ascii="Times New Roman" w:hAnsi="Times New Roman" w:eastAsia="Times New Roman"/>
          <w:b w:val="0"/>
          <w:i w:val="0"/>
          <w:color w:val="000000"/>
          <w:sz w:val="24"/>
        </w:rPr>
        <w:t>Active and inductive learning research supports the same movement. Prince (2004) found broad support for student activity, while Prince and Felder (2006) describe approaches that begin with problems, cases or observations and guide learners toward general principles. Herrington and Oliver (2000) add that authentic environments require realistic context and sustained investigation. The proposed platform therefore uses practical tasks as the organising unit and asks for evidence and interpretation, rather than presenting demonstrations as stand-alone entertainment.</w:t>
      </w:r>
    </w:p>
    <w:p>
      <w:pPr>
        <w:spacing w:after="120" w:line="360" w:lineRule="auto"/>
        <w:ind w:firstLine="720"/>
        <w:jc w:val="both"/>
      </w:pPr>
      <w:r>
        <w:rPr>
          <w:rFonts w:ascii="Times New Roman" w:hAnsi="Times New Roman" w:eastAsia="Times New Roman"/>
          <w:b w:val="0"/>
          <w:i w:val="0"/>
          <w:color w:val="000000"/>
          <w:sz w:val="24"/>
        </w:rPr>
        <w:t>Different laboratory modes can occupy different positions in an experiential sequence. The TriLab model combines virtual, remote and hands-on work to support learning across modes (Abdulwahed &amp; Nagy, 2013). De Jong et al. (2013) and Kapici et al. (2019) likewise show that physical and virtual environments can complement one another. An approved demonstration can prepare the learner or make a relationship visible; a physical session can develop embodied performance; and the online record can support reflection and feedback.</w:t>
      </w:r>
    </w:p>
    <w:p>
      <w:pPr>
        <w:spacing w:after="120" w:line="360" w:lineRule="auto"/>
        <w:ind w:firstLine="720"/>
        <w:jc w:val="both"/>
      </w:pPr>
      <w:r>
        <w:rPr>
          <w:rFonts w:ascii="Times New Roman" w:hAnsi="Times New Roman" w:eastAsia="Times New Roman"/>
          <w:b w:val="0"/>
          <w:i w:val="0"/>
          <w:color w:val="000000"/>
          <w:sz w:val="24"/>
        </w:rPr>
        <w:t>The theory leads to specific design requirements. Every task should state a practical purpose, allow the learner to record what happened, require an explanation, and provide a route for feedback or another attempt. A resource-access log alone would represent experience without reflection. A written quiz alone might represent concepts without action. The work trail should connect both, consistent with experiential and laboratory learning research (Kolb, 1984; Abdulwahed &amp; Nagy, 2009, 2013; Feisel &amp; Rosa, 2005; Prince, 2004; Prince &amp; Felder, 2006; Herrington &amp; Oliver, 2000; de Jong et al., 2013; Kapici et al., 2019; Koretsky et al., 2011).</w:t>
      </w:r>
    </w:p>
    <w:p>
      <w:pPr>
        <w:pStyle w:val="Heading2"/>
        <w:jc w:val="left"/>
        <w:keepNext/>
      </w:pPr>
      <w:r>
        <w:rPr>
          <w:rFonts w:ascii="Times New Roman" w:hAnsi="Times New Roman" w:eastAsia="Times New Roman"/>
          <w:b/>
          <w:i w:val="0"/>
          <w:color w:val="000000"/>
          <w:sz w:val="24"/>
        </w:rPr>
        <w:t>2.11.2 Constructivist Learning Perspective</w:t>
      </w:r>
    </w:p>
    <w:p>
      <w:pPr>
        <w:spacing w:after="120" w:line="360" w:lineRule="auto"/>
        <w:ind w:firstLine="720"/>
        <w:jc w:val="both"/>
      </w:pPr>
      <w:r>
        <w:rPr>
          <w:rFonts w:ascii="Times New Roman" w:hAnsi="Times New Roman" w:eastAsia="Times New Roman"/>
          <w:b w:val="0"/>
          <w:i w:val="0"/>
          <w:color w:val="000000"/>
          <w:sz w:val="24"/>
        </w:rPr>
        <w:t>A constructivist perspective holds that learners actively organise meaning through prior knowledge, experience, dialogue and reflection. In practical education, this means that understanding is not transferred intact from lecturer to student. The learner must notice relationships, test interpretations and reconcile unexpected evidence. Biggs's (1996) constructive alignment is relevant because the intended outcome, learning activity and assessment should all require that meaning-making process.</w:t>
      </w:r>
    </w:p>
    <w:p>
      <w:pPr>
        <w:spacing w:after="120" w:line="360" w:lineRule="auto"/>
        <w:ind w:firstLine="720"/>
        <w:jc w:val="both"/>
      </w:pPr>
      <w:r>
        <w:rPr>
          <w:rFonts w:ascii="Times New Roman" w:hAnsi="Times New Roman" w:eastAsia="Times New Roman"/>
          <w:b w:val="0"/>
          <w:i w:val="0"/>
          <w:color w:val="000000"/>
          <w:sz w:val="24"/>
        </w:rPr>
        <w:t>Interactive laboratories can support construction of meaning when their representations direct attention to significant relationships. Wieman et al. (2008) describe simulations that encourage learners to explore and make sense of scientific ideas. De Jong et al. (2013) explain that virtual and physical laboratories offer different affordances for inquiry and conceptual understanding. The value of the resource therefore depends on the questions, prompts and reflection attached to it, not simply on the realism of the graphics.</w:t>
      </w:r>
    </w:p>
    <w:p>
      <w:pPr>
        <w:spacing w:after="120" w:line="360" w:lineRule="auto"/>
        <w:ind w:firstLine="720"/>
        <w:jc w:val="both"/>
      </w:pPr>
      <w:r>
        <w:rPr>
          <w:rFonts w:ascii="Times New Roman" w:hAnsi="Times New Roman" w:eastAsia="Times New Roman"/>
          <w:b w:val="0"/>
          <w:i w:val="0"/>
          <w:color w:val="000000"/>
          <w:sz w:val="24"/>
        </w:rPr>
        <w:t>Authenticity and social interaction deepen the process. Herrington and Oliver (2000) recommend realistic contexts, multiple perspectives, collaboration and articulation. Garrison and Kanuka (2004) show how blended environments can support reflection and interaction across online and face-to-face settings. In an automotive course, students may compare diagnoses or discuss alternative procedures, but they should also articulate their own reasoning so that the lecturer can judge individual understanding.</w:t>
      </w:r>
    </w:p>
    <w:p>
      <w:pPr>
        <w:spacing w:after="120" w:line="360" w:lineRule="auto"/>
        <w:ind w:firstLine="720"/>
        <w:jc w:val="both"/>
      </w:pPr>
      <w:r>
        <w:rPr>
          <w:rFonts w:ascii="Times New Roman" w:hAnsi="Times New Roman" w:eastAsia="Times New Roman"/>
          <w:b w:val="0"/>
          <w:i w:val="0"/>
          <w:color w:val="000000"/>
          <w:sz w:val="24"/>
        </w:rPr>
        <w:t>Feedback helps learners revise their constructed understanding. Sadler (1989), Nicol and Macfarlane-Dick (2006), and Hattie and Timperley (2007) all treat feedback as information that supports movement toward a standard. A web-based work trail can make this revision visible: the learner's first explanation, the lecturer's response and the later correction remain connected. That history is educationally more valuable than overwriting the first attempt.</w:t>
      </w:r>
    </w:p>
    <w:p>
      <w:pPr>
        <w:spacing w:after="120" w:line="360" w:lineRule="auto"/>
        <w:ind w:firstLine="720"/>
        <w:jc w:val="both"/>
      </w:pPr>
      <w:r>
        <w:rPr>
          <w:rFonts w:ascii="Times New Roman" w:hAnsi="Times New Roman" w:eastAsia="Times New Roman"/>
          <w:b w:val="0"/>
          <w:i w:val="0"/>
          <w:color w:val="000000"/>
          <w:sz w:val="24"/>
        </w:rPr>
        <w:t>The constructivist perspective therefore supports guided activity rather than unguided discovery. Tasks need clear outcomes, sufficient background, purposeful questions, space for explanation and timely feedback. This conclusion is supported by work on constructive alignment, authentic learning, inquiry, blended interaction and formative feedback (Biggs, 1996; Wieman et al., 2008; de Jong et al., 2013; Herrington &amp; Oliver, 2000; Garrison &amp; Kanuka, 2004; Prince &amp; Felder, 2006; Sadler, 1989; Nicol &amp; Macfarlane-Dick, 2006; Hattie &amp; Timperley, 2007; Shute, 2008).</w:t>
      </w:r>
    </w:p>
    <w:p>
      <w:pPr>
        <w:pStyle w:val="Heading2"/>
        <w:jc w:val="left"/>
        <w:keepNext/>
      </w:pPr>
      <w:r>
        <w:rPr>
          <w:rFonts w:ascii="Times New Roman" w:hAnsi="Times New Roman" w:eastAsia="Times New Roman"/>
          <w:b/>
          <w:i w:val="0"/>
          <w:color w:val="000000"/>
          <w:sz w:val="24"/>
        </w:rPr>
        <w:t>2.11.3 Technology Acceptance Model</w:t>
      </w:r>
    </w:p>
    <w:p>
      <w:pPr>
        <w:spacing w:after="120" w:line="360" w:lineRule="auto"/>
        <w:ind w:firstLine="720"/>
        <w:jc w:val="both"/>
      </w:pPr>
      <w:r>
        <w:rPr>
          <w:rFonts w:ascii="Times New Roman" w:hAnsi="Times New Roman" w:eastAsia="Times New Roman"/>
          <w:b w:val="0"/>
          <w:i w:val="0"/>
          <w:color w:val="000000"/>
          <w:sz w:val="24"/>
        </w:rPr>
        <w:t>The Technology Acceptance Model proposes that perceived usefulness and perceived ease of use influence a person's intention to use a technology and, in turn, actual use (Davis, 1989). Usefulness refers to whether the user believes the system will improve performance; ease of use refers to the effort the user expects. These beliefs are directly relevant because a platform may be made compulsory yet still be resisted, bypassed or used superficially.</w:t>
      </w:r>
    </w:p>
    <w:p>
      <w:pPr>
        <w:spacing w:after="120" w:line="360" w:lineRule="auto"/>
        <w:ind w:firstLine="720"/>
        <w:jc w:val="both"/>
      </w:pPr>
      <w:r>
        <w:rPr>
          <w:rFonts w:ascii="Times New Roman" w:hAnsi="Times New Roman" w:eastAsia="Times New Roman"/>
          <w:b w:val="0"/>
          <w:i w:val="0"/>
          <w:color w:val="000000"/>
          <w:sz w:val="24"/>
        </w:rPr>
        <w:t>Later research extended and tested the model. Venkatesh and Davis (2000) added social influence and cognitive instrumental factors, while Venkatesh et al. (2003) integrated several acceptance perspectives in the Unified Theory of Acceptance and Use of Technology. King and He (2006) found broad support for the Technology Acceptance Model across studies, although relationships vary with context. This suggests that acceptance should be measured with the actual users and tasks of the proposed platform.</w:t>
      </w:r>
    </w:p>
    <w:p>
      <w:pPr>
        <w:spacing w:after="120" w:line="360" w:lineRule="auto"/>
        <w:ind w:firstLine="720"/>
        <w:jc w:val="both"/>
      </w:pPr>
      <w:r>
        <w:rPr>
          <w:rFonts w:ascii="Times New Roman" w:hAnsi="Times New Roman" w:eastAsia="Times New Roman"/>
          <w:b w:val="0"/>
          <w:i w:val="0"/>
          <w:color w:val="000000"/>
          <w:sz w:val="24"/>
        </w:rPr>
        <w:t>Educational studies show why both beliefs matter. Estriegana et al. (2019) found that student acceptance was important in the use of virtual laboratory and practical work. Sun et al. (2008) linked technology and course factors with e-learning satisfaction, while Al-Fraihat et al. (2020) connected system, information and service quality with success. Students are more likely to value the platform when it clearly reduces uncertainty about tasks, preserves feedback and makes progress visible.</w:t>
      </w:r>
    </w:p>
    <w:p>
      <w:pPr>
        <w:spacing w:after="120" w:line="360" w:lineRule="auto"/>
        <w:ind w:firstLine="720"/>
        <w:jc w:val="both"/>
      </w:pPr>
      <w:r>
        <w:rPr>
          <w:rFonts w:ascii="Times New Roman" w:hAnsi="Times New Roman" w:eastAsia="Times New Roman"/>
          <w:b w:val="0"/>
          <w:i w:val="0"/>
          <w:color w:val="000000"/>
          <w:sz w:val="24"/>
        </w:rPr>
        <w:t>Lecturer acceptance is equally important. A system that creates extra duplicate work will be perceived as less useful even if students like its appearance. DeLone and McLean (2003) and Islam (2013) show that information-system use and benefits depend on quality and fit with user needs. The lecturer interface should therefore reduce administrative searching, organise submissions around tasks and allow feedback to be returned without unnecessary steps.</w:t>
      </w:r>
    </w:p>
    <w:p>
      <w:pPr>
        <w:spacing w:after="120" w:line="360" w:lineRule="auto"/>
        <w:ind w:firstLine="720"/>
        <w:jc w:val="both"/>
      </w:pPr>
      <w:r>
        <w:rPr>
          <w:rFonts w:ascii="Times New Roman" w:hAnsi="Times New Roman" w:eastAsia="Times New Roman"/>
          <w:b w:val="0"/>
          <w:i w:val="0"/>
          <w:color w:val="000000"/>
          <w:sz w:val="24"/>
        </w:rPr>
        <w:t>Interaction and self-efficacy also influence experience. Kuo et al. (2014) found that internet self-efficacy and interaction are related to online satisfaction, while Martin and Bolliger (2018) identify engagement strategies students regard as important. Clear labels, familiar workflow, mobile responsiveness, visible help and timely lecturer presence can strengthen ease of use and usefulness at the same time.</w:t>
      </w:r>
    </w:p>
    <w:p>
      <w:pPr>
        <w:spacing w:after="120" w:line="360" w:lineRule="auto"/>
        <w:ind w:firstLine="720"/>
        <w:jc w:val="both"/>
      </w:pPr>
      <w:r>
        <w:rPr>
          <w:rFonts w:ascii="Times New Roman" w:hAnsi="Times New Roman" w:eastAsia="Times New Roman"/>
          <w:b w:val="0"/>
          <w:i w:val="0"/>
          <w:color w:val="000000"/>
          <w:sz w:val="24"/>
        </w:rPr>
        <w:t>The Technology Acceptance Model guides both design and evaluation in this study. Perceived usefulness will be examined through functions that support access, task management, evidence, feedback and oversight. Perceived ease of use will be examined through navigation, clarity, error recovery and task completion. This application is supported by more than ten works across technology acceptance and e-learning success (Davis, 1989; Venkatesh &amp; Davis, 2000; Venkatesh et al., 2003; King &amp; He, 2006; Estriegana et al., 2019; Sun et al., 2008; Al-Fraihat et al., 2020; DeLone &amp; McLean, 2003; Islam, 2013; Kuo et al., 2014; Martin &amp; Bolliger, 2018).</w:t>
      </w:r>
    </w:p>
    <w:p>
      <w:pPr>
        <w:pStyle w:val="Heading1"/>
        <w:jc w:val="left"/>
        <w:keepNext/>
      </w:pPr>
      <w:r>
        <w:rPr>
          <w:rFonts w:ascii="Times New Roman" w:hAnsi="Times New Roman" w:eastAsia="Times New Roman"/>
          <w:b/>
          <w:i w:val="0"/>
          <w:color w:val="000000"/>
          <w:sz w:val="28"/>
        </w:rPr>
        <w:t>2.12 Empirical Review of Existing and Related Platforms</w:t>
      </w:r>
    </w:p>
    <w:p>
      <w:pPr>
        <w:spacing w:after="120" w:line="360" w:lineRule="auto"/>
        <w:ind w:firstLine="720"/>
        <w:jc w:val="both"/>
      </w:pPr>
      <w:r>
        <w:rPr>
          <w:rFonts w:ascii="Times New Roman" w:hAnsi="Times New Roman" w:eastAsia="Times New Roman"/>
          <w:b w:val="0"/>
          <w:i w:val="0"/>
          <w:color w:val="000000"/>
          <w:sz w:val="24"/>
        </w:rPr>
        <w:t>Existing systems demonstrate important parts of the proposed solution, but they were developed for different purposes. Some manage courses, some distribute simulations, some provide access to real laboratory equipment, and others embed laboratory activities in an inquiry or assessment workflow. Table 2.1 compares representative systems and the design lesson drawn from each. The comparison is not intended to rank the systems; it identifies what has already been achieved and what remains specific to the management of automotive practical education.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757"/>
            <w:shd w:fill="17324D"/>
            <w:vAlign w:val="center"/>
            <w:tcMar>
              <w:top w:w="90" w:type="dxa"/>
              <w:start w:w="100" w:type="dxa"/>
              <w:bottom w:w="90" w:type="dxa"/>
              <w:end w:w="100" w:type="dxa"/>
            </w:tcMar>
          </w:tcPr>
          <w:p>
            <w:pPr>
              <w:spacing w:after="0"/>
              <w:jc w:val="center"/>
            </w:pPr>
            <w:r>
              <w:rPr>
                <w:rFonts w:ascii="Times New Roman" w:hAnsi="Times New Roman" w:eastAsia="Times New Roman"/>
                <w:b/>
                <w:i w:val="0"/>
                <w:color w:val="FFFFFF"/>
                <w:sz w:val="16"/>
              </w:rPr>
              <w:t>Platform or approach</w:t>
            </w:r>
          </w:p>
        </w:tc>
        <w:tc>
          <w:tcPr>
            <w:tcW w:type="dxa" w:w="2189"/>
            <w:shd w:fill="17324D"/>
            <w:vAlign w:val="center"/>
            <w:tcMar>
              <w:top w:w="90" w:type="dxa"/>
              <w:start w:w="100" w:type="dxa"/>
              <w:bottom w:w="90" w:type="dxa"/>
              <w:end w:w="100" w:type="dxa"/>
            </w:tcMar>
          </w:tcPr>
          <w:p>
            <w:pPr>
              <w:spacing w:after="0"/>
              <w:jc w:val="center"/>
            </w:pPr>
            <w:r>
              <w:rPr>
                <w:rFonts w:ascii="Times New Roman" w:hAnsi="Times New Roman" w:eastAsia="Times New Roman"/>
                <w:b/>
                <w:i w:val="0"/>
                <w:color w:val="FFFFFF"/>
                <w:sz w:val="16"/>
              </w:rPr>
              <w:t>Primary purpose</w:t>
            </w:r>
          </w:p>
        </w:tc>
        <w:tc>
          <w:tcPr>
            <w:tcW w:type="dxa" w:w="2520"/>
            <w:shd w:fill="17324D"/>
            <w:vAlign w:val="center"/>
            <w:tcMar>
              <w:top w:w="90" w:type="dxa"/>
              <w:start w:w="100" w:type="dxa"/>
              <w:bottom w:w="90" w:type="dxa"/>
              <w:end w:w="100" w:type="dxa"/>
            </w:tcMar>
          </w:tcPr>
          <w:p>
            <w:pPr>
              <w:spacing w:after="0"/>
              <w:jc w:val="center"/>
            </w:pPr>
            <w:r>
              <w:rPr>
                <w:rFonts w:ascii="Times New Roman" w:hAnsi="Times New Roman" w:eastAsia="Times New Roman"/>
                <w:b/>
                <w:i w:val="0"/>
                <w:color w:val="FFFFFF"/>
                <w:sz w:val="16"/>
              </w:rPr>
              <w:t>Contribution to this study</w:t>
            </w:r>
          </w:p>
        </w:tc>
        <w:tc>
          <w:tcPr>
            <w:tcW w:type="dxa" w:w="2520"/>
            <w:shd w:fill="17324D"/>
            <w:vAlign w:val="center"/>
            <w:tcMar>
              <w:top w:w="90" w:type="dxa"/>
              <w:start w:w="100" w:type="dxa"/>
              <w:bottom w:w="90" w:type="dxa"/>
              <w:end w:w="100" w:type="dxa"/>
            </w:tcMar>
          </w:tcPr>
          <w:p>
            <w:pPr>
              <w:spacing w:after="0"/>
              <w:jc w:val="center"/>
            </w:pPr>
            <w:r>
              <w:rPr>
                <w:rFonts w:ascii="Times New Roman" w:hAnsi="Times New Roman" w:eastAsia="Times New Roman"/>
                <w:b/>
                <w:i w:val="0"/>
                <w:color w:val="FFFFFF"/>
                <w:sz w:val="16"/>
              </w:rPr>
              <w:t>Remaining design need</w:t>
            </w:r>
          </w:p>
        </w:tc>
        <w:tc>
          <w:tcPr>
            <w:tcW w:type="dxa" w:w="1670"/>
            <w:shd w:fill="17324D"/>
            <w:vAlign w:val="center"/>
            <w:tcMar>
              <w:top w:w="90" w:type="dxa"/>
              <w:start w:w="100" w:type="dxa"/>
              <w:bottom w:w="90" w:type="dxa"/>
              <w:end w:w="100" w:type="dxa"/>
            </w:tcMar>
          </w:tcPr>
          <w:p>
            <w:pPr>
              <w:spacing w:after="0"/>
              <w:jc w:val="center"/>
            </w:pPr>
            <w:r>
              <w:rPr>
                <w:rFonts w:ascii="Times New Roman" w:hAnsi="Times New Roman" w:eastAsia="Times New Roman"/>
                <w:b/>
                <w:i w:val="0"/>
                <w:color w:val="FFFFFF"/>
                <w:sz w:val="16"/>
              </w:rPr>
              <w:t>Key source(s)</w:t>
            </w:r>
          </w:p>
        </w:tc>
      </w:tr>
      <w:tr>
        <w:trPr>
          <w:cantSplit/>
        </w:trPr>
        <w:tc>
          <w:tcPr>
            <w:tcW w:type="dxa" w:w="1757"/>
            <w:vAlign w:val="top"/>
            <w:tcMar>
              <w:top w:w="90" w:type="dxa"/>
              <w:start w:w="100" w:type="dxa"/>
              <w:bottom w:w="90" w:type="dxa"/>
              <w:end w:w="100" w:type="dxa"/>
            </w:tcMar>
          </w:tcPr>
          <w:p>
            <w:pPr>
              <w:spacing w:after="0" w:line="240" w:lineRule="auto"/>
            </w:pPr>
            <w:r>
              <w:rPr>
                <w:rFonts w:ascii="Times New Roman" w:hAnsi="Times New Roman" w:eastAsia="Times New Roman"/>
                <w:b/>
                <w:i w:val="0"/>
                <w:color w:val="000000"/>
                <w:sz w:val="16"/>
              </w:rPr>
              <w:t>Moodle course-management system</w:t>
            </w:r>
          </w:p>
        </w:tc>
        <w:tc>
          <w:tcPr>
            <w:tcW w:type="dxa" w:w="2189"/>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Courses, enrolment, resources, assignments and communication</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Shows the value of one persistent course space and role-based workflow.</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Generic structures do not by themselves represent a detailed practical work trail.</w:t>
            </w:r>
          </w:p>
        </w:tc>
        <w:tc>
          <w:tcPr>
            <w:tcW w:type="dxa" w:w="167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Dougiamas &amp; Taylor, 2003; Coates et al., 2005</w:t>
            </w:r>
          </w:p>
        </w:tc>
      </w:tr>
      <w:tr>
        <w:trPr>
          <w:cantSplit/>
        </w:trPr>
        <w:tc>
          <w:tcPr>
            <w:tcW w:type="dxa" w:w="1757"/>
            <w:vAlign w:val="top"/>
            <w:tcMar>
              <w:top w:w="90" w:type="dxa"/>
              <w:start w:w="100" w:type="dxa"/>
              <w:bottom w:w="90" w:type="dxa"/>
              <w:end w:w="100" w:type="dxa"/>
            </w:tcMar>
            <w:shd w:fill="F1F5F8"/>
          </w:tcPr>
          <w:p>
            <w:pPr>
              <w:spacing w:after="0" w:line="240" w:lineRule="auto"/>
            </w:pPr>
            <w:r>
              <w:rPr>
                <w:rFonts w:ascii="Times New Roman" w:hAnsi="Times New Roman" w:eastAsia="Times New Roman"/>
                <w:b/>
                <w:i w:val="0"/>
                <w:color w:val="000000"/>
                <w:sz w:val="16"/>
              </w:rPr>
              <w:t>Go-Lab ecosystem</w:t>
            </w:r>
          </w:p>
        </w:tc>
        <w:tc>
          <w:tcPr>
            <w:tcW w:type="dxa" w:w="2189"/>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Online laboratories within guided inquiry learning spaces</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Links laboratory resources with prompts, learning applications and inquiry phases.</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Designed broadly for inquiry learning rather than automotive practical administration.</w:t>
            </w:r>
          </w:p>
        </w:tc>
        <w:tc>
          <w:tcPr>
            <w:tcW w:type="dxa" w:w="167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de Jong et al., 2014</w:t>
            </w:r>
          </w:p>
        </w:tc>
      </w:tr>
      <w:tr>
        <w:trPr>
          <w:cantSplit/>
        </w:trPr>
        <w:tc>
          <w:tcPr>
            <w:tcW w:type="dxa" w:w="1757"/>
            <w:vAlign w:val="top"/>
            <w:tcMar>
              <w:top w:w="90" w:type="dxa"/>
              <w:start w:w="100" w:type="dxa"/>
              <w:bottom w:w="90" w:type="dxa"/>
              <w:end w:w="100" w:type="dxa"/>
            </w:tcMar>
          </w:tcPr>
          <w:p>
            <w:pPr>
              <w:spacing w:after="0" w:line="240" w:lineRule="auto"/>
            </w:pPr>
            <w:r>
              <w:rPr>
                <w:rFonts w:ascii="Times New Roman" w:hAnsi="Times New Roman" w:eastAsia="Times New Roman"/>
                <w:b/>
                <w:i w:val="0"/>
                <w:color w:val="000000"/>
                <w:sz w:val="16"/>
              </w:rPr>
              <w:t>India Virtual Labs</w:t>
            </w:r>
          </w:p>
        </w:tc>
        <w:tc>
          <w:tcPr>
            <w:tcW w:type="dxa" w:w="2189"/>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Large-scale access to online laboratory experiences</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Demonstrates institutional sharing and widened access to practical resources.</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Resource provision is broader than the proposed task-to-evidence management workflow.</w:t>
            </w:r>
          </w:p>
        </w:tc>
        <w:tc>
          <w:tcPr>
            <w:tcW w:type="dxa" w:w="167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Bose, 2013</w:t>
            </w:r>
          </w:p>
        </w:tc>
      </w:tr>
      <w:tr>
        <w:trPr>
          <w:cantSplit/>
        </w:trPr>
        <w:tc>
          <w:tcPr>
            <w:tcW w:type="dxa" w:w="1757"/>
            <w:vAlign w:val="top"/>
            <w:tcMar>
              <w:top w:w="90" w:type="dxa"/>
              <w:start w:w="100" w:type="dxa"/>
              <w:bottom w:w="90" w:type="dxa"/>
              <w:end w:w="100" w:type="dxa"/>
            </w:tcMar>
            <w:shd w:fill="F1F5F8"/>
          </w:tcPr>
          <w:p>
            <w:pPr>
              <w:spacing w:after="0" w:line="240" w:lineRule="auto"/>
            </w:pPr>
            <w:r>
              <w:rPr>
                <w:rFonts w:ascii="Times New Roman" w:hAnsi="Times New Roman" w:eastAsia="Times New Roman"/>
                <w:b/>
                <w:i w:val="0"/>
                <w:color w:val="000000"/>
                <w:sz w:val="16"/>
              </w:rPr>
              <w:t>PhET simulations</w:t>
            </w:r>
          </w:p>
        </w:tc>
        <w:tc>
          <w:tcPr>
            <w:tcW w:type="dxa" w:w="2189"/>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Interactive conceptual simulations</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Makes relationships visible and supports exploratory learning.</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Primarily a simulation collection; course roles, evidence and assessment sit elsewhere.</w:t>
            </w:r>
          </w:p>
        </w:tc>
        <w:tc>
          <w:tcPr>
            <w:tcW w:type="dxa" w:w="167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Wieman et al., 2008</w:t>
            </w:r>
          </w:p>
        </w:tc>
      </w:tr>
      <w:tr>
        <w:trPr>
          <w:cantSplit/>
        </w:trPr>
        <w:tc>
          <w:tcPr>
            <w:tcW w:type="dxa" w:w="1757"/>
            <w:vAlign w:val="top"/>
            <w:tcMar>
              <w:top w:w="90" w:type="dxa"/>
              <w:start w:w="100" w:type="dxa"/>
              <w:bottom w:w="90" w:type="dxa"/>
              <w:end w:w="100" w:type="dxa"/>
            </w:tcMar>
          </w:tcPr>
          <w:p>
            <w:pPr>
              <w:spacing w:after="0" w:line="240" w:lineRule="auto"/>
            </w:pPr>
            <w:r>
              <w:rPr>
                <w:rFonts w:ascii="Times New Roman" w:hAnsi="Times New Roman" w:eastAsia="Times New Roman"/>
                <w:b/>
                <w:i w:val="0"/>
                <w:color w:val="000000"/>
                <w:sz w:val="16"/>
              </w:rPr>
              <w:t>Gamified virtual laboratory</w:t>
            </w:r>
          </w:p>
        </w:tc>
        <w:tc>
          <w:tcPr>
            <w:tcW w:type="dxa" w:w="2189"/>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Immersive biotechnology laboratory practice</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Shows that simulation, narrative and feedback can improve learning and motivation.</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Domain-specific simulation does not provide institution-wide practical management.</w:t>
            </w:r>
          </w:p>
        </w:tc>
        <w:tc>
          <w:tcPr>
            <w:tcW w:type="dxa" w:w="167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Bonde et al., 2014</w:t>
            </w:r>
          </w:p>
        </w:tc>
      </w:tr>
      <w:tr>
        <w:trPr>
          <w:cantSplit/>
        </w:trPr>
        <w:tc>
          <w:tcPr>
            <w:tcW w:type="dxa" w:w="1757"/>
            <w:vAlign w:val="top"/>
            <w:tcMar>
              <w:top w:w="90" w:type="dxa"/>
              <w:start w:w="100" w:type="dxa"/>
              <w:bottom w:w="90" w:type="dxa"/>
              <w:end w:w="100" w:type="dxa"/>
            </w:tcMar>
            <w:shd w:fill="F1F5F8"/>
          </w:tcPr>
          <w:p>
            <w:pPr>
              <w:spacing w:after="0" w:line="240" w:lineRule="auto"/>
            </w:pPr>
            <w:r>
              <w:rPr>
                <w:rFonts w:ascii="Times New Roman" w:hAnsi="Times New Roman" w:eastAsia="Times New Roman"/>
                <w:b/>
                <w:i w:val="0"/>
                <w:color w:val="000000"/>
                <w:sz w:val="16"/>
              </w:rPr>
              <w:t>iLab Shared Architecture</w:t>
            </w:r>
          </w:p>
        </w:tc>
        <w:tc>
          <w:tcPr>
            <w:tcW w:type="dxa" w:w="2189"/>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Shared remote access to real laboratory equipment</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Separates service, user and laboratory layers for scalable access.</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Centred on remote equipment services rather than the full practical assessment cycle.</w:t>
            </w:r>
          </w:p>
        </w:tc>
        <w:tc>
          <w:tcPr>
            <w:tcW w:type="dxa" w:w="167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Harward et al., 2008</w:t>
            </w:r>
          </w:p>
        </w:tc>
      </w:tr>
      <w:tr>
        <w:trPr>
          <w:cantSplit/>
        </w:trPr>
        <w:tc>
          <w:tcPr>
            <w:tcW w:type="dxa" w:w="1757"/>
            <w:vAlign w:val="top"/>
            <w:tcMar>
              <w:top w:w="90" w:type="dxa"/>
              <w:start w:w="100" w:type="dxa"/>
              <w:bottom w:w="90" w:type="dxa"/>
              <w:end w:w="100" w:type="dxa"/>
            </w:tcMar>
          </w:tcPr>
          <w:p>
            <w:pPr>
              <w:spacing w:after="0" w:line="240" w:lineRule="auto"/>
            </w:pPr>
            <w:r>
              <w:rPr>
                <w:rFonts w:ascii="Times New Roman" w:hAnsi="Times New Roman" w:eastAsia="Times New Roman"/>
                <w:b/>
                <w:i w:val="0"/>
                <w:color w:val="000000"/>
                <w:sz w:val="16"/>
              </w:rPr>
              <w:t>WebLab-Deusto</w:t>
            </w:r>
          </w:p>
        </w:tc>
        <w:tc>
          <w:tcPr>
            <w:tcW w:type="dxa" w:w="2189"/>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Remote laboratory management and experiment access</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Provides mature scheduling and service architecture for distributed laboratories.</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Does not by itself address the complete automotive evidence and feedback workflow.</w:t>
            </w:r>
          </w:p>
        </w:tc>
        <w:tc>
          <w:tcPr>
            <w:tcW w:type="dxa" w:w="167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Orduña et al., 2018</w:t>
            </w:r>
          </w:p>
        </w:tc>
      </w:tr>
      <w:tr>
        <w:trPr>
          <w:cantSplit/>
        </w:trPr>
        <w:tc>
          <w:tcPr>
            <w:tcW w:type="dxa" w:w="1757"/>
            <w:vAlign w:val="top"/>
            <w:tcMar>
              <w:top w:w="90" w:type="dxa"/>
              <w:start w:w="100" w:type="dxa"/>
              <w:bottom w:w="90" w:type="dxa"/>
              <w:end w:w="100" w:type="dxa"/>
            </w:tcMar>
            <w:shd w:fill="F1F5F8"/>
          </w:tcPr>
          <w:p>
            <w:pPr>
              <w:spacing w:after="0" w:line="240" w:lineRule="auto"/>
            </w:pPr>
            <w:r>
              <w:rPr>
                <w:rFonts w:ascii="Times New Roman" w:hAnsi="Times New Roman" w:eastAsia="Times New Roman"/>
                <w:b/>
                <w:i w:val="0"/>
                <w:color w:val="000000"/>
                <w:sz w:val="16"/>
              </w:rPr>
              <w:t>VISIR</w:t>
            </w:r>
          </w:p>
        </w:tc>
        <w:tc>
          <w:tcPr>
            <w:tcW w:type="dxa" w:w="2189"/>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Remote wiring and measurement of electronic circuits</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Demonstrates authentic remote control of physical apparatus.</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Highly specialised technical scope; additional platform functions are needed for courses.</w:t>
            </w:r>
          </w:p>
        </w:tc>
        <w:tc>
          <w:tcPr>
            <w:tcW w:type="dxa" w:w="167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Tawfik et al., 2013</w:t>
            </w:r>
          </w:p>
        </w:tc>
      </w:tr>
      <w:tr>
        <w:trPr>
          <w:cantSplit/>
        </w:trPr>
        <w:tc>
          <w:tcPr>
            <w:tcW w:type="dxa" w:w="1757"/>
            <w:vAlign w:val="top"/>
            <w:tcMar>
              <w:top w:w="90" w:type="dxa"/>
              <w:start w:w="100" w:type="dxa"/>
              <w:bottom w:w="90" w:type="dxa"/>
              <w:end w:w="100" w:type="dxa"/>
            </w:tcMar>
          </w:tcPr>
          <w:p>
            <w:pPr>
              <w:spacing w:after="0" w:line="240" w:lineRule="auto"/>
            </w:pPr>
            <w:r>
              <w:rPr>
                <w:rFonts w:ascii="Times New Roman" w:hAnsi="Times New Roman" w:eastAsia="Times New Roman"/>
                <w:b/>
                <w:i w:val="0"/>
                <w:color w:val="000000"/>
                <w:sz w:val="16"/>
              </w:rPr>
              <w:t>TriLab/iLough model</w:t>
            </w:r>
          </w:p>
        </w:tc>
        <w:tc>
          <w:tcPr>
            <w:tcW w:type="dxa" w:w="2189"/>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Combination of virtual, remote and hands-on laboratories</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Provides an experiential rationale for sequencing different laboratory modes.</w:t>
            </w:r>
          </w:p>
        </w:tc>
        <w:tc>
          <w:tcPr>
            <w:tcW w:type="dxa" w:w="252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A pedagogical and laboratory model rather than a complete institutional platform.</w:t>
            </w:r>
          </w:p>
        </w:tc>
        <w:tc>
          <w:tcPr>
            <w:tcW w:type="dxa" w:w="1670"/>
            <w:vAlign w:val="top"/>
            <w:tcMar>
              <w:top w:w="90" w:type="dxa"/>
              <w:start w:w="100" w:type="dxa"/>
              <w:bottom w:w="90" w:type="dxa"/>
              <w:end w:w="100" w:type="dxa"/>
            </w:tcMar>
          </w:tcPr>
          <w:p>
            <w:pPr>
              <w:spacing w:after="0" w:line="240" w:lineRule="auto"/>
            </w:pPr>
            <w:r>
              <w:rPr>
                <w:rFonts w:ascii="Times New Roman" w:hAnsi="Times New Roman" w:eastAsia="Times New Roman"/>
                <w:b w:val="0"/>
                <w:i w:val="0"/>
                <w:color w:val="000000"/>
                <w:sz w:val="16"/>
              </w:rPr>
              <w:t>Abdulwahed &amp; Nagy, 2013</w:t>
            </w:r>
          </w:p>
        </w:tc>
      </w:tr>
      <w:tr>
        <w:trPr>
          <w:cantSplit/>
        </w:trPr>
        <w:tc>
          <w:tcPr>
            <w:tcW w:type="dxa" w:w="1757"/>
            <w:vAlign w:val="top"/>
            <w:tcMar>
              <w:top w:w="90" w:type="dxa"/>
              <w:start w:w="100" w:type="dxa"/>
              <w:bottom w:w="90" w:type="dxa"/>
              <w:end w:w="100" w:type="dxa"/>
            </w:tcMar>
            <w:shd w:fill="F1F5F8"/>
          </w:tcPr>
          <w:p>
            <w:pPr>
              <w:spacing w:after="0" w:line="240" w:lineRule="auto"/>
            </w:pPr>
            <w:r>
              <w:rPr>
                <w:rFonts w:ascii="Times New Roman" w:hAnsi="Times New Roman" w:eastAsia="Times New Roman"/>
                <w:b/>
                <w:i w:val="0"/>
                <w:color w:val="000000"/>
                <w:sz w:val="16"/>
              </w:rPr>
              <w:t>LMS-integrated web laboratories</w:t>
            </w:r>
          </w:p>
        </w:tc>
        <w:tc>
          <w:tcPr>
            <w:tcW w:type="dxa" w:w="2189"/>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Standards-based launch, tracking and course integration</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Shows how specialised laboratory tools can remain separate but share learning context.</w:t>
            </w:r>
          </w:p>
        </w:tc>
        <w:tc>
          <w:tcPr>
            <w:tcW w:type="dxa" w:w="252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Standards vary, and integration still requires a task, evidence and assessment design.</w:t>
            </w:r>
          </w:p>
        </w:tc>
        <w:tc>
          <w:tcPr>
            <w:tcW w:type="dxa" w:w="1670"/>
            <w:vAlign w:val="top"/>
            <w:tcMar>
              <w:top w:w="90" w:type="dxa"/>
              <w:start w:w="100" w:type="dxa"/>
              <w:bottom w:w="90" w:type="dxa"/>
              <w:end w:w="100" w:type="dxa"/>
            </w:tcMar>
            <w:shd w:fill="F1F5F8"/>
          </w:tcPr>
          <w:p>
            <w:pPr>
              <w:spacing w:after="0" w:line="240" w:lineRule="auto"/>
            </w:pPr>
            <w:r>
              <w:rPr>
                <w:rFonts w:ascii="Times New Roman" w:hAnsi="Times New Roman" w:eastAsia="Times New Roman"/>
                <w:b w:val="0"/>
                <w:i w:val="0"/>
                <w:color w:val="000000"/>
                <w:sz w:val="16"/>
              </w:rPr>
              <w:t>Ruano et al., 2016a, 2016b, 2023; Sancristobal et al., 2010</w:t>
            </w:r>
          </w:p>
        </w:tc>
      </w:tr>
    </w:tbl>
    <w:p>
      <w:pPr>
        <w:spacing w:before="80" w:after="160"/>
        <w:jc w:val="center"/>
      </w:pPr>
      <w:r>
        <w:rPr>
          <w:rFonts w:ascii="Times New Roman" w:hAnsi="Times New Roman" w:eastAsia="Times New Roman"/>
          <w:b w:val="0"/>
          <w:i/>
          <w:color w:val="000000"/>
          <w:sz w:val="20"/>
        </w:rPr>
        <w:t>Table 2.1: Comparison of existing and related platforms</w:t>
      </w:r>
    </w:p>
    <w:p>
      <w:pPr>
        <w:spacing w:after="120" w:line="360" w:lineRule="auto"/>
        <w:ind w:firstLine="720"/>
        <w:jc w:val="both"/>
      </w:pPr>
      <w:r>
        <w:rPr>
          <w:rFonts w:ascii="Times New Roman" w:hAnsi="Times New Roman" w:eastAsia="Times New Roman"/>
          <w:b w:val="0"/>
          <w:i w:val="0"/>
          <w:color w:val="000000"/>
          <w:sz w:val="24"/>
        </w:rPr>
        <w:t>The comparison shows a consistent pattern. Existing systems provide valuable components—course organisation, interactive simulation, remote equipment access, inquiry guidance or standards-based integration. The proposed platform draws from these achievements but places the automotive practical task at the centre. Its distinctive contribution is the joined workflow among approved resources, role-based access, student evidence, lecturer feedback, revision history and institutional oversight.</w:t>
      </w:r>
    </w:p>
    <w:p>
      <w:pPr>
        <w:pStyle w:val="Heading1"/>
        <w:jc w:val="left"/>
        <w:keepNext/>
      </w:pPr>
      <w:r>
        <w:rPr>
          <w:rFonts w:ascii="Times New Roman" w:hAnsi="Times New Roman" w:eastAsia="Times New Roman"/>
          <w:b/>
          <w:i w:val="0"/>
          <w:color w:val="000000"/>
          <w:sz w:val="28"/>
        </w:rPr>
        <w:t>2.13 Synthesis and Research Gap</w:t>
      </w:r>
    </w:p>
    <w:p>
      <w:pPr>
        <w:spacing w:after="120" w:line="360" w:lineRule="auto"/>
        <w:ind w:firstLine="720"/>
        <w:jc w:val="both"/>
      </w:pPr>
      <w:r>
        <w:rPr>
          <w:rFonts w:ascii="Times New Roman" w:hAnsi="Times New Roman" w:eastAsia="Times New Roman"/>
          <w:b w:val="0"/>
          <w:i w:val="0"/>
          <w:color w:val="000000"/>
          <w:sz w:val="24"/>
        </w:rPr>
        <w:t>The reviewed literature establishes that practical competence develops through connected experience, reflection, conceptual understanding, feedback and renewed action. It also shows that physical, virtual and remote laboratories offer different affordances. The most defensible educational position is therefore complementary: digital resources should widen preparation, repetition and reflection while physical workshops remain essential for tactile work, safety habits and real equipment behaviour (de Jong et al., 2013; Brinson, 2015; Kapici et al., 2019; Li &amp; Liang, 2024).</w:t>
      </w:r>
    </w:p>
    <w:p>
      <w:pPr>
        <w:spacing w:after="120" w:line="360" w:lineRule="auto"/>
        <w:ind w:firstLine="720"/>
        <w:jc w:val="both"/>
      </w:pPr>
      <w:r>
        <w:rPr>
          <w:rFonts w:ascii="Times New Roman" w:hAnsi="Times New Roman" w:eastAsia="Times New Roman"/>
          <w:b w:val="0"/>
          <w:i w:val="0"/>
          <w:color w:val="000000"/>
          <w:sz w:val="24"/>
        </w:rPr>
        <w:t>A second conclusion is that access alone is insufficient. Effective web-based learning depends on course structure, interaction, information quality, self-regulation and service support (Sun et al., 2008; Al-Fraihat et al., 2020; Martin et al., 2020). In the same way, opening a virtual demonstration does not prove that a student understood it. The activity becomes academically meaningful when it is connected to a task, expected evidence, feedback and an assessment decision.</w:t>
      </w:r>
    </w:p>
    <w:p>
      <w:pPr>
        <w:spacing w:after="120" w:line="360" w:lineRule="auto"/>
        <w:ind w:firstLine="720"/>
        <w:jc w:val="both"/>
      </w:pPr>
      <w:r>
        <w:rPr>
          <w:rFonts w:ascii="Times New Roman" w:hAnsi="Times New Roman" w:eastAsia="Times New Roman"/>
          <w:b w:val="0"/>
          <w:i w:val="0"/>
          <w:color w:val="000000"/>
          <w:sz w:val="24"/>
        </w:rPr>
        <w:t>A third conclusion concerns records. Learning analytics and dashboard research shows that digital traces can support awareness and intervention, but the data must be interpretable and used ethically (Ferguson, 2012; Matcha et al., 2020; Slade &amp; Prinsloo, 2013). Practical evidence should therefore be preserved as a work trail that answers educational questions. It should show what task was assigned, which resource was approved, what the student submitted, how the lecturer responded and what changed after feedback.</w:t>
      </w:r>
    </w:p>
    <w:p>
      <w:pPr>
        <w:spacing w:after="120" w:line="360" w:lineRule="auto"/>
        <w:ind w:firstLine="720"/>
        <w:jc w:val="both"/>
      </w:pPr>
      <w:r>
        <w:rPr>
          <w:rFonts w:ascii="Times New Roman" w:hAnsi="Times New Roman" w:eastAsia="Times New Roman"/>
          <w:b w:val="0"/>
          <w:i w:val="0"/>
          <w:color w:val="000000"/>
          <w:sz w:val="24"/>
        </w:rPr>
        <w:t>Existing platforms address parts of this problem. Moodle manages courses and assignments; Go-Lab organises inquiry spaces; Virtual Labs and PhET widen access to laboratory experiences; gamified laboratory simulations provide immersive practice; and iLab, WebLab-Deusto and VISIR manage remote equipment. Standards-based work demonstrates how laboratories can be connected to learning management systems. However, these strands do not, by themselves, provide a focused workflow for an institution to manage automotive practical tasks from user approval and course assignment through controlled demonstration access, evidence submission, lecturer review, revision and oversight.</w:t>
      </w:r>
    </w:p>
    <w:p>
      <w:pPr>
        <w:spacing w:after="120" w:line="360" w:lineRule="auto"/>
        <w:ind w:firstLine="720"/>
        <w:jc w:val="both"/>
      </w:pPr>
      <w:r>
        <w:rPr>
          <w:rFonts w:ascii="Times New Roman" w:hAnsi="Times New Roman" w:eastAsia="Times New Roman"/>
          <w:sz w:val="24"/>
        </w:rPr>
        <w:t>The gap is therefore an integration and management gap, not a claim that virtual laboratories or learning systems do not exist. Among the systems reviewed, there is limited evidence of a focused web-based workflow that treats the practical task as the central academic record; distinguishes Administrator, Lecturer and Student responsibilities; connects only approved demonstration resources; captures a reviewable work trail; supports formative assessment; and remains usable, accessible and secure. The proposed study addresses this gap within automotive practical education.</w:t>
      </w:r>
    </w:p>
    <w:p>
      <w:pPr>
        <w:pStyle w:val="Heading1"/>
        <w:jc w:val="left"/>
        <w:keepNext/>
      </w:pPr>
      <w:r>
        <w:rPr>
          <w:rFonts w:ascii="Times New Roman" w:hAnsi="Times New Roman" w:eastAsia="Times New Roman"/>
          <w:b/>
          <w:i w:val="0"/>
          <w:color w:val="000000"/>
          <w:sz w:val="28"/>
        </w:rPr>
        <w:t>2.14 Conceptual Framework</w:t>
      </w:r>
    </w:p>
    <w:p>
      <w:pPr>
        <w:spacing w:after="120" w:line="360" w:lineRule="auto"/>
        <w:ind w:firstLine="720"/>
        <w:jc w:val="both"/>
      </w:pPr>
      <w:r>
        <w:rPr>
          <w:rFonts w:ascii="Times New Roman" w:hAnsi="Times New Roman" w:eastAsia="Times New Roman"/>
          <w:b w:val="0"/>
          <w:i w:val="0"/>
          <w:color w:val="000000"/>
          <w:sz w:val="24"/>
        </w:rPr>
        <w:t>The conceptual framework in Figure 2.1 brings the findings of the review into one view. The inputs are the people and academic structures, the practical tasks and outcomes, and the approved learning resources. These inputs pass through a management process that controls identity and roles, publishes tasks, provides resource access, receives evidence, preserves the work trail and supports assessment and feedback. The intended outputs are structured access, continuity, organised records, reviewable assessment and better visibility of student progress.</w:t>
      </w:r>
    </w:p>
    <w:p>
      <w:pPr>
        <w:spacing w:before="120" w:after="60"/>
        <w:jc w:val="center"/>
      </w:pPr>
      <w:r>
        <w:drawing>
          <wp:inline xmlns:a="http://schemas.openxmlformats.org/drawingml/2006/main" xmlns:pic="http://schemas.openxmlformats.org/drawingml/2006/picture">
            <wp:extent cx="6217920" cy="3972560"/>
            <wp:docPr id="2" name="Picture 2" descr="Figure 2.1: Conceptual framework linking inputs through web-based management to educational outputs, supported by usability, accessibility, security and resource quality." title="Figure 2.1"/>
            <wp:cNvGraphicFramePr>
              <a:graphicFrameLocks noChangeAspect="1"/>
            </wp:cNvGraphicFramePr>
            <a:graphic>
              <a:graphicData uri="http://schemas.openxmlformats.org/drawingml/2006/picture">
                <pic:pic>
                  <pic:nvPicPr>
                    <pic:cNvPr id="0" name="chapter_two_conceptual_framework.png"/>
                    <pic:cNvPicPr/>
                  </pic:nvPicPr>
                  <pic:blipFill>
                    <a:blip r:embed="rId12"/>
                    <a:stretch>
                      <a:fillRect/>
                    </a:stretch>
                  </pic:blipFill>
                  <pic:spPr>
                    <a:xfrm>
                      <a:off x="0" y="0"/>
                      <a:ext cx="6217920" cy="3972560"/>
                    </a:xfrm>
                    <a:prstGeom prst="rect"/>
                  </pic:spPr>
                </pic:pic>
              </a:graphicData>
            </a:graphic>
          </wp:inline>
        </w:drawing>
      </w:r>
    </w:p>
    <w:p>
      <w:pPr>
        <w:spacing w:after="40"/>
        <w:jc w:val="center"/>
      </w:pPr>
      <w:r>
        <w:rPr>
          <w:rFonts w:ascii="Times New Roman" w:hAnsi="Times New Roman" w:eastAsia="Times New Roman"/>
          <w:b w:val="0"/>
          <w:i/>
          <w:color w:val="000000"/>
          <w:sz w:val="20"/>
        </w:rPr>
        <w:t>Figure 2.1: Conceptual framework for the proposed web-based platform</w:t>
      </w:r>
    </w:p>
    <w:p>
      <w:pPr>
        <w:spacing w:after="160"/>
        <w:jc w:val="center"/>
      </w:pPr>
      <w:r>
        <w:rPr>
          <w:rFonts w:ascii="Times New Roman" w:hAnsi="Times New Roman" w:eastAsia="Times New Roman"/>
          <w:b w:val="0"/>
          <w:i/>
          <w:color w:val="000000"/>
          <w:sz w:val="18"/>
        </w:rPr>
        <w:t>Source: Researcher's construct (2026)</w:t>
      </w:r>
    </w:p>
    <w:p>
      <w:pPr>
        <w:spacing w:after="120" w:line="360" w:lineRule="auto"/>
        <w:ind w:firstLine="720"/>
        <w:jc w:val="both"/>
      </w:pPr>
      <w:r>
        <w:rPr>
          <w:rFonts w:ascii="Times New Roman" w:hAnsi="Times New Roman" w:eastAsia="Times New Roman"/>
          <w:b w:val="0"/>
          <w:i w:val="0"/>
          <w:color w:val="000000"/>
          <w:sz w:val="24"/>
        </w:rPr>
        <w:t>Four enabling conditions surround the process. Usability makes the workflow understandable; accessibility allows a wider range of learners to participate; security protects identity and records; and resource quality ensures that an approved demonstration is appropriate for its learning purpose. The arrows do not imply that technology alone produces competence. They show the relationships the platform is designed to support. Learning still depends on the student's engagement, the lecturer's guidance, the quality of the task and the complementary use of physical practical experience.</w:t>
      </w:r>
    </w:p>
    <w:p>
      <w:pPr>
        <w:spacing w:after="120" w:line="360" w:lineRule="auto"/>
        <w:ind w:firstLine="720"/>
        <w:jc w:val="both"/>
      </w:pPr>
      <w:r>
        <w:rPr>
          <w:rFonts w:ascii="Times New Roman" w:hAnsi="Times New Roman" w:eastAsia="Times New Roman"/>
          <w:b w:val="0"/>
          <w:i w:val="0"/>
          <w:color w:val="000000"/>
          <w:sz w:val="24"/>
        </w:rPr>
        <w:t>The framework also defines the study boundary. The platform manages the educational context around an approved demonstration: selection, assignment, launch, evidence and review. The internal mathematical behaviour of the demonstration remains the responsibility of the specialised resource. This separation keeps the project focused while leaving room for different resources to be connected through metadata, secure links or standards-based interfaces.</w:t>
      </w:r>
    </w:p>
    <w:p>
      <w:pPr>
        <w:pStyle w:val="Heading1"/>
        <w:jc w:val="left"/>
        <w:keepNext/>
      </w:pPr>
      <w:r>
        <w:rPr>
          <w:rFonts w:ascii="Times New Roman" w:hAnsi="Times New Roman" w:eastAsia="Times New Roman"/>
          <w:b/>
          <w:i w:val="0"/>
          <w:color w:val="000000"/>
          <w:sz w:val="28"/>
        </w:rPr>
        <w:t>2.15 Chapter Summary</w:t>
      </w:r>
    </w:p>
    <w:p>
      <w:pPr>
        <w:spacing w:after="120" w:line="360" w:lineRule="auto"/>
        <w:ind w:firstLine="720"/>
        <w:jc w:val="both"/>
      </w:pPr>
      <w:r>
        <w:rPr>
          <w:rFonts w:ascii="Times New Roman" w:hAnsi="Times New Roman" w:eastAsia="Times New Roman"/>
          <w:b w:val="0"/>
          <w:i w:val="0"/>
          <w:color w:val="000000"/>
          <w:sz w:val="24"/>
        </w:rPr>
        <w:t>This chapter has reviewed the educational and technical foundations of a web-based platform for managing automotive practical education. Practical competence requires active, authentic and aligned learning. Virtual and remote resources can widen access, repeatability and visibility, but they work best when their purpose is clear and when they complement physical practice. Web-based platforms add value by maintaining continuity across tasks, resources, evidence, feedback and academic roles.</w:t>
      </w:r>
    </w:p>
    <w:p>
      <w:pPr>
        <w:spacing w:after="120" w:line="360" w:lineRule="auto"/>
        <w:ind w:firstLine="720"/>
        <w:jc w:val="both"/>
      </w:pPr>
      <w:r>
        <w:rPr>
          <w:rFonts w:ascii="Times New Roman" w:hAnsi="Times New Roman" w:eastAsia="Times New Roman"/>
          <w:b w:val="0"/>
          <w:i w:val="0"/>
          <w:color w:val="000000"/>
          <w:sz w:val="24"/>
        </w:rPr>
        <w:t>The review has also shown that assessment, records and governance are not secondary features. A defensible work trail connects activity with evidence and lecturer judgement, while role-based management protects responsibility. Interoperability allows specialised resources to remain separate from the main platform, and usability, accessibility, security and ethical data practice determine whether the system can be trusted in everyday use. Experiential learning, constructivism and the Technology Acceptance Model provide the theoretical basis for the learning cycle, meaning-making and adoption of the proposed system.</w:t>
      </w:r>
    </w:p>
    <w:p>
      <w:pPr>
        <w:spacing w:after="120" w:line="360" w:lineRule="auto"/>
        <w:ind w:firstLine="720"/>
        <w:jc w:val="both"/>
      </w:pPr>
      <w:r>
        <w:rPr>
          <w:rFonts w:ascii="Times New Roman" w:hAnsi="Times New Roman" w:eastAsia="Times New Roman"/>
          <w:sz w:val="24"/>
        </w:rPr>
        <w:t>The identified gap is the limited evidence, among the reviewed systems, of a focused and integrated workflow for managing automotive practical education from approved access through task completion, evidence, feedback and oversight. The proposed platform responds to this gap without claiming to replace the physical workshop or reproduce the internal operation of every demonstration tool. The next chapter will present the system design and planning, proposed development and implementation procedure, and testing and evaluation method.</w:t>
      </w:r>
    </w:p>
    <w:p>
      <w:r>
        <w:br w:type="page"/>
      </w:r>
    </w:p>
    <w:p>
      <w:pPr>
        <w:pStyle w:val="ChapterTitle"/>
        <w:jc w:val="center"/>
      </w:pPr>
      <w:r>
        <w:rPr>
          <w:rFonts w:ascii="Times New Roman" w:hAnsi="Times New Roman" w:eastAsia="Times New Roman"/>
          <w:b/>
          <w:i w:val="0"/>
          <w:color w:val="000000"/>
          <w:sz w:val="30"/>
        </w:rPr>
        <w:t>CHAPTER TWO REFERENCES</w:t>
      </w:r>
    </w:p>
    <w:p>
      <w:pPr>
        <w:spacing w:after="80" w:line="240" w:lineRule="auto"/>
        <w:ind w:left="720" w:hanging="720"/>
        <w:jc w:val="left"/>
      </w:pPr>
      <w:r>
        <w:rPr>
          <w:rFonts w:ascii="Times New Roman" w:hAnsi="Times New Roman" w:eastAsia="Times New Roman"/>
          <w:b w:val="0"/>
          <w:i w:val="0"/>
          <w:color w:val="000000"/>
          <w:sz w:val="21"/>
        </w:rPr>
        <w:t>1EdTech Consortium. (2019a). Learning Tools Interoperability (LTI) Advantage version 1.0 final. https://www.imsglobal.org/lti-advantage-overview</w:t>
      </w:r>
    </w:p>
    <w:p>
      <w:pPr>
        <w:spacing w:after="80" w:line="240" w:lineRule="auto"/>
        <w:ind w:left="720" w:hanging="720"/>
        <w:jc w:val="left"/>
      </w:pPr>
      <w:r>
        <w:rPr>
          <w:rFonts w:ascii="Times New Roman" w:hAnsi="Times New Roman" w:eastAsia="Times New Roman"/>
          <w:b w:val="0"/>
          <w:i w:val="0"/>
          <w:color w:val="000000"/>
          <w:sz w:val="21"/>
        </w:rPr>
        <w:t>1EdTech Consortium. (2019b). Caliper Analytics specification version 1.2. https://www.imsglobal.org/spec/caliper/v1p2</w:t>
      </w:r>
    </w:p>
    <w:p>
      <w:pPr>
        <w:spacing w:after="80" w:line="240" w:lineRule="auto"/>
        <w:ind w:left="720" w:hanging="720"/>
        <w:jc w:val="left"/>
      </w:pPr>
      <w:r>
        <w:rPr>
          <w:rFonts w:ascii="Times New Roman" w:hAnsi="Times New Roman" w:eastAsia="Times New Roman"/>
          <w:b w:val="0"/>
          <w:i w:val="0"/>
          <w:color w:val="000000"/>
          <w:sz w:val="21"/>
        </w:rPr>
        <w:t>Abdulwahed, M., &amp; Nagy, Z. K. (2009). Applying Kolb's experiential learning cycle for laboratory education. Journal of Engineering Education, 98(3), 283–294. https://doi.org/10.1002/j.2168-9830.2009.tb01025.x</w:t>
      </w:r>
    </w:p>
    <w:p>
      <w:pPr>
        <w:spacing w:after="80" w:line="240" w:lineRule="auto"/>
        <w:ind w:left="720" w:hanging="720"/>
        <w:jc w:val="left"/>
      </w:pPr>
      <w:r>
        <w:rPr>
          <w:rFonts w:ascii="Times New Roman" w:hAnsi="Times New Roman" w:eastAsia="Times New Roman"/>
          <w:b w:val="0"/>
          <w:i w:val="0"/>
          <w:color w:val="000000"/>
          <w:sz w:val="21"/>
        </w:rPr>
        <w:t>Abdulwahed, M., &amp; Nagy, Z. K. (2013). Developing the TriLab, a triple access mode (hands-on, virtual, remote) laboratory, of a process control rig using LabVIEW and Joomla. Computer Applications in Engineering Education, 21(4), 614–626. https://doi.org/10.1002/cae.20506</w:t>
      </w:r>
    </w:p>
    <w:p>
      <w:pPr>
        <w:spacing w:after="80" w:line="240" w:lineRule="auto"/>
        <w:ind w:left="720" w:hanging="720"/>
        <w:jc w:val="left"/>
      </w:pPr>
      <w:r>
        <w:rPr>
          <w:rFonts w:ascii="Times New Roman" w:hAnsi="Times New Roman" w:eastAsia="Times New Roman"/>
          <w:b w:val="0"/>
          <w:i w:val="0"/>
          <w:color w:val="000000"/>
          <w:sz w:val="21"/>
        </w:rPr>
        <w:t>Abele, E., Metternich, J., Tisch, M., Chryssolouris, G., Sihn, W., ElMaraghy, H., Hummel, V., &amp; Ranz, F. (2017). Learning factories for future oriented research and education in manufacturing. CIRP Annals, 66(2), 803–826. https://doi.org/10.1016/j.cirp.2017.05.005</w:t>
      </w:r>
    </w:p>
    <w:p>
      <w:pPr>
        <w:spacing w:after="80" w:line="240" w:lineRule="auto"/>
        <w:ind w:left="720" w:hanging="720"/>
        <w:jc w:val="left"/>
      </w:pPr>
      <w:r>
        <w:rPr>
          <w:rFonts w:ascii="Times New Roman" w:hAnsi="Times New Roman" w:eastAsia="Times New Roman"/>
          <w:b w:val="0"/>
          <w:i w:val="0"/>
          <w:color w:val="000000"/>
          <w:sz w:val="21"/>
        </w:rPr>
        <w:t>Al-Azawei, A., Serenelli, F., &amp; Lundqvist, K. (2016). Universal Design for Learning (UDL): A content analysis of peer-reviewed journal papers from 2012 to 2015. Smart Learning Environments, 3, Article 10. https://doi.org/10.1186/s40561-016-0036-1</w:t>
      </w:r>
    </w:p>
    <w:p>
      <w:pPr>
        <w:spacing w:after="80" w:line="240" w:lineRule="auto"/>
        <w:ind w:left="720" w:hanging="720"/>
        <w:jc w:val="left"/>
      </w:pPr>
      <w:r>
        <w:rPr>
          <w:rFonts w:ascii="Times New Roman" w:hAnsi="Times New Roman" w:eastAsia="Times New Roman"/>
          <w:b w:val="0"/>
          <w:i w:val="0"/>
          <w:color w:val="000000"/>
          <w:sz w:val="21"/>
        </w:rPr>
        <w:t>Al-Fraihat, D., Joy, M., Masa'deh, R., &amp; Sinclair, J. (2020). Evaluating e-learning systems success: An empirical study. Computers in Human Behavior, 102, 67–86. https://doi.org/10.1016/j.chb.2019.08.004</w:t>
      </w:r>
    </w:p>
    <w:p>
      <w:pPr>
        <w:spacing w:after="80" w:line="240" w:lineRule="auto"/>
        <w:ind w:left="720" w:hanging="720"/>
        <w:jc w:val="left"/>
      </w:pPr>
      <w:r>
        <w:rPr>
          <w:rFonts w:ascii="Times New Roman" w:hAnsi="Times New Roman" w:eastAsia="Times New Roman"/>
          <w:b w:val="0"/>
          <w:i w:val="0"/>
          <w:color w:val="000000"/>
          <w:sz w:val="21"/>
        </w:rPr>
        <w:t>Bangor, A., Kortum, P. T., &amp; Miller, J. T. (2008). An empirical evaluation of the System Usability Scale. International Journal of Human–Computer Interaction, 24(6), 574–594. https://doi.org/10.1080/10447310802205776</w:t>
      </w:r>
    </w:p>
    <w:p>
      <w:pPr>
        <w:spacing w:after="80" w:line="240" w:lineRule="auto"/>
        <w:ind w:left="720" w:hanging="720"/>
        <w:jc w:val="left"/>
      </w:pPr>
      <w:r>
        <w:rPr>
          <w:rFonts w:ascii="Times New Roman" w:hAnsi="Times New Roman" w:eastAsia="Times New Roman"/>
          <w:b w:val="0"/>
          <w:i w:val="0"/>
          <w:color w:val="000000"/>
          <w:sz w:val="21"/>
        </w:rPr>
        <w:t>Bennett, R. E. (2011). Formative assessment: A critical review. Assessment in Education: Principles, Policy &amp; Practice, 18(1), 5–25. https://doi.org/10.1080/0969594X.2010.513678</w:t>
      </w:r>
    </w:p>
    <w:p>
      <w:pPr>
        <w:spacing w:after="80" w:line="240" w:lineRule="auto"/>
        <w:ind w:left="720" w:hanging="720"/>
        <w:jc w:val="left"/>
      </w:pPr>
      <w:r>
        <w:rPr>
          <w:rFonts w:ascii="Times New Roman" w:hAnsi="Times New Roman" w:eastAsia="Times New Roman"/>
          <w:b w:val="0"/>
          <w:i w:val="0"/>
          <w:color w:val="000000"/>
          <w:sz w:val="21"/>
        </w:rPr>
        <w:t>Bernard, R. M., Borokhovski, E., Schmid, R. F., Tamim, R. M., &amp; Abrami, P. C. (2014). A meta-analysis of blended learning and technology use in higher education: From the general to the applied. Journal of Computing in Higher Education, 26, 87–122. https://doi.org/10.1007/s12528-014-9077-3</w:t>
      </w:r>
    </w:p>
    <w:p>
      <w:pPr>
        <w:spacing w:after="80" w:line="240" w:lineRule="auto"/>
        <w:ind w:left="720" w:hanging="720"/>
        <w:jc w:val="left"/>
      </w:pPr>
      <w:r>
        <w:rPr>
          <w:rFonts w:ascii="Times New Roman" w:hAnsi="Times New Roman" w:eastAsia="Times New Roman"/>
          <w:b w:val="0"/>
          <w:i w:val="0"/>
          <w:color w:val="000000"/>
          <w:sz w:val="21"/>
        </w:rPr>
        <w:t>Biggs, J. (1996). Enhancing teaching through constructive alignment. Higher Education, 32, 347–364. https://doi.org/10.1007/BF00138871</w:t>
      </w:r>
    </w:p>
    <w:p>
      <w:pPr>
        <w:spacing w:after="80" w:line="240" w:lineRule="auto"/>
        <w:ind w:left="720" w:hanging="720"/>
        <w:jc w:val="left"/>
      </w:pPr>
      <w:r>
        <w:rPr>
          <w:rFonts w:ascii="Times New Roman" w:hAnsi="Times New Roman" w:eastAsia="Times New Roman"/>
          <w:b w:val="0"/>
          <w:i w:val="0"/>
          <w:color w:val="000000"/>
          <w:sz w:val="21"/>
        </w:rPr>
        <w:t>Bodily, R., &amp; Verbert, K. (2017). Review of research on student-facing learning analytics dashboards and educational recommender systems. IEEE Transactions on Learning Technologies, 10(4), 405–418. https://doi.org/10.1109/TLT.2017.2740172</w:t>
      </w:r>
    </w:p>
    <w:p>
      <w:pPr>
        <w:spacing w:after="80" w:line="240" w:lineRule="auto"/>
        <w:ind w:left="720" w:hanging="720"/>
        <w:jc w:val="left"/>
      </w:pPr>
      <w:r>
        <w:rPr>
          <w:rFonts w:ascii="Times New Roman" w:hAnsi="Times New Roman" w:eastAsia="Times New Roman"/>
          <w:b w:val="0"/>
          <w:i w:val="0"/>
          <w:color w:val="000000"/>
          <w:sz w:val="21"/>
        </w:rPr>
        <w:t>Bond, M., Buntins, K., Bedenlier, S., Zawacki-Richter, O., &amp; Kerres, M. (2020). Mapping research in student engagement and educational technology in higher education: A systematic evidence map. International Journal of Educational Technology in Higher Education, 17, Article 2. https://doi.org/10.1186/s41239-019-0176-8</w:t>
      </w:r>
    </w:p>
    <w:p>
      <w:pPr>
        <w:spacing w:after="80" w:line="240" w:lineRule="auto"/>
        <w:ind w:left="720" w:hanging="720"/>
        <w:jc w:val="left"/>
      </w:pPr>
      <w:r>
        <w:rPr>
          <w:rFonts w:ascii="Times New Roman" w:hAnsi="Times New Roman" w:eastAsia="Times New Roman"/>
          <w:b w:val="0"/>
          <w:i w:val="0"/>
          <w:color w:val="000000"/>
          <w:sz w:val="21"/>
        </w:rPr>
        <w:t>Bonde, M. T., Makransky, G., Wandall, J., Larsen, M. V., Morsing, M., Jarmer, H., &amp; Sommer, M. O. A. (2014). Improving biotech education through gamified laboratory simulations. Nature Biotechnology, 32(7), 694–697. https://doi.org/10.1038/nbt.2955</w:t>
      </w:r>
    </w:p>
    <w:p>
      <w:pPr>
        <w:spacing w:after="80" w:line="240" w:lineRule="auto"/>
        <w:ind w:left="720" w:hanging="720"/>
        <w:jc w:val="left"/>
      </w:pPr>
      <w:r>
        <w:rPr>
          <w:rFonts w:ascii="Times New Roman" w:hAnsi="Times New Roman" w:eastAsia="Times New Roman"/>
          <w:b w:val="0"/>
          <w:i w:val="0"/>
          <w:color w:val="000000"/>
          <w:sz w:val="21"/>
        </w:rPr>
        <w:t>Bose, R. (2013). Virtual Labs project: A paradigm shift in Internet-based remote experimentation. IEEE Access, 1, 718–725. https://doi.org/10.1109/ACCESS.2013.2286202</w:t>
      </w:r>
    </w:p>
    <w:p>
      <w:pPr>
        <w:spacing w:after="80" w:line="240" w:lineRule="auto"/>
        <w:ind w:left="720" w:hanging="720"/>
        <w:jc w:val="left"/>
      </w:pPr>
      <w:r>
        <w:rPr>
          <w:rFonts w:ascii="Times New Roman" w:hAnsi="Times New Roman" w:eastAsia="Times New Roman"/>
          <w:b w:val="0"/>
          <w:i w:val="0"/>
          <w:color w:val="000000"/>
          <w:sz w:val="21"/>
        </w:rPr>
        <w:t>Boud, D., &amp; Falchikov, N. (2006). Aligning assessment with long-term learning. Assessment &amp; Evaluation in Higher Education, 31(4), 399–413. https://doi.org/10.1080/02602930600679050</w:t>
      </w:r>
    </w:p>
    <w:p>
      <w:pPr>
        <w:spacing w:after="80" w:line="240" w:lineRule="auto"/>
        <w:ind w:left="720" w:hanging="720"/>
        <w:jc w:val="left"/>
      </w:pPr>
      <w:r>
        <w:rPr>
          <w:rFonts w:ascii="Times New Roman" w:hAnsi="Times New Roman" w:eastAsia="Times New Roman"/>
          <w:b w:val="0"/>
          <w:i w:val="0"/>
          <w:color w:val="000000"/>
          <w:sz w:val="21"/>
        </w:rPr>
        <w:t>Bourne, J., Harris, D., &amp; Mayadas, F. (2005). Online engineering education: Learning anywhere, anytime. Journal of Engineering Education, 94(1), 131–146. https://doi.org/10.1002/j.2168-9830.2005.tb00834.x</w:t>
      </w:r>
    </w:p>
    <w:p>
      <w:pPr>
        <w:spacing w:after="80" w:line="240" w:lineRule="auto"/>
        <w:ind w:left="720" w:hanging="720"/>
        <w:jc w:val="left"/>
      </w:pPr>
      <w:r>
        <w:rPr>
          <w:rFonts w:ascii="Times New Roman" w:hAnsi="Times New Roman" w:eastAsia="Times New Roman"/>
          <w:b w:val="0"/>
          <w:i w:val="0"/>
          <w:color w:val="000000"/>
          <w:sz w:val="21"/>
        </w:rPr>
        <w:t>Brinson, J. R. (2015). Learning outcome achievement in non-traditional (virtual and remote) versus traditional (hands-on) laboratories: A review of the empirical research. Computers &amp; Education, 87, 218–237. https://doi.org/10.1016/j.compedu.2015.07.003</w:t>
      </w:r>
    </w:p>
    <w:p>
      <w:pPr>
        <w:spacing w:after="80" w:line="240" w:lineRule="auto"/>
        <w:ind w:left="720" w:hanging="720"/>
        <w:jc w:val="left"/>
      </w:pPr>
      <w:r>
        <w:rPr>
          <w:rFonts w:ascii="Times New Roman" w:hAnsi="Times New Roman" w:eastAsia="Times New Roman"/>
          <w:b w:val="0"/>
          <w:i w:val="0"/>
          <w:color w:val="000000"/>
          <w:sz w:val="21"/>
        </w:rPr>
        <w:t>Broadbent, J., &amp; Poon, W. L. (2015). Self-regulated learning strategies and academic achievement in online higher education learning environments: A systematic review. International Review of Research in Open and Distributed Learning, 16(1), 1–20. https://doi.org/10.19173/irrodl.v16i1.1975</w:t>
      </w:r>
    </w:p>
    <w:p>
      <w:pPr>
        <w:spacing w:after="80" w:line="240" w:lineRule="auto"/>
        <w:ind w:left="720" w:hanging="720"/>
        <w:jc w:val="left"/>
      </w:pPr>
      <w:r>
        <w:rPr>
          <w:rFonts w:ascii="Times New Roman" w:hAnsi="Times New Roman" w:eastAsia="Times New Roman"/>
          <w:b w:val="0"/>
          <w:i w:val="0"/>
          <w:color w:val="000000"/>
          <w:sz w:val="21"/>
        </w:rPr>
        <w:t>Brooke, J. (1996). SUS: A 'quick and dirty' usability scale. In P. W. Jordan, B. Thomas, B. A. Weerdmeester, &amp; I. L. McClelland (Eds.), Usability evaluation in industry (pp. 189–194). Taylor &amp; Francis.</w:t>
      </w:r>
    </w:p>
    <w:p>
      <w:pPr>
        <w:spacing w:after="80" w:line="240" w:lineRule="auto"/>
        <w:ind w:left="720" w:hanging="720"/>
        <w:jc w:val="left"/>
      </w:pPr>
      <w:r>
        <w:rPr>
          <w:rFonts w:ascii="Times New Roman" w:hAnsi="Times New Roman" w:eastAsia="Times New Roman"/>
          <w:b w:val="0"/>
          <w:i w:val="0"/>
          <w:color w:val="000000"/>
          <w:sz w:val="21"/>
        </w:rPr>
        <w:t>Burgstahler, S. E. (Ed.). (2015). Universal design in higher education: From principles to practice (2nd ed.). Harvard Education Press.</w:t>
      </w:r>
    </w:p>
    <w:p>
      <w:pPr>
        <w:spacing w:after="80" w:line="240" w:lineRule="auto"/>
        <w:ind w:left="720" w:hanging="720"/>
        <w:jc w:val="left"/>
      </w:pPr>
      <w:r>
        <w:rPr>
          <w:rFonts w:ascii="Times New Roman" w:hAnsi="Times New Roman" w:eastAsia="Times New Roman"/>
          <w:b w:val="0"/>
          <w:i w:val="0"/>
          <w:color w:val="000000"/>
          <w:sz w:val="21"/>
        </w:rPr>
        <w:t>Carless, D., &amp; Boud, D. (2018). The development of student feedback literacy: Enabling uptake of feedback. Assessment &amp; Evaluation in Higher Education, 43(8), 1315–1325. https://doi.org/10.1080/02602938.2018.1463354</w:t>
      </w:r>
    </w:p>
    <w:p>
      <w:pPr>
        <w:spacing w:after="80" w:line="240" w:lineRule="auto"/>
        <w:ind w:left="720" w:hanging="720"/>
        <w:jc w:val="left"/>
      </w:pPr>
      <w:r>
        <w:rPr>
          <w:rFonts w:ascii="Times New Roman" w:hAnsi="Times New Roman" w:eastAsia="Times New Roman"/>
          <w:b w:val="0"/>
          <w:i w:val="0"/>
          <w:color w:val="000000"/>
          <w:sz w:val="21"/>
        </w:rPr>
        <w:t>Chen, F., Chen, P., Yang, J., Liu, S., Ma, X., Meng, Z., Zhang, Y., &amp; Chen, J. (2026). A longitudinal evaluation of a four-level practical engineering education framework based on OBE-CDIO principles. Scientific Reports, 16, Article 22678. https://doi.org/10.1038/s41598-026-56297-9</w:t>
      </w:r>
    </w:p>
    <w:p>
      <w:pPr>
        <w:spacing w:after="80" w:line="240" w:lineRule="auto"/>
        <w:ind w:left="720" w:hanging="720"/>
        <w:jc w:val="left"/>
      </w:pPr>
      <w:r>
        <w:rPr>
          <w:rFonts w:ascii="Times New Roman" w:hAnsi="Times New Roman" w:eastAsia="Times New Roman"/>
          <w:b w:val="0"/>
          <w:i w:val="0"/>
          <w:color w:val="000000"/>
          <w:sz w:val="21"/>
        </w:rPr>
        <w:t>Coates, H., James, R., &amp; Baldwin, G. (2005). A critical examination of the effects of learning management systems on university teaching and learning. Tertiary Education and Management, 11(1), 19–36. https://doi.org/10.1007/s11233-004-3567-9</w:t>
      </w:r>
    </w:p>
    <w:p>
      <w:pPr>
        <w:spacing w:after="80" w:line="240" w:lineRule="auto"/>
        <w:ind w:left="720" w:hanging="720"/>
        <w:jc w:val="left"/>
      </w:pPr>
      <w:r>
        <w:rPr>
          <w:rFonts w:ascii="Times New Roman" w:hAnsi="Times New Roman" w:eastAsia="Times New Roman"/>
          <w:b w:val="0"/>
          <w:i w:val="0"/>
          <w:color w:val="000000"/>
          <w:sz w:val="21"/>
        </w:rPr>
        <w:t>Cooper, M., &amp; Ferreira, J. M. M. (2009). Remote laboratories extending access to science and engineering curricular. IEEE Transactions on Learning Technologies, 2(4), 342–353. https://doi.org/10.1109/TLT.2009.43</w:t>
      </w:r>
    </w:p>
    <w:p>
      <w:pPr>
        <w:spacing w:after="80" w:line="240" w:lineRule="auto"/>
        <w:ind w:left="720" w:hanging="720"/>
        <w:jc w:val="left"/>
      </w:pPr>
      <w:r>
        <w:rPr>
          <w:rFonts w:ascii="Times New Roman" w:hAnsi="Times New Roman" w:eastAsia="Times New Roman"/>
          <w:b w:val="0"/>
          <w:i w:val="0"/>
          <w:color w:val="000000"/>
          <w:sz w:val="21"/>
        </w:rPr>
        <w:t>Corter, J. E., Nickerson, J. V., Esche, S. K., &amp; Chassapis, C. (2007). Constructing reality: A study of remote, hands-on, and simulated laboratories. ACM Transactions on Computer-Human Interaction, 14(2), Article 7. https://doi.org/10.1145/1275511.1275513</w:t>
      </w:r>
    </w:p>
    <w:p>
      <w:pPr>
        <w:spacing w:after="80" w:line="240" w:lineRule="auto"/>
        <w:ind w:left="720" w:hanging="720"/>
        <w:jc w:val="left"/>
      </w:pPr>
      <w:r>
        <w:rPr>
          <w:rFonts w:ascii="Times New Roman" w:hAnsi="Times New Roman" w:eastAsia="Times New Roman"/>
          <w:b w:val="0"/>
          <w:i w:val="0"/>
          <w:color w:val="000000"/>
          <w:sz w:val="21"/>
        </w:rPr>
        <w:t>Crawley, E. F., Malmqvist, J., Östlund, S., Brodeur, D. R., &amp; Edström, K. (2014). Rethinking engineering education: The CDIO approach (2nd ed.). Springer. https://doi.org/10.1007/978-3-319-05561-9</w:t>
      </w:r>
    </w:p>
    <w:p>
      <w:pPr>
        <w:spacing w:after="80" w:line="240" w:lineRule="auto"/>
        <w:ind w:left="720" w:hanging="720"/>
        <w:jc w:val="left"/>
      </w:pPr>
      <w:r>
        <w:rPr>
          <w:rFonts w:ascii="Times New Roman" w:hAnsi="Times New Roman" w:eastAsia="Times New Roman"/>
          <w:b w:val="0"/>
          <w:i w:val="0"/>
          <w:color w:val="000000"/>
          <w:sz w:val="21"/>
        </w:rPr>
        <w:t>Davis, F. D. (1989). Perceived usefulness, perceived ease of use, and user acceptance of information technology. MIS Quarterly, 13(3), 319–340. https://doi.org/10.2307/249008</w:t>
      </w:r>
    </w:p>
    <w:p>
      <w:pPr>
        <w:spacing w:after="80" w:line="240" w:lineRule="auto"/>
        <w:ind w:left="720" w:hanging="720"/>
        <w:jc w:val="left"/>
      </w:pPr>
      <w:r>
        <w:rPr>
          <w:rFonts w:ascii="Times New Roman" w:hAnsi="Times New Roman" w:eastAsia="Times New Roman"/>
          <w:b w:val="0"/>
          <w:i w:val="0"/>
          <w:color w:val="000000"/>
          <w:sz w:val="21"/>
        </w:rPr>
        <w:t>de Jong, T., Linn, M. C., &amp; Zacharia, Z. C. (2013). Physical and virtual laboratories in science and engineering education. Science, 340(6130), 305–308. https://doi.org/10.1126/science.1230579</w:t>
      </w:r>
    </w:p>
    <w:p>
      <w:pPr>
        <w:spacing w:after="80" w:line="240" w:lineRule="auto"/>
        <w:ind w:left="720" w:hanging="720"/>
        <w:jc w:val="left"/>
      </w:pPr>
      <w:r>
        <w:rPr>
          <w:rFonts w:ascii="Times New Roman" w:hAnsi="Times New Roman" w:eastAsia="Times New Roman"/>
          <w:b w:val="0"/>
          <w:i w:val="0"/>
          <w:color w:val="000000"/>
          <w:sz w:val="21"/>
        </w:rPr>
        <w:t>de Jong, T., Sotiriou, S., &amp; Gillet, D. (2014). Innovations in STEM education: The Go-Lab federation of online labs. Smart Learning Environments, 1, Article 3. https://doi.org/10.1186/s40561-014-0003-6</w:t>
      </w:r>
    </w:p>
    <w:p>
      <w:pPr>
        <w:spacing w:after="80" w:line="240" w:lineRule="auto"/>
        <w:ind w:left="720" w:hanging="720"/>
        <w:jc w:val="left"/>
      </w:pPr>
      <w:r>
        <w:rPr>
          <w:rFonts w:ascii="Times New Roman" w:hAnsi="Times New Roman" w:eastAsia="Times New Roman"/>
          <w:b w:val="0"/>
          <w:i w:val="0"/>
          <w:color w:val="000000"/>
          <w:sz w:val="21"/>
        </w:rPr>
        <w:t>DeLone, W. H., &amp; McLean, E. R. (2003). The DeLone and McLean model of information systems success: A ten-year update. Journal of Management Information Systems, 19(4), 9–30. https://doi.org/10.1080/07421222.2003.11045748</w:t>
      </w:r>
    </w:p>
    <w:p>
      <w:pPr>
        <w:spacing w:after="80" w:line="240" w:lineRule="auto"/>
        <w:ind w:left="720" w:hanging="720"/>
        <w:jc w:val="left"/>
      </w:pPr>
      <w:r>
        <w:rPr>
          <w:rFonts w:ascii="Times New Roman" w:hAnsi="Times New Roman" w:eastAsia="Times New Roman"/>
          <w:b w:val="0"/>
          <w:i w:val="0"/>
          <w:color w:val="000000"/>
          <w:sz w:val="21"/>
        </w:rPr>
        <w:t>Dougiamas, M., &amp; Taylor, P. C. (2003). Moodle: Using learning communities to create an open source course management system. In D. Lassner &amp; C. McNaught (Eds.), Proceedings of ED-MEDIA 2003 (pp. 171–178). Association for the Advancement of Computing in Education.</w:t>
      </w:r>
    </w:p>
    <w:p>
      <w:pPr>
        <w:spacing w:after="80" w:line="240" w:lineRule="auto"/>
        <w:ind w:left="720" w:hanging="720"/>
        <w:jc w:val="left"/>
      </w:pPr>
      <w:r>
        <w:rPr>
          <w:rFonts w:ascii="Times New Roman" w:hAnsi="Times New Roman" w:eastAsia="Times New Roman"/>
          <w:b w:val="0"/>
          <w:i w:val="0"/>
          <w:color w:val="000000"/>
          <w:sz w:val="21"/>
        </w:rPr>
        <w:t>Elmoazen, R., Saqr, M., Khalil, M., &amp; Wasson, B. (2023). Learning analytics in virtual laboratories: A systematic literature review of empirical research. Smart Learning Environments, 10, Article 24. https://doi.org/10.1186/s40561-023-00244-y</w:t>
      </w:r>
    </w:p>
    <w:p>
      <w:pPr>
        <w:spacing w:after="80" w:line="240" w:lineRule="auto"/>
        <w:ind w:left="720" w:hanging="720"/>
        <w:jc w:val="left"/>
      </w:pPr>
      <w:r>
        <w:rPr>
          <w:rFonts w:ascii="Times New Roman" w:hAnsi="Times New Roman" w:eastAsia="Times New Roman"/>
          <w:b w:val="0"/>
          <w:i w:val="0"/>
          <w:color w:val="000000"/>
          <w:sz w:val="21"/>
        </w:rPr>
        <w:t>Estriegana, R., Medina-Merodio, J.-A., &amp; Barchino, R. (2019). Student acceptance of virtual laboratory and practical work: An extension of the Technology Acceptance Model. Computers &amp; Education, 135, 1–14. https://doi.org/10.1016/j.compedu.2019.02.010</w:t>
      </w:r>
    </w:p>
    <w:p>
      <w:pPr>
        <w:spacing w:after="80" w:line="240" w:lineRule="auto"/>
        <w:ind w:left="720" w:hanging="720"/>
        <w:jc w:val="left"/>
      </w:pPr>
      <w:r>
        <w:rPr>
          <w:rFonts w:ascii="Times New Roman" w:hAnsi="Times New Roman" w:eastAsia="Times New Roman"/>
          <w:b w:val="0"/>
          <w:i w:val="0"/>
          <w:color w:val="000000"/>
          <w:sz w:val="21"/>
        </w:rPr>
        <w:t>Evans, C. (2013). Making sense of assessment feedback in higher education. Review of Educational Research, 83(1), 70–120. https://doi.org/10.3102/0034654312474350</w:t>
      </w:r>
    </w:p>
    <w:p>
      <w:pPr>
        <w:spacing w:after="80" w:line="240" w:lineRule="auto"/>
        <w:ind w:left="720" w:hanging="720"/>
        <w:jc w:val="left"/>
      </w:pPr>
      <w:r>
        <w:rPr>
          <w:rFonts w:ascii="Times New Roman" w:hAnsi="Times New Roman" w:eastAsia="Times New Roman"/>
          <w:b w:val="0"/>
          <w:i w:val="0"/>
          <w:color w:val="000000"/>
          <w:sz w:val="21"/>
        </w:rPr>
        <w:t>Faulconer, E. K., &amp; Gruss, A. B. (2018). A review to weigh the pros and cons of online, remote, and distance science laboratory experiences. International Review of Research in Open and Distributed Learning, 19(2). https://doi.org/10.19173/irrodl.v19i2.3386</w:t>
      </w:r>
    </w:p>
    <w:p>
      <w:pPr>
        <w:spacing w:after="80" w:line="240" w:lineRule="auto"/>
        <w:ind w:left="720" w:hanging="720"/>
        <w:jc w:val="left"/>
      </w:pPr>
      <w:r>
        <w:rPr>
          <w:rFonts w:ascii="Times New Roman" w:hAnsi="Times New Roman" w:eastAsia="Times New Roman"/>
          <w:b w:val="0"/>
          <w:i w:val="0"/>
          <w:color w:val="000000"/>
          <w:sz w:val="21"/>
        </w:rPr>
        <w:t>Feisel, L. D., &amp; Rosa, A. J. (2005). The role of the laboratory in undergraduate engineering education. Journal of Engineering Education, 94(1), 121–130. https://doi.org/10.1002/j.2168-9830.2005.tb00833.x</w:t>
      </w:r>
    </w:p>
    <w:p>
      <w:pPr>
        <w:spacing w:after="80" w:line="240" w:lineRule="auto"/>
        <w:ind w:left="720" w:hanging="720"/>
        <w:jc w:val="left"/>
      </w:pPr>
      <w:r>
        <w:rPr>
          <w:rFonts w:ascii="Times New Roman" w:hAnsi="Times New Roman" w:eastAsia="Times New Roman"/>
          <w:b w:val="0"/>
          <w:i w:val="0"/>
          <w:color w:val="000000"/>
          <w:sz w:val="21"/>
        </w:rPr>
        <w:t>Ferguson, R. (2012). Learning analytics: Drivers, developments and challenges. International Journal of Technology Enhanced Learning, 4(5/6), 304–317. https://doi.org/10.1504/IJTEL.2012.051816</w:t>
      </w:r>
    </w:p>
    <w:p>
      <w:pPr>
        <w:spacing w:after="80" w:line="240" w:lineRule="auto"/>
        <w:ind w:left="720" w:hanging="720"/>
        <w:jc w:val="left"/>
      </w:pPr>
      <w:r>
        <w:rPr>
          <w:rFonts w:ascii="Times New Roman" w:hAnsi="Times New Roman" w:eastAsia="Times New Roman"/>
          <w:b w:val="0"/>
          <w:i w:val="0"/>
          <w:color w:val="000000"/>
          <w:sz w:val="21"/>
        </w:rPr>
        <w:t>Ferraiolo, D. F., Sandhu, R. S., Gavrila, S. I., Kuhn, D. R., &amp; Chandramouli, R. (2001). Proposed NIST standard for role-based access control. ACM Transactions on Information and System Security, 4(3), 224–274. https://doi.org/10.1145/501978.501980</w:t>
      </w:r>
    </w:p>
    <w:p>
      <w:pPr>
        <w:spacing w:after="80" w:line="240" w:lineRule="auto"/>
        <w:ind w:left="720" w:hanging="720"/>
        <w:jc w:val="left"/>
      </w:pPr>
      <w:r>
        <w:rPr>
          <w:rFonts w:ascii="Times New Roman" w:hAnsi="Times New Roman" w:eastAsia="Times New Roman"/>
          <w:b w:val="0"/>
          <w:i w:val="0"/>
          <w:color w:val="000000"/>
          <w:sz w:val="21"/>
        </w:rPr>
        <w:t>Gamage, K. A. A., Wijesuriya, D. I., Ekanayake, S. Y., Rennie, A. E. W., Lambert, C. G., &amp; Gunawardhana, N. (2020). Online delivery of teaching and laboratory practices: Continuity of university programmes during COVID-19 pandemic. Education Sciences, 10(10), Article 291. https://doi.org/10.3390/educsci10100291</w:t>
      </w:r>
    </w:p>
    <w:p>
      <w:pPr>
        <w:spacing w:after="80" w:line="240" w:lineRule="auto"/>
        <w:ind w:left="720" w:hanging="720"/>
        <w:jc w:val="left"/>
      </w:pPr>
      <w:r>
        <w:rPr>
          <w:rFonts w:ascii="Times New Roman" w:hAnsi="Times New Roman" w:eastAsia="Times New Roman"/>
          <w:b w:val="0"/>
          <w:i w:val="0"/>
          <w:color w:val="000000"/>
          <w:sz w:val="21"/>
        </w:rPr>
        <w:t>Garrison, D. R., &amp; Kanuka, H. (2004). Blended learning: Uncovering its transformative potential in higher education. The Internet and Higher Education, 7(2), 95–105. https://doi.org/10.1016/j.iheduc.2004.02.001</w:t>
      </w:r>
    </w:p>
    <w:p>
      <w:pPr>
        <w:spacing w:after="80" w:line="240" w:lineRule="auto"/>
        <w:ind w:left="720" w:hanging="720"/>
        <w:jc w:val="left"/>
      </w:pPr>
      <w:r>
        <w:rPr>
          <w:rFonts w:ascii="Times New Roman" w:hAnsi="Times New Roman" w:eastAsia="Times New Roman"/>
          <w:b w:val="0"/>
          <w:i w:val="0"/>
          <w:color w:val="000000"/>
          <w:sz w:val="21"/>
        </w:rPr>
        <w:t>Gikandi, J. W., Morrow, D., &amp; Davis, N. E. (2011). Online formative assessment in higher education: A review of the literature. Computers &amp; Education, 57(4), 2333–2351. https://doi.org/10.1016/j.compedu.2011.06.004</w:t>
      </w:r>
    </w:p>
    <w:p>
      <w:pPr>
        <w:spacing w:after="80" w:line="240" w:lineRule="auto"/>
        <w:ind w:left="720" w:hanging="720"/>
        <w:jc w:val="left"/>
      </w:pPr>
      <w:r>
        <w:rPr>
          <w:rFonts w:ascii="Times New Roman" w:hAnsi="Times New Roman" w:eastAsia="Times New Roman"/>
          <w:b w:val="0"/>
          <w:i w:val="0"/>
          <w:color w:val="000000"/>
          <w:sz w:val="21"/>
        </w:rPr>
        <w:t>Gustavsson, I., Nilsson, K., Zackrisson, J., Garcia-Zubia, J., Håkansson, L., Claesson, I., &amp; Lagö, T. (2009). On objectives of instructional laboratories, individual assessment, and use of collaborative remote laboratories. IEEE Transactions on Learning Technologies, 2(4), 263–274. https://doi.org/10.1109/TLT.2009.42</w:t>
      </w:r>
    </w:p>
    <w:p>
      <w:pPr>
        <w:spacing w:after="80" w:line="240" w:lineRule="auto"/>
        <w:ind w:left="720" w:hanging="720"/>
        <w:jc w:val="left"/>
      </w:pPr>
      <w:r>
        <w:rPr>
          <w:rFonts w:ascii="Times New Roman" w:hAnsi="Times New Roman" w:eastAsia="Times New Roman"/>
          <w:b w:val="0"/>
          <w:i w:val="0"/>
          <w:color w:val="000000"/>
          <w:sz w:val="21"/>
        </w:rPr>
        <w:t>Harward, V. J., del Alamo, J. A., Lerman, S. R., Bailey, P. H., Carpenter, J., DeLong, K., Felknor, C., Hardison, J., Harrison, B., Jabbour, I., Long, P. D., Tingting, M., Naamani, L., Northridge, J., Schulz, M., Talavera, D., Varadharajan, C., Wang, S., Yehia, K., &amp; Zbib, R. (2008). The iLab Shared Architecture: A web services infrastructure to build communities of Internet accessible laboratories. Proceedings of the IEEE, 96(6), 931–950. https://doi.org/10.1109/JPROC.2008.921607</w:t>
      </w:r>
    </w:p>
    <w:p>
      <w:pPr>
        <w:spacing w:after="80" w:line="240" w:lineRule="auto"/>
        <w:ind w:left="720" w:hanging="720"/>
        <w:jc w:val="left"/>
      </w:pPr>
      <w:r>
        <w:rPr>
          <w:rFonts w:ascii="Times New Roman" w:hAnsi="Times New Roman" w:eastAsia="Times New Roman"/>
          <w:b w:val="0"/>
          <w:i w:val="0"/>
          <w:color w:val="000000"/>
          <w:sz w:val="21"/>
        </w:rPr>
        <w:t>Hattie, J., &amp; Timperley, H. (2007). The power of feedback. Review of Educational Research, 77(1), 81–112. https://doi.org/10.3102/003465430298487</w:t>
      </w:r>
    </w:p>
    <w:p>
      <w:pPr>
        <w:spacing w:after="80" w:line="240" w:lineRule="auto"/>
        <w:ind w:left="720" w:hanging="720"/>
        <w:jc w:val="left"/>
      </w:pPr>
      <w:r>
        <w:rPr>
          <w:rFonts w:ascii="Times New Roman" w:hAnsi="Times New Roman" w:eastAsia="Times New Roman"/>
          <w:b w:val="0"/>
          <w:i w:val="0"/>
          <w:color w:val="000000"/>
          <w:sz w:val="21"/>
        </w:rPr>
        <w:t>Heradio, R., de la Torre, L., Galan, D., Cabrerizo, F. J., Herrera-Viedma, E., &amp; Dormido, S. (2016). Virtual and remote labs in education: A bibliometric analysis. Computers &amp; Education, 98, 14–38. https://doi.org/10.1016/j.compedu.2016.03.010</w:t>
      </w:r>
    </w:p>
    <w:p>
      <w:pPr>
        <w:spacing w:after="80" w:line="240" w:lineRule="auto"/>
        <w:ind w:left="720" w:hanging="720"/>
        <w:jc w:val="left"/>
      </w:pPr>
      <w:r>
        <w:rPr>
          <w:rFonts w:ascii="Times New Roman" w:hAnsi="Times New Roman" w:eastAsia="Times New Roman"/>
          <w:b w:val="0"/>
          <w:i w:val="0"/>
          <w:color w:val="000000"/>
          <w:sz w:val="21"/>
        </w:rPr>
        <w:t>Herrington, J., &amp; Oliver, R. (2000). An instructional design framework for authentic learning environments. Educational Technology Research and Development, 48(3), 23–48. https://doi.org/10.1007/BF02319856</w:t>
      </w:r>
    </w:p>
    <w:p>
      <w:pPr>
        <w:spacing w:after="80" w:line="240" w:lineRule="auto"/>
        <w:ind w:left="720" w:hanging="720"/>
        <w:jc w:val="left"/>
      </w:pPr>
      <w:r>
        <w:rPr>
          <w:rFonts w:ascii="Times New Roman" w:hAnsi="Times New Roman" w:eastAsia="Times New Roman"/>
          <w:b w:val="0"/>
          <w:i w:val="0"/>
          <w:color w:val="000000"/>
          <w:sz w:val="21"/>
        </w:rPr>
        <w:t>IEEE Computer Society. (2020). IEEE standard for learning object metadata (IEEE Std 1484.12.1-2020). https://doi.org/10.1109/IEEESTD.2020.9262118</w:t>
      </w:r>
    </w:p>
    <w:p>
      <w:pPr>
        <w:spacing w:after="80" w:line="240" w:lineRule="auto"/>
        <w:ind w:left="720" w:hanging="720"/>
        <w:jc w:val="left"/>
      </w:pPr>
      <w:r>
        <w:rPr>
          <w:rFonts w:ascii="Times New Roman" w:hAnsi="Times New Roman" w:eastAsia="Times New Roman"/>
          <w:b w:val="0"/>
          <w:i w:val="0"/>
          <w:color w:val="000000"/>
          <w:sz w:val="21"/>
        </w:rPr>
        <w:t>Ifenthaler, D., &amp; Yau, J. Y.-K. (2020). Utilising learning analytics to support study success in higher education: A systematic review. Educational Technology Research and Development, 68, 1961–1990. https://doi.org/10.1007/s11423-020-09788-z</w:t>
      </w:r>
    </w:p>
    <w:p>
      <w:pPr>
        <w:spacing w:after="80" w:line="240" w:lineRule="auto"/>
        <w:ind w:left="720" w:hanging="720"/>
        <w:jc w:val="left"/>
      </w:pPr>
      <w:r>
        <w:rPr>
          <w:rFonts w:ascii="Times New Roman" w:hAnsi="Times New Roman" w:eastAsia="Times New Roman"/>
          <w:b w:val="0"/>
          <w:i w:val="0"/>
          <w:color w:val="000000"/>
          <w:sz w:val="21"/>
        </w:rPr>
        <w:t>International Organization for Standardization. (2018). Ergonomics of human-system interaction—Part 11: Usability: Definitions and concepts (ISO Standard No. 9241-11:2018).</w:t>
      </w:r>
    </w:p>
    <w:p>
      <w:pPr>
        <w:spacing w:after="80" w:line="240" w:lineRule="auto"/>
        <w:ind w:left="720" w:hanging="720"/>
        <w:jc w:val="left"/>
      </w:pPr>
      <w:r>
        <w:rPr>
          <w:rFonts w:ascii="Times New Roman" w:hAnsi="Times New Roman" w:eastAsia="Times New Roman"/>
          <w:b w:val="0"/>
          <w:i w:val="0"/>
          <w:color w:val="000000"/>
          <w:sz w:val="21"/>
        </w:rPr>
        <w:t>Islam, A. K. M. N. (2013). Investigating e-learning system usage outcomes in the university context. Computers &amp; Education, 69, 387–399. https://doi.org/10.1016/j.compedu.2013.07.037</w:t>
      </w:r>
    </w:p>
    <w:p>
      <w:pPr>
        <w:spacing w:after="80" w:line="240" w:lineRule="auto"/>
        <w:ind w:left="720" w:hanging="720"/>
        <w:jc w:val="left"/>
      </w:pPr>
      <w:r>
        <w:rPr>
          <w:rFonts w:ascii="Times New Roman" w:hAnsi="Times New Roman" w:eastAsia="Times New Roman"/>
          <w:b w:val="0"/>
          <w:i w:val="0"/>
          <w:color w:val="000000"/>
          <w:sz w:val="21"/>
        </w:rPr>
        <w:t>Kapici, H. O., Akcay, H., &amp; de Jong, T. (2019). Using hands-on and virtual laboratories alone or together—Which works better for acquiring knowledge and skills? Journal of Science Education and Technology, 28(3), 231–250. https://doi.org/10.1007/s10956-018-9762-0</w:t>
      </w:r>
    </w:p>
    <w:p>
      <w:pPr>
        <w:spacing w:after="80" w:line="240" w:lineRule="auto"/>
        <w:ind w:left="720" w:hanging="720"/>
        <w:jc w:val="left"/>
      </w:pPr>
      <w:r>
        <w:rPr>
          <w:rFonts w:ascii="Times New Roman" w:hAnsi="Times New Roman" w:eastAsia="Times New Roman"/>
          <w:b w:val="0"/>
          <w:i w:val="0"/>
          <w:color w:val="000000"/>
          <w:sz w:val="21"/>
        </w:rPr>
        <w:t>King, W. R., &amp; He, J. (2006). A meta-analysis of the Technology Acceptance Model. Information &amp; Management, 43(6), 740–755. https://doi.org/10.1016/j.im.2006.05.003</w:t>
      </w:r>
    </w:p>
    <w:p>
      <w:pPr>
        <w:spacing w:after="80" w:line="240" w:lineRule="auto"/>
        <w:ind w:left="720" w:hanging="720"/>
        <w:jc w:val="left"/>
      </w:pPr>
      <w:r>
        <w:rPr>
          <w:rFonts w:ascii="Times New Roman" w:hAnsi="Times New Roman" w:eastAsia="Times New Roman"/>
          <w:b w:val="0"/>
          <w:i w:val="0"/>
          <w:color w:val="000000"/>
          <w:sz w:val="21"/>
        </w:rPr>
        <w:t>Kitto, K., &amp; Knight, S. (2019). Practical ethics for building learning analytics. British Journal of Educational Technology, 50(6), 2855–2870. https://doi.org/10.1111/bjet.12868</w:t>
      </w:r>
    </w:p>
    <w:p>
      <w:pPr>
        <w:spacing w:after="80" w:line="240" w:lineRule="auto"/>
        <w:ind w:left="720" w:hanging="720"/>
        <w:jc w:val="left"/>
      </w:pPr>
      <w:r>
        <w:rPr>
          <w:rFonts w:ascii="Times New Roman" w:hAnsi="Times New Roman" w:eastAsia="Times New Roman"/>
          <w:b w:val="0"/>
          <w:i w:val="0"/>
          <w:color w:val="000000"/>
          <w:sz w:val="21"/>
        </w:rPr>
        <w:t>Kolb, D. A. (1984). Experiential learning: Experience as the source of learning and development. Prentice-Hall.</w:t>
      </w:r>
    </w:p>
    <w:p>
      <w:pPr>
        <w:spacing w:after="80" w:line="240" w:lineRule="auto"/>
        <w:ind w:left="720" w:hanging="720"/>
        <w:jc w:val="left"/>
      </w:pPr>
      <w:r>
        <w:rPr>
          <w:rFonts w:ascii="Times New Roman" w:hAnsi="Times New Roman" w:eastAsia="Times New Roman"/>
          <w:b w:val="0"/>
          <w:i w:val="0"/>
          <w:color w:val="000000"/>
          <w:sz w:val="21"/>
        </w:rPr>
        <w:t>Koretsky, M. D., Amatore, D., Barnes, C., &amp; Kimura, S. (2011). Student perceptions of learning in the laboratory: Comparison of industrially situated virtual laboratories to capstone physical laboratories. Journal of Engineering Education, 100(3), 540–573. https://doi.org/10.1002/j.2168-9830.2011.tb00026.x</w:t>
      </w:r>
    </w:p>
    <w:p>
      <w:pPr>
        <w:spacing w:after="80" w:line="240" w:lineRule="auto"/>
        <w:ind w:left="720" w:hanging="720"/>
        <w:jc w:val="left"/>
      </w:pPr>
      <w:r>
        <w:rPr>
          <w:rFonts w:ascii="Times New Roman" w:hAnsi="Times New Roman" w:eastAsia="Times New Roman"/>
          <w:b w:val="0"/>
          <w:i w:val="0"/>
          <w:color w:val="000000"/>
          <w:sz w:val="21"/>
        </w:rPr>
        <w:t>Kuo, Y.-C., Walker, A. E., Schroder, K. E. E., &amp; Belland, B. R. (2014). Interaction, Internet self-efficacy, and self-regulated learning as predictors of student satisfaction in online education courses. The Internet and Higher Education, 20, 35–50. https://doi.org/10.1016/j.iheduc.2013.10.001</w:t>
      </w:r>
    </w:p>
    <w:p>
      <w:pPr>
        <w:spacing w:after="80" w:line="240" w:lineRule="auto"/>
        <w:ind w:left="720" w:hanging="720"/>
        <w:jc w:val="left"/>
      </w:pPr>
      <w:r>
        <w:rPr>
          <w:rFonts w:ascii="Times New Roman" w:hAnsi="Times New Roman" w:eastAsia="Times New Roman"/>
          <w:b w:val="0"/>
          <w:i w:val="0"/>
          <w:color w:val="000000"/>
          <w:sz w:val="21"/>
        </w:rPr>
        <w:t>Lewis, J. R. (2018). The System Usability Scale: Past, present, and future. International Journal of Human–Computer Interaction, 34(7), 577–590. https://doi.org/10.1080/10447318.2018.1455307</w:t>
      </w:r>
    </w:p>
    <w:p>
      <w:pPr>
        <w:spacing w:after="80" w:line="240" w:lineRule="auto"/>
        <w:ind w:left="720" w:hanging="720"/>
        <w:jc w:val="left"/>
      </w:pPr>
      <w:r>
        <w:rPr>
          <w:rFonts w:ascii="Times New Roman" w:hAnsi="Times New Roman" w:eastAsia="Times New Roman"/>
          <w:b w:val="0"/>
          <w:i w:val="0"/>
          <w:color w:val="000000"/>
          <w:sz w:val="21"/>
        </w:rPr>
        <w:t>Li, J., &amp; Liang, W. (2024). Effectiveness of virtual laboratory in engineering education: A meta-analysis. PLOS ONE, 19(12), Article e0316269. https://doi.org/10.1371/journal.pone.0316269</w:t>
      </w:r>
    </w:p>
    <w:p>
      <w:pPr>
        <w:spacing w:after="80" w:line="240" w:lineRule="auto"/>
        <w:ind w:left="720" w:hanging="720"/>
        <w:jc w:val="left"/>
      </w:pPr>
      <w:r>
        <w:rPr>
          <w:rFonts w:ascii="Times New Roman" w:hAnsi="Times New Roman" w:eastAsia="Times New Roman"/>
          <w:b w:val="0"/>
          <w:i w:val="0"/>
          <w:color w:val="000000"/>
          <w:sz w:val="21"/>
        </w:rPr>
        <w:t>Lindsay, E. D., &amp; Good, M. C. (2005). Effects of laboratory access modes upon learning outcomes. IEEE Transactions on Education, 48(4), 619–631. https://doi.org/10.1109/TE.2005.852591</w:t>
      </w:r>
    </w:p>
    <w:p>
      <w:pPr>
        <w:spacing w:after="80" w:line="240" w:lineRule="auto"/>
        <w:ind w:left="720" w:hanging="720"/>
        <w:jc w:val="left"/>
      </w:pPr>
      <w:r>
        <w:rPr>
          <w:rFonts w:ascii="Times New Roman" w:hAnsi="Times New Roman" w:eastAsia="Times New Roman"/>
          <w:b w:val="0"/>
          <w:i w:val="0"/>
          <w:color w:val="000000"/>
          <w:sz w:val="21"/>
        </w:rPr>
        <w:t>Ma, J., &amp; Nickerson, J. V. (2006). Hands-on, simulated, and remote laboratories: A comparative literature review. ACM Computing Surveys, 38(3), Article 7. https://doi.org/10.1145/1132960.1132961</w:t>
      </w:r>
    </w:p>
    <w:p>
      <w:pPr>
        <w:spacing w:after="80" w:line="240" w:lineRule="auto"/>
        <w:ind w:left="720" w:hanging="720"/>
        <w:jc w:val="left"/>
      </w:pPr>
      <w:r>
        <w:rPr>
          <w:rFonts w:ascii="Times New Roman" w:hAnsi="Times New Roman" w:eastAsia="Times New Roman"/>
          <w:b w:val="0"/>
          <w:i w:val="0"/>
          <w:color w:val="000000"/>
          <w:sz w:val="21"/>
        </w:rPr>
        <w:t>Mangaroska, K., &amp; Giannakos, M. (2019). Learning analytics for learning design: A systematic literature review of analytics-driven design to enhance learning. IEEE Transactions on Learning Technologies, 12(4), 516–534. https://doi.org/10.1109/TLT.2018.2868673</w:t>
      </w:r>
    </w:p>
    <w:p>
      <w:pPr>
        <w:spacing w:after="80" w:line="240" w:lineRule="auto"/>
        <w:ind w:left="720" w:hanging="720"/>
        <w:jc w:val="left"/>
      </w:pPr>
      <w:r>
        <w:rPr>
          <w:rFonts w:ascii="Times New Roman" w:hAnsi="Times New Roman" w:eastAsia="Times New Roman"/>
          <w:b w:val="0"/>
          <w:i w:val="0"/>
          <w:color w:val="000000"/>
          <w:sz w:val="21"/>
        </w:rPr>
        <w:t>Martin, F., &amp; Bolliger, D. U. (2018). Engagement matters: Student perceptions on the importance of engagement strategies in the online learning environment. Online Learning, 22(1), 205–222. https://doi.org/10.24059/olj.v22i1.1092</w:t>
      </w:r>
    </w:p>
    <w:p>
      <w:pPr>
        <w:spacing w:after="80" w:line="240" w:lineRule="auto"/>
        <w:ind w:left="720" w:hanging="720"/>
        <w:jc w:val="left"/>
      </w:pPr>
      <w:r>
        <w:rPr>
          <w:rFonts w:ascii="Times New Roman" w:hAnsi="Times New Roman" w:eastAsia="Times New Roman"/>
          <w:b w:val="0"/>
          <w:i w:val="0"/>
          <w:color w:val="000000"/>
          <w:sz w:val="21"/>
        </w:rPr>
        <w:t>Martin, F., Sun, T., &amp; Westine, C. D. (2020). A systematic review of research on online teaching and learning from 2009 to 2018. Computers &amp; Education, 159, Article 104009. https://doi.org/10.1016/j.compedu.2020.104009</w:t>
      </w:r>
    </w:p>
    <w:p>
      <w:pPr>
        <w:spacing w:after="80" w:line="240" w:lineRule="auto"/>
        <w:ind w:left="720" w:hanging="720"/>
        <w:jc w:val="left"/>
      </w:pPr>
      <w:r>
        <w:rPr>
          <w:rFonts w:ascii="Times New Roman" w:hAnsi="Times New Roman" w:eastAsia="Times New Roman"/>
          <w:b w:val="0"/>
          <w:i w:val="0"/>
          <w:color w:val="000000"/>
          <w:sz w:val="21"/>
        </w:rPr>
        <w:t>Matcha, W., Gašević, D., Uzir, N. A., Jovanović, J., &amp; Pardo, A. (2020). A systematic review of empirical studies on learning analytics dashboards: A self-regulated learning perspective. IEEE Transactions on Learning Technologies, 13(1), 226–240. https://doi.org/10.1109/TLT.2019.2916802</w:t>
      </w:r>
    </w:p>
    <w:p>
      <w:pPr>
        <w:spacing w:after="80" w:line="240" w:lineRule="auto"/>
        <w:ind w:left="720" w:hanging="720"/>
        <w:jc w:val="left"/>
      </w:pPr>
      <w:r>
        <w:rPr>
          <w:rFonts w:ascii="Times New Roman" w:hAnsi="Times New Roman" w:eastAsia="Times New Roman"/>
          <w:b w:val="0"/>
          <w:i w:val="0"/>
          <w:color w:val="000000"/>
          <w:sz w:val="21"/>
        </w:rPr>
        <w:t>Means, B., Toyama, Y., Murphy, R., &amp; Baki, M. (2013). The effectiveness of online and blended learning: A meta-analysis of the empirical literature. Teachers College Record, 115(3), 1–47. https://doi.org/10.1177/016146811311500307</w:t>
      </w:r>
    </w:p>
    <w:p>
      <w:pPr>
        <w:spacing w:after="80" w:line="240" w:lineRule="auto"/>
        <w:ind w:left="720" w:hanging="720"/>
        <w:jc w:val="left"/>
      </w:pPr>
      <w:r>
        <w:rPr>
          <w:rFonts w:ascii="Times New Roman" w:hAnsi="Times New Roman" w:eastAsia="Times New Roman"/>
          <w:b w:val="0"/>
          <w:i w:val="0"/>
          <w:color w:val="000000"/>
          <w:sz w:val="21"/>
        </w:rPr>
        <w:t>National Institute of Standards and Technology. (2025). Digital identity guidelines (NIST Special Publication 800-63-4). https://doi.org/10.6028/NIST.SP.800-63-4</w:t>
      </w:r>
    </w:p>
    <w:p>
      <w:pPr>
        <w:spacing w:after="80" w:line="240" w:lineRule="auto"/>
        <w:ind w:left="720" w:hanging="720"/>
        <w:jc w:val="left"/>
      </w:pPr>
      <w:r>
        <w:rPr>
          <w:rFonts w:ascii="Times New Roman" w:hAnsi="Times New Roman" w:eastAsia="Times New Roman"/>
          <w:b w:val="0"/>
          <w:i w:val="0"/>
          <w:color w:val="000000"/>
          <w:sz w:val="21"/>
        </w:rPr>
        <w:t>Nedic, Z., Machotka, J., &amp; Nafalski, A. (2003). Remote laboratories versus virtual and real laboratories. In 33rd Annual Frontiers in Education Conference. https://doi.org/10.1109/FIE.2003.1263343</w:t>
      </w:r>
    </w:p>
    <w:p>
      <w:pPr>
        <w:spacing w:after="80" w:line="240" w:lineRule="auto"/>
        <w:ind w:left="720" w:hanging="720"/>
        <w:jc w:val="left"/>
      </w:pPr>
      <w:r>
        <w:rPr>
          <w:rFonts w:ascii="Times New Roman" w:hAnsi="Times New Roman" w:eastAsia="Times New Roman"/>
          <w:b w:val="0"/>
          <w:i w:val="0"/>
          <w:color w:val="000000"/>
          <w:sz w:val="21"/>
        </w:rPr>
        <w:t>Nicol, D. J., &amp; Macfarlane-Dick, D. (2006). Formative assessment and self-regulated learning: A model and seven principles of good feedback practice. Studies in Higher Education, 31(2), 199–218. https://doi.org/10.1080/03075070600572090</w:t>
      </w:r>
    </w:p>
    <w:p>
      <w:pPr>
        <w:spacing w:after="80" w:line="240" w:lineRule="auto"/>
        <w:ind w:left="720" w:hanging="720"/>
        <w:jc w:val="left"/>
      </w:pPr>
      <w:r>
        <w:rPr>
          <w:rFonts w:ascii="Times New Roman" w:hAnsi="Times New Roman" w:eastAsia="Times New Roman"/>
          <w:b w:val="0"/>
          <w:i w:val="0"/>
          <w:color w:val="000000"/>
          <w:sz w:val="21"/>
        </w:rPr>
        <w:t>Orduña, P., Rodriguez-Gil, L., Garcia-Zubia, J., Angulo, I., Hernandez, U., Dziabenko, O., &amp; López-de-Ipiña, D. (2018). The WebLab-Deusto remote laboratory management system architecture: Achieving scalability, interoperability, and federation of remote experimentation. In M. E. Auer, A. K. M. Azad, A. Edwards, &amp; T. de Jong (Eds.), Cyber-physical laboratories in engineering and science education (pp. 17–42). Springer. https://doi.org/10.1007/978-3-319-76935-6_2</w:t>
      </w:r>
    </w:p>
    <w:p>
      <w:pPr>
        <w:spacing w:after="80" w:line="240" w:lineRule="auto"/>
        <w:ind w:left="720" w:hanging="720"/>
        <w:jc w:val="left"/>
      </w:pPr>
      <w:r>
        <w:rPr>
          <w:rFonts w:ascii="Times New Roman" w:hAnsi="Times New Roman" w:eastAsia="Times New Roman"/>
          <w:b w:val="0"/>
          <w:i w:val="0"/>
          <w:color w:val="000000"/>
          <w:sz w:val="21"/>
        </w:rPr>
        <w:t>OWASP Foundation. (2021). OWASP Top 10: The ten most critical web application security risks. https://owasp.org/Top10/2021/</w:t>
      </w:r>
    </w:p>
    <w:p>
      <w:pPr>
        <w:spacing w:after="80" w:line="240" w:lineRule="auto"/>
        <w:ind w:left="720" w:hanging="720"/>
        <w:jc w:val="left"/>
      </w:pPr>
      <w:r>
        <w:rPr>
          <w:rFonts w:ascii="Times New Roman" w:hAnsi="Times New Roman" w:eastAsia="Times New Roman"/>
          <w:b w:val="0"/>
          <w:i w:val="0"/>
          <w:color w:val="000000"/>
          <w:sz w:val="21"/>
        </w:rPr>
        <w:t>Pardo, A., &amp; Siemens, G. (2014). Ethical and privacy principles for learning analytics. British Journal of Educational Technology, 45(3), 438–450. https://doi.org/10.1111/bjet.12152</w:t>
      </w:r>
    </w:p>
    <w:p>
      <w:pPr>
        <w:spacing w:after="80" w:line="240" w:lineRule="auto"/>
        <w:ind w:left="720" w:hanging="720"/>
        <w:jc w:val="left"/>
      </w:pPr>
      <w:r>
        <w:rPr>
          <w:rFonts w:ascii="Times New Roman" w:hAnsi="Times New Roman" w:eastAsia="Times New Roman"/>
          <w:b w:val="0"/>
          <w:i w:val="0"/>
          <w:color w:val="000000"/>
          <w:sz w:val="21"/>
        </w:rPr>
        <w:t>Passow, H. J., &amp; Passow, C. H. (2017). What competencies should undergraduate engineering programs emphasize? A systematic review. Journal of Engineering Education, 106(3), 475–526. https://doi.org/10.1002/jee.20171</w:t>
      </w:r>
    </w:p>
    <w:p>
      <w:pPr>
        <w:spacing w:after="80" w:line="240" w:lineRule="auto"/>
        <w:ind w:left="720" w:hanging="720"/>
        <w:jc w:val="left"/>
      </w:pPr>
      <w:r>
        <w:rPr>
          <w:rFonts w:ascii="Times New Roman" w:hAnsi="Times New Roman" w:eastAsia="Times New Roman"/>
          <w:b w:val="0"/>
          <w:i w:val="0"/>
          <w:color w:val="000000"/>
          <w:sz w:val="21"/>
        </w:rPr>
        <w:t>Potkonjak, V., Gardner, M., Callaghan, V., Mattila, P., Guetl, C., Petrović, V. M., &amp; Jovanović, K. (2016). Virtual laboratories for education in science, technology, and engineering: A review. Computers &amp; Education, 95, 309–327. https://doi.org/10.1016/j.compedu.2016.02.002</w:t>
      </w:r>
    </w:p>
    <w:p>
      <w:pPr>
        <w:spacing w:after="80" w:line="240" w:lineRule="auto"/>
        <w:ind w:left="720" w:hanging="720"/>
        <w:jc w:val="left"/>
      </w:pPr>
      <w:r>
        <w:rPr>
          <w:rFonts w:ascii="Times New Roman" w:hAnsi="Times New Roman" w:eastAsia="Times New Roman"/>
          <w:b w:val="0"/>
          <w:i w:val="0"/>
          <w:color w:val="000000"/>
          <w:sz w:val="21"/>
        </w:rPr>
        <w:t>Prince, M. (2004). Does active learning work? A review of the research. Journal of Engineering Education, 93(3), 223–231. https://doi.org/10.1002/j.2168-9830.2004.tb00809.x</w:t>
      </w:r>
    </w:p>
    <w:p>
      <w:pPr>
        <w:spacing w:after="80" w:line="240" w:lineRule="auto"/>
        <w:ind w:left="720" w:hanging="720"/>
        <w:jc w:val="left"/>
      </w:pPr>
      <w:r>
        <w:rPr>
          <w:rFonts w:ascii="Times New Roman" w:hAnsi="Times New Roman" w:eastAsia="Times New Roman"/>
          <w:b w:val="0"/>
          <w:i w:val="0"/>
          <w:color w:val="000000"/>
          <w:sz w:val="21"/>
        </w:rPr>
        <w:t>Prince, M. J., &amp; Felder, R. M. (2006). Inductive teaching and learning methods: Definitions, comparisons, and research bases. Journal of Engineering Education, 95(2), 123–138. https://doi.org/10.1002/j.2168-9830.2006.tb00884.x</w:t>
      </w:r>
    </w:p>
    <w:p>
      <w:pPr>
        <w:spacing w:after="80" w:line="240" w:lineRule="auto"/>
        <w:ind w:left="720" w:hanging="720"/>
        <w:jc w:val="left"/>
      </w:pPr>
      <w:r>
        <w:rPr>
          <w:rFonts w:ascii="Times New Roman" w:hAnsi="Times New Roman" w:eastAsia="Times New Roman"/>
          <w:b w:val="0"/>
          <w:i w:val="0"/>
          <w:color w:val="000000"/>
          <w:sz w:val="21"/>
        </w:rPr>
        <w:t>Reeves, S. M., &amp; Crippen, K. J. (2021). Virtual laboratories in undergraduate science and engineering courses: A systematic review, 2009–2019. Journal of Science Education and Technology, 30(1), 16–30. https://doi.org/10.1007/s10956-020-09866-0</w:t>
      </w:r>
    </w:p>
    <w:p>
      <w:pPr>
        <w:spacing w:after="80" w:line="240" w:lineRule="auto"/>
        <w:ind w:left="720" w:hanging="720"/>
        <w:jc w:val="left"/>
      </w:pPr>
      <w:r>
        <w:rPr>
          <w:rFonts w:ascii="Times New Roman" w:hAnsi="Times New Roman" w:eastAsia="Times New Roman"/>
          <w:b w:val="0"/>
          <w:i w:val="0"/>
          <w:color w:val="000000"/>
          <w:sz w:val="21"/>
        </w:rPr>
        <w:t>Ruano, I., Cano, P., Gámez, J., &amp; Gómez, J. (2016a). Advanced LMS integration of SCORM web laboratories. IEEE Access, 4, 6352–6363. https://doi.org/10.1109/ACCESS.2016.2587805</w:t>
      </w:r>
    </w:p>
    <w:p>
      <w:pPr>
        <w:spacing w:after="80" w:line="240" w:lineRule="auto"/>
        <w:ind w:left="720" w:hanging="720"/>
        <w:jc w:val="left"/>
      </w:pPr>
      <w:r>
        <w:rPr>
          <w:rFonts w:ascii="Times New Roman" w:hAnsi="Times New Roman" w:eastAsia="Times New Roman"/>
          <w:b w:val="0"/>
          <w:i w:val="0"/>
          <w:color w:val="000000"/>
          <w:sz w:val="21"/>
        </w:rPr>
        <w:t>Ruano, I., Gámez, J., Dormido, S., &amp; Gómez, J. (2016b). A methodology to obtain learning effective laboratories with learning management system integration. IEEE Transactions on Learning Technologies, 9(4), 391–399. https://doi.org/10.1109/TLT.2016.2594771</w:t>
      </w:r>
    </w:p>
    <w:p>
      <w:pPr>
        <w:spacing w:after="80" w:line="240" w:lineRule="auto"/>
        <w:ind w:left="720" w:hanging="720"/>
        <w:jc w:val="left"/>
      </w:pPr>
      <w:r>
        <w:rPr>
          <w:rFonts w:ascii="Times New Roman" w:hAnsi="Times New Roman" w:eastAsia="Times New Roman"/>
          <w:b w:val="0"/>
          <w:i w:val="0"/>
          <w:color w:val="000000"/>
          <w:sz w:val="21"/>
        </w:rPr>
        <w:t>Ruano, I., Estévez, E., Gámez, J., &amp; Gómez, J. (2023). Standards for the integration of online laboratories with learning management systems: A systematic review. IEEE Access, 11, 125267–125290. https://doi.org/10.1109/ACCESS.2023.3330666</w:t>
      </w:r>
    </w:p>
    <w:p>
      <w:pPr>
        <w:spacing w:after="80" w:line="240" w:lineRule="auto"/>
        <w:ind w:left="720" w:hanging="720"/>
        <w:jc w:val="left"/>
      </w:pPr>
      <w:r>
        <w:rPr>
          <w:rFonts w:ascii="Times New Roman" w:hAnsi="Times New Roman" w:eastAsia="Times New Roman"/>
          <w:b w:val="0"/>
          <w:i w:val="0"/>
          <w:color w:val="000000"/>
          <w:sz w:val="21"/>
        </w:rPr>
        <w:t>Sadler, D. R. (1989). Formative assessment and the design of instructional systems. Instructional Science, 18, 119–144. https://doi.org/10.1007/BF00117714</w:t>
      </w:r>
    </w:p>
    <w:p>
      <w:pPr>
        <w:spacing w:after="80" w:line="240" w:lineRule="auto"/>
        <w:ind w:left="720" w:hanging="720"/>
        <w:jc w:val="left"/>
      </w:pPr>
      <w:r>
        <w:rPr>
          <w:rFonts w:ascii="Times New Roman" w:hAnsi="Times New Roman" w:eastAsia="Times New Roman"/>
          <w:b w:val="0"/>
          <w:i w:val="0"/>
          <w:color w:val="000000"/>
          <w:sz w:val="21"/>
        </w:rPr>
        <w:t>Saltzer, J. H., &amp; Schroeder, M. D. (1975). The protection of information in computer systems. Proceedings of the IEEE, 63(9), 1278–1308. https://doi.org/10.1109/PROC.1975.9939</w:t>
      </w:r>
    </w:p>
    <w:p>
      <w:pPr>
        <w:spacing w:after="80" w:line="240" w:lineRule="auto"/>
        <w:ind w:left="720" w:hanging="720"/>
        <w:jc w:val="left"/>
      </w:pPr>
      <w:r>
        <w:rPr>
          <w:rFonts w:ascii="Times New Roman" w:hAnsi="Times New Roman" w:eastAsia="Times New Roman"/>
          <w:b w:val="0"/>
          <w:i w:val="0"/>
          <w:color w:val="000000"/>
          <w:sz w:val="21"/>
        </w:rPr>
        <w:t>Sancristobal, E., Castro, M., Harward, J., Bailey, P., DeLong, K., &amp; Hardison, J. (2010). Integration view of web labs and learning management systems. In IEEE EDUCON 2010 Conference. https://doi.org/10.1109/EDUCON.2010.5492363</w:t>
      </w:r>
    </w:p>
    <w:p>
      <w:pPr>
        <w:spacing w:after="80" w:line="240" w:lineRule="auto"/>
        <w:ind w:left="720" w:hanging="720"/>
        <w:jc w:val="left"/>
      </w:pPr>
      <w:r>
        <w:rPr>
          <w:rFonts w:ascii="Times New Roman" w:hAnsi="Times New Roman" w:eastAsia="Times New Roman"/>
          <w:b w:val="0"/>
          <w:i w:val="0"/>
          <w:color w:val="000000"/>
          <w:sz w:val="21"/>
        </w:rPr>
        <w:t>Sandhu, R. S., Coyne, E. J., Feinstein, H. L., &amp; Youman, C. E. (1996). Role-based access control models. Computer, 29(2), 38–47. https://doi.org/10.1109/2.485845</w:t>
      </w:r>
    </w:p>
    <w:p>
      <w:pPr>
        <w:spacing w:after="80" w:line="240" w:lineRule="auto"/>
        <w:ind w:left="720" w:hanging="720"/>
        <w:jc w:val="left"/>
      </w:pPr>
      <w:r>
        <w:rPr>
          <w:rFonts w:ascii="Times New Roman" w:hAnsi="Times New Roman" w:eastAsia="Times New Roman"/>
          <w:b w:val="0"/>
          <w:i w:val="0"/>
          <w:color w:val="000000"/>
          <w:sz w:val="21"/>
        </w:rPr>
        <w:t>Schwendimann, B. A., Rodriguez-Triana, M. J., Vozniuk, A., Prieto, L. P., Boroujeni, M. S., Holzer, A., Gillet, D., &amp; Dillenbourg, P. (2017). Perceiving learning at a glance: A systematic literature review of learning dashboard research. IEEE Transactions on Learning Technologies, 10(1), 30–41. https://doi.org/10.1109/TLT.2016.2599522</w:t>
      </w:r>
    </w:p>
    <w:p>
      <w:pPr>
        <w:spacing w:after="80" w:line="240" w:lineRule="auto"/>
        <w:ind w:left="720" w:hanging="720"/>
        <w:jc w:val="left"/>
      </w:pPr>
      <w:r>
        <w:rPr>
          <w:rFonts w:ascii="Times New Roman" w:hAnsi="Times New Roman" w:eastAsia="Times New Roman"/>
          <w:b w:val="0"/>
          <w:i w:val="0"/>
          <w:color w:val="000000"/>
          <w:sz w:val="21"/>
        </w:rPr>
        <w:t>Shute, V. J. (2008). Focus on formative feedback. Review of Educational Research, 78(1), 153–189. https://doi.org/10.3102/0034654307313795</w:t>
      </w:r>
    </w:p>
    <w:p>
      <w:pPr>
        <w:spacing w:after="80" w:line="240" w:lineRule="auto"/>
        <w:ind w:left="720" w:hanging="720"/>
        <w:jc w:val="left"/>
      </w:pPr>
      <w:r>
        <w:rPr>
          <w:rFonts w:ascii="Times New Roman" w:hAnsi="Times New Roman" w:eastAsia="Times New Roman"/>
          <w:b w:val="0"/>
          <w:i w:val="0"/>
          <w:color w:val="000000"/>
          <w:sz w:val="21"/>
        </w:rPr>
        <w:t>Siemens, G., &amp; Long, P. (2011). Penetrating the fog: Analytics in learning and education. EDUCAUSE Review, 46(5), 30–40.</w:t>
      </w:r>
    </w:p>
    <w:p>
      <w:pPr>
        <w:spacing w:after="80" w:line="240" w:lineRule="auto"/>
        <w:ind w:left="720" w:hanging="720"/>
        <w:jc w:val="left"/>
      </w:pPr>
      <w:r>
        <w:rPr>
          <w:rFonts w:ascii="Times New Roman" w:hAnsi="Times New Roman" w:eastAsia="Times New Roman"/>
          <w:b w:val="0"/>
          <w:i w:val="0"/>
          <w:color w:val="000000"/>
          <w:sz w:val="21"/>
        </w:rPr>
        <w:t>Slade, S., &amp; Prinsloo, P. (2013). Learning analytics: Ethical issues and dilemmas. American Behavioral Scientist, 57(10), 1510–1529. https://doi.org/10.1177/0002764213479366</w:t>
      </w:r>
    </w:p>
    <w:p>
      <w:pPr>
        <w:spacing w:after="80" w:line="240" w:lineRule="auto"/>
        <w:ind w:left="720" w:hanging="720"/>
        <w:jc w:val="left"/>
      </w:pPr>
      <w:r>
        <w:rPr>
          <w:rFonts w:ascii="Times New Roman" w:hAnsi="Times New Roman" w:eastAsia="Times New Roman"/>
          <w:b w:val="0"/>
          <w:i w:val="0"/>
          <w:color w:val="000000"/>
          <w:sz w:val="21"/>
        </w:rPr>
        <w:t>Souppaya, M., Scarfone, K., &amp; Dodson, D. (2022). Secure Software Development Framework (SSDF) version 1.1: Recommendations for mitigating the risk of software vulnerabilities (NIST Special Publication 800-218). https://doi.org/10.6028/NIST.SP.800-218</w:t>
      </w:r>
    </w:p>
    <w:p>
      <w:pPr>
        <w:spacing w:after="80" w:line="240" w:lineRule="auto"/>
        <w:ind w:left="720" w:hanging="720"/>
        <w:jc w:val="left"/>
      </w:pPr>
      <w:r>
        <w:rPr>
          <w:rFonts w:ascii="Times New Roman" w:hAnsi="Times New Roman" w:eastAsia="Times New Roman"/>
          <w:b w:val="0"/>
          <w:i w:val="0"/>
          <w:color w:val="000000"/>
          <w:sz w:val="21"/>
        </w:rPr>
        <w:t>Sun, P.-C., Tsai, R. J., Finger, G., Chen, Y.-Y., &amp; Yeh, D. (2008). What drives a successful e-learning? An empirical investigation of the critical factors influencing learner satisfaction. Computers &amp; Education, 50(4), 1183–1202. https://doi.org/10.1016/j.compedu.2006.11.007</w:t>
      </w:r>
    </w:p>
    <w:p>
      <w:pPr>
        <w:spacing w:after="80" w:line="240" w:lineRule="auto"/>
        <w:ind w:left="720" w:hanging="720"/>
        <w:jc w:val="left"/>
      </w:pPr>
      <w:r>
        <w:rPr>
          <w:rFonts w:ascii="Times New Roman" w:hAnsi="Times New Roman" w:eastAsia="Times New Roman"/>
          <w:b w:val="0"/>
          <w:i w:val="0"/>
          <w:color w:val="000000"/>
          <w:sz w:val="21"/>
        </w:rPr>
        <w:t>Tawfik, M., Sancristobal, E., Martin, S., Gil, R., Losada, P., Diaz, G., Peire, J., Castro, M., Nilsson, K., Zackrisson, J., Håkansson, L., &amp; Gustavsson, I. (2013). Virtual Instrument Systems in Reality (VISIR) for remote wiring and measurement of electronic circuits on breadboard. IEEE Transactions on Learning Technologies, 6(1), 60–72. https://doi.org/10.1109/TLT.2012.20</w:t>
      </w:r>
    </w:p>
    <w:p>
      <w:pPr>
        <w:spacing w:after="80" w:line="240" w:lineRule="auto"/>
        <w:ind w:left="720" w:hanging="720"/>
        <w:jc w:val="left"/>
      </w:pPr>
      <w:r>
        <w:rPr>
          <w:rFonts w:ascii="Times New Roman" w:hAnsi="Times New Roman" w:eastAsia="Times New Roman"/>
          <w:b w:val="0"/>
          <w:i w:val="0"/>
          <w:color w:val="000000"/>
          <w:sz w:val="21"/>
        </w:rPr>
        <w:t>Venkatesh, V., &amp; Davis, F. D. (2000). A theoretical extension of the Technology Acceptance Model: Four longitudinal field studies. Management Science, 46(2), 186–204. https://doi.org/10.1287/mnsc.46.2.186.11926</w:t>
      </w:r>
    </w:p>
    <w:p>
      <w:pPr>
        <w:spacing w:after="80" w:line="240" w:lineRule="auto"/>
        <w:ind w:left="720" w:hanging="720"/>
        <w:jc w:val="left"/>
      </w:pPr>
      <w:r>
        <w:rPr>
          <w:rFonts w:ascii="Times New Roman" w:hAnsi="Times New Roman" w:eastAsia="Times New Roman"/>
          <w:b w:val="0"/>
          <w:i w:val="0"/>
          <w:color w:val="000000"/>
          <w:sz w:val="21"/>
        </w:rPr>
        <w:t>Venkatesh, V., Morris, M. G., Davis, G. B., &amp; Davis, F. D. (2003). User acceptance of information technology: Toward a unified view. MIS Quarterly, 27(3), 425–478. https://doi.org/10.2307/30036540</w:t>
      </w:r>
    </w:p>
    <w:p>
      <w:pPr>
        <w:spacing w:after="80" w:line="240" w:lineRule="auto"/>
        <w:ind w:left="720" w:hanging="720"/>
        <w:jc w:val="left"/>
      </w:pPr>
      <w:r>
        <w:rPr>
          <w:rFonts w:ascii="Times New Roman" w:hAnsi="Times New Roman" w:eastAsia="Times New Roman"/>
          <w:b w:val="0"/>
          <w:i w:val="0"/>
          <w:color w:val="000000"/>
          <w:sz w:val="21"/>
        </w:rPr>
        <w:t>Verbert, K., Duval, E., Klerkx, J., Govaerts, S., &amp; Santos, J. L. (2013). Learning analytics dashboard applications. American Behavioral Scientist, 57(10), 1500–1509. https://doi.org/10.1177/0002764213479363</w:t>
      </w:r>
    </w:p>
    <w:p>
      <w:pPr>
        <w:spacing w:after="80" w:line="240" w:lineRule="auto"/>
        <w:ind w:left="720" w:hanging="720"/>
        <w:jc w:val="left"/>
      </w:pPr>
      <w:r>
        <w:rPr>
          <w:rFonts w:ascii="Times New Roman" w:hAnsi="Times New Roman" w:eastAsia="Times New Roman"/>
          <w:b w:val="0"/>
          <w:i w:val="0"/>
          <w:color w:val="000000"/>
          <w:sz w:val="21"/>
        </w:rPr>
        <w:t>Viberg, O., Hatakka, M., Bälter, O., &amp; Mavroudi, A. (2018). The current landscape of learning analytics in higher education. Computers in Human Behavior, 89, 98–110. https://doi.org/10.1016/j.chb.2018.07.027</w:t>
      </w:r>
    </w:p>
    <w:p>
      <w:pPr>
        <w:spacing w:after="80" w:line="240" w:lineRule="auto"/>
        <w:ind w:left="720" w:hanging="720"/>
        <w:jc w:val="left"/>
      </w:pPr>
      <w:r>
        <w:rPr>
          <w:rFonts w:ascii="Times New Roman" w:hAnsi="Times New Roman" w:eastAsia="Times New Roman"/>
          <w:b w:val="0"/>
          <w:i w:val="0"/>
          <w:color w:val="000000"/>
          <w:sz w:val="21"/>
        </w:rPr>
        <w:t>Wieman, C. E., Adams, W. K., &amp; Perkins, K. K. (2008). PhET: Simulations that enhance learning. Science, 322(5902), 682–683. https://doi.org/10.1126/science.1161948</w:t>
      </w:r>
    </w:p>
    <w:p>
      <w:pPr>
        <w:spacing w:after="80" w:line="240" w:lineRule="auto"/>
        <w:ind w:left="720" w:hanging="720"/>
        <w:jc w:val="left"/>
      </w:pPr>
      <w:r>
        <w:rPr>
          <w:rFonts w:ascii="Times New Roman" w:hAnsi="Times New Roman" w:eastAsia="Times New Roman"/>
          <w:b w:val="0"/>
          <w:i w:val="0"/>
          <w:color w:val="000000"/>
          <w:sz w:val="21"/>
        </w:rPr>
        <w:t>Winstone, N. E., Nash, R. A., Parker, M., &amp; Rowntree, J. (2017). Supporting learners' agentic engagement with feedback: A systematic review and a taxonomy of recipience processes. Educational Psychologist, 52(1), 17–37. https://doi.org/10.1080/00461520.2016.1207538</w:t>
      </w:r>
    </w:p>
    <w:p>
      <w:pPr>
        <w:spacing w:after="80" w:line="240" w:lineRule="auto"/>
        <w:ind w:left="720" w:hanging="720"/>
        <w:jc w:val="left"/>
      </w:pPr>
      <w:r>
        <w:rPr>
          <w:rFonts w:ascii="Times New Roman" w:hAnsi="Times New Roman" w:eastAsia="Times New Roman"/>
          <w:b w:val="0"/>
          <w:i w:val="0"/>
          <w:color w:val="000000"/>
          <w:sz w:val="21"/>
        </w:rPr>
        <w:t>World Wide Web Consortium. (2024). Web Content Accessibility Guidelines (WCAG) 2.2. https://www.w3.org/TR/WCAG22/</w:t>
      </w:r>
    </w:p>
    <w:sectPr w:rsidR="00FC693F" w:rsidRPr="0006063C" w:rsidSect="00034616">
      <w:headerReference w:type="default" r:id="rId9"/>
      <w:footerReference w:type="default" r:id="rId10"/>
      <w:pgSz w:w="12240" w:h="15840"/>
      <w:pgMar w:top="1440" w:right="1440" w:bottom="151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after="120"/>
      <w:jc w:val="center"/>
    </w:pPr>
    <w:rPr>
      <w:rFonts w:ascii="Times New Roman" w:hAnsi="Times New Roman"/>
      <w:b/>
      <w:color w:val="000000"/>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 One and Two: Web-Based Platform for Managing Automotive Practical Education</dc:title>
  <dc:subject>Approved Chapter One merged with comprehensive Chapter Two literature review</dc:subject>
  <dc:creator>Bless Kofi Atisu</dc:creator>
  <cp:keywords>virtual laboratory, automotive education, practical assessment, Accra Technical University</cp:keywords>
  <dc:description>generated by python-docx</dc:description>
  <cp:lastModifiedBy/>
  <cp:revision>1</cp:revision>
  <dcterms:created xsi:type="dcterms:W3CDTF">2013-12-23T23:15:00Z</dcterms:created>
  <dcterms:modified xsi:type="dcterms:W3CDTF">2026-08-18T18:55:05Z</dcterms:modified>
  <cp:category/>
</cp:coreProperties>
</file>