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7A4" w:rsidRDefault="00163197">
      <w:pPr>
        <w:spacing w:before="1800"/>
        <w:jc w:val="center"/>
      </w:pPr>
      <w:r>
        <w:rPr>
          <w:b/>
          <w:sz w:val="40"/>
        </w:rPr>
        <w:t>SERIES-PARALLEL HYBRID</w:t>
      </w:r>
      <w:r>
        <w:rPr>
          <w:b/>
          <w:sz w:val="40"/>
        </w:rPr>
        <w:br/>
        <w:t>VIRTUAL-PLATFORM PROGRAMMER HANDOVER</w:t>
      </w:r>
    </w:p>
    <w:p w:rsidR="00DB27A4" w:rsidRDefault="00163197">
      <w:pPr>
        <w:spacing w:before="480"/>
        <w:jc w:val="center"/>
      </w:pPr>
      <w:r>
        <w:rPr>
          <w:b/>
          <w:sz w:val="28"/>
        </w:rPr>
        <w:t>Codex Build Instructions, Integration Contract and Visual-Output Specification</w:t>
      </w:r>
    </w:p>
    <w:p w:rsidR="00DB27A4" w:rsidRDefault="00163197">
      <w:pPr>
        <w:spacing w:before="1600"/>
        <w:jc w:val="center"/>
      </w:pPr>
      <w:r>
        <w:t>Based on the approved all-in-one Simulink model</w:t>
      </w:r>
      <w:r>
        <w:br/>
        <w:t>Series_Parallel_Hybrid_All_In_One_Fixed.slx</w:t>
      </w:r>
    </w:p>
    <w:p w:rsidR="00DB27A4" w:rsidRDefault="00163197">
      <w:pPr>
        <w:spacing w:before="2000"/>
        <w:jc w:val="center"/>
      </w:pPr>
      <w:r>
        <w:t xml:space="preserve">Prepared for </w:t>
      </w:r>
      <w:r>
        <w:t>virtual-platform implementation</w:t>
      </w:r>
      <w:r>
        <w:br/>
        <w:t>October 2026</w:t>
      </w:r>
    </w:p>
    <w:p w:rsidR="00DB27A4" w:rsidRDefault="00163197">
      <w:r>
        <w:br w:type="page"/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lastRenderedPageBreak/>
        <w:t>1. Purpose of This Handover</w:t>
      </w:r>
    </w:p>
    <w:p w:rsidR="00DB27A4" w:rsidRDefault="00163197">
      <w:pPr>
        <w:spacing w:after="120"/>
        <w:jc w:val="both"/>
      </w:pPr>
      <w:r>
        <w:t xml:space="preserve">This handover converts the approved Simulink concept into a clear software-development brief. The main file, AGENTS.md, is written specifically for OpenAI Codex. It tells Codex how </w:t>
      </w:r>
      <w:r>
        <w:t>to inspect the existing virtual-platform repository, port the deterministic state-machine and plant logic, integrate the converted code, build the user interface, verify numerical equivalence and produce visual proof of the finished module.</w:t>
      </w:r>
    </w:p>
    <w:p w:rsidR="00DB27A4" w:rsidRDefault="00163197">
      <w:pPr>
        <w:spacing w:after="120"/>
        <w:jc w:val="both"/>
      </w:pPr>
      <w:r>
        <w:t>The second purp</w:t>
      </w:r>
      <w:r>
        <w:t>ose is to help the human programmer understand what Codex is expected to build and how the result should be judged. The programmer should not accept a visually attractive dashboard unless its numerical logic matches the approved model.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2. Files Supplied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160"/>
        <w:gridCol w:w="4752"/>
      </w:tblGrid>
      <w:tr w:rsidR="00DB27A4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9"/>
              </w:rPr>
              <w:t>Fi</w:t>
            </w:r>
            <w:r>
              <w:rPr>
                <w:b/>
                <w:sz w:val="19"/>
              </w:rPr>
              <w:t>le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9"/>
              </w:rPr>
              <w:t>Primary user</w:t>
            </w:r>
          </w:p>
        </w:tc>
        <w:tc>
          <w:tcPr>
            <w:tcW w:w="4752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9"/>
              </w:rPr>
              <w:t>Purpose</w:t>
            </w:r>
          </w:p>
        </w:tc>
      </w:tr>
      <w:tr w:rsidR="00DB27A4">
        <w:trPr>
          <w:jc w:val="center"/>
        </w:trPr>
        <w:tc>
          <w:tcPr>
            <w:tcW w:w="316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9"/>
              </w:rPr>
              <w:t>AGENTS.md</w:t>
            </w:r>
          </w:p>
        </w:tc>
        <w:tc>
          <w:tcPr>
            <w:tcW w:w="21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9"/>
              </w:rPr>
              <w:t>Codex and programmer</w:t>
            </w:r>
          </w:p>
        </w:tc>
        <w:tc>
          <w:tcPr>
            <w:tcW w:w="475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9"/>
              </w:rPr>
              <w:t>Repository-root instruction file containing the complete conversion, integration, testing and visual-output specification.</w:t>
            </w:r>
          </w:p>
        </w:tc>
      </w:tr>
      <w:tr w:rsidR="00DB27A4">
        <w:trPr>
          <w:jc w:val="center"/>
        </w:trPr>
        <w:tc>
          <w:tcPr>
            <w:tcW w:w="316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9"/>
              </w:rPr>
              <w:t>Programmer handover guide (this document)</w:t>
            </w:r>
          </w:p>
        </w:tc>
        <w:tc>
          <w:tcPr>
            <w:tcW w:w="21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9"/>
              </w:rPr>
              <w:t>Programmer, supervisor and project</w:t>
            </w:r>
            <w:r>
              <w:rPr>
                <w:sz w:val="19"/>
              </w:rPr>
              <w:t xml:space="preserve"> team</w:t>
            </w:r>
          </w:p>
        </w:tc>
        <w:tc>
          <w:tcPr>
            <w:tcW w:w="475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9"/>
              </w:rPr>
              <w:t>Explains how to use the Codex file, the expected architecture, interface, animation, outputs and acceptance process.</w:t>
            </w:r>
          </w:p>
        </w:tc>
      </w:tr>
    </w:tbl>
    <w:p w:rsidR="00DB27A4" w:rsidRDefault="00DB27A4">
      <w:pPr>
        <w:spacing w:after="20"/>
      </w:pPr>
    </w:p>
    <w:p w:rsidR="00DB27A4" w:rsidRDefault="00163197">
      <w:pPr>
        <w:spacing w:after="120"/>
        <w:jc w:val="both"/>
      </w:pPr>
      <w:r>
        <w:t>The existing Simulink model and operating guide remain reference inputs. They are not duplicated inside this handover because the a</w:t>
      </w:r>
      <w:r>
        <w:t>im is to avoid unnecessary files.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3. Why the Main File Is Named AGENTS.md</w:t>
      </w:r>
    </w:p>
    <w:p w:rsidR="00DB27A4" w:rsidRDefault="00163197">
      <w:pPr>
        <w:spacing w:after="120"/>
        <w:jc w:val="both"/>
      </w:pPr>
      <w:r>
        <w:t>Codex reads an AGENTS.md file from the project hierarchy before it begins work. Placing the supplied file in the root of the virtual-platform repository makes the engineering require</w:t>
      </w:r>
      <w:r>
        <w:t>ments persistent across Codex sessions. This is more reliable than pasting a long prompt repeatedly.</w:t>
      </w:r>
    </w:p>
    <w:p w:rsidR="00DB27A4" w:rsidRDefault="00163197">
      <w:r>
        <w:rPr>
          <w:b/>
        </w:rPr>
        <w:t xml:space="preserve">Official Codex guidance: </w:t>
      </w:r>
      <w:hyperlink r:id="rId8">
        <w:r>
          <w:rPr>
            <w:color w:val="0563C1"/>
            <w:sz w:val="22"/>
            <w:u w:val="single"/>
          </w:rPr>
          <w:t>Custom instructions with AGENTS.md</w:t>
        </w:r>
      </w:hyperlink>
    </w:p>
    <w:p w:rsidR="00DB27A4" w:rsidRDefault="00163197">
      <w:pPr>
        <w:spacing w:after="120"/>
        <w:jc w:val="both"/>
      </w:pPr>
      <w:r>
        <w:t>The supplied AG</w:t>
      </w:r>
      <w:r>
        <w:t>ENTS.md is kept below the normal 32 KiB project-instruction limit. When the repository already contains large global or parent instructions and Codex reports truncation, increase project_doc_max_bytes in the Codex configuration or explicitly ask Codex to r</w:t>
      </w:r>
      <w:r>
        <w:t>ead the file before implementation.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lastRenderedPageBreak/>
        <w:t>4. How to Use the Two Files</w:t>
      </w:r>
    </w:p>
    <w:p w:rsidR="00DB27A4" w:rsidRDefault="00163197">
      <w:pPr>
        <w:pStyle w:val="ListNumber"/>
        <w:spacing w:after="40" w:line="312" w:lineRule="auto"/>
      </w:pPr>
      <w:r>
        <w:t>Create or open the repository that contains the existing virtual platform.</w:t>
      </w:r>
    </w:p>
    <w:p w:rsidR="00DB27A4" w:rsidRDefault="00163197">
      <w:pPr>
        <w:pStyle w:val="ListNumber"/>
        <w:spacing w:after="40" w:line="312" w:lineRule="auto"/>
      </w:pPr>
      <w:r>
        <w:t>Place AGENTS.md in the repository root. Replace any older project-level file only after merging useful existing instr</w:t>
      </w:r>
      <w:r>
        <w:t>uctions.</w:t>
      </w:r>
    </w:p>
    <w:p w:rsidR="00DB27A4" w:rsidRDefault="00163197">
      <w:pPr>
        <w:pStyle w:val="ListNumber"/>
        <w:spacing w:after="40" w:line="312" w:lineRule="auto"/>
      </w:pPr>
      <w:r>
        <w:t>Create a reference folder and place the existing Simulink model and operating guide there, using the exact filenames stated in AGENTS.md.</w:t>
      </w:r>
    </w:p>
    <w:p w:rsidR="00DB27A4" w:rsidRDefault="00163197">
      <w:pPr>
        <w:pStyle w:val="ListNumber"/>
        <w:spacing w:after="40" w:line="312" w:lineRule="auto"/>
      </w:pPr>
      <w:r>
        <w:t xml:space="preserve">Generate a ChatGPT shared-conversation link and replace </w:t>
      </w:r>
      <w:r>
        <w:t>PASTE_SHARED_CHAT_LINK_HERE in AGENTS.md</w:t>
      </w:r>
      <w:r>
        <w:t>. The link is</w:t>
      </w:r>
      <w:r>
        <w:t xml:space="preserve"> optional context; the local sources remain authoritative.</w:t>
      </w:r>
    </w:p>
    <w:p w:rsidR="00DB27A4" w:rsidRDefault="00163197">
      <w:pPr>
        <w:pStyle w:val="ListNumber"/>
        <w:spacing w:after="40" w:line="312" w:lineRule="auto"/>
      </w:pPr>
      <w:r>
        <w:t>S</w:t>
      </w:r>
      <w:r>
        <w:t>tart a new Codex session from the repository root and ask it to summarize the instructions and propose an implementation plan before changing code.</w:t>
      </w:r>
    </w:p>
    <w:p w:rsidR="00DB27A4" w:rsidRDefault="00163197">
      <w:pPr>
        <w:pStyle w:val="ListNumber"/>
        <w:spacing w:after="40" w:line="312" w:lineRule="auto"/>
      </w:pPr>
      <w:r>
        <w:t>Allow Codex to inspect the repository, then revi</w:t>
      </w:r>
      <w:r>
        <w:t>ew its chosen integration point and stack. It should reuse the platform framework rather than create a separate application.</w:t>
      </w:r>
    </w:p>
    <w:p w:rsidR="00DB27A4" w:rsidRDefault="00163197">
      <w:pPr>
        <w:pStyle w:val="ListNumber"/>
        <w:spacing w:after="40" w:line="312" w:lineRule="auto"/>
      </w:pPr>
      <w:r>
        <w:t>Require Codex to run the repository’s build, lint, type-check and test commands and to provide the visual evidence specified in the</w:t>
      </w:r>
      <w:r>
        <w:t xml:space="preserve"> instruction file.</w:t>
      </w:r>
    </w:p>
    <w:p w:rsidR="00DB27A4" w:rsidRDefault="00163197">
      <w:pPr>
        <w:shd w:val="clear" w:color="auto" w:fill="F2F2F2"/>
        <w:spacing w:before="60" w:after="100" w:line="240" w:lineRule="auto"/>
        <w:ind w:left="360" w:right="360"/>
      </w:pPr>
      <w:r>
        <w:rPr>
          <w:rFonts w:ascii="Consolas" w:eastAsia="Consolas" w:hAnsi="Consolas"/>
          <w:sz w:val="18"/>
        </w:rPr>
        <w:t>Suggested first Codex request:</w:t>
      </w:r>
      <w:r>
        <w:br/>
      </w:r>
      <w:r>
        <w:br/>
      </w:r>
      <w:r>
        <w:rPr>
          <w:rFonts w:ascii="Consolas" w:eastAsia="Consolas" w:hAnsi="Consolas"/>
          <w:sz w:val="18"/>
        </w:rPr>
        <w:t xml:space="preserve">Read AGENTS.md and the files under reference/. Inspect the repository without changing code. Then report: (1) the current technology stack, (2) the best integration point, (3) the proposed simulation-core </w:t>
      </w:r>
      <w:r>
        <w:rPr>
          <w:rFonts w:ascii="Consolas" w:eastAsia="Consolas" w:hAnsi="Consolas"/>
          <w:sz w:val="18"/>
        </w:rPr>
        <w:t>language, (4) the UI route/component location, (5) the test strategy, and (6) any conflict between the repository and the specification.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5. Chat-Link Placeholder</w:t>
      </w:r>
    </w:p>
    <w:p w:rsidR="00DB27A4" w:rsidRDefault="00163197">
      <w:pPr>
        <w:spacing w:after="120"/>
        <w:jc w:val="both"/>
      </w:pPr>
      <w:r>
        <w:t>Only the user can create a stable shared link to this conversation. The AGENTS.md file therefo</w:t>
      </w:r>
      <w:r>
        <w:t>re contains the placeholder below:</w:t>
      </w:r>
    </w:p>
    <w:p w:rsidR="00DB27A4" w:rsidRDefault="00163197">
      <w:pPr>
        <w:shd w:val="clear" w:color="auto" w:fill="F2F2F2"/>
        <w:spacing w:before="60" w:after="100" w:line="240" w:lineRule="auto"/>
        <w:ind w:left="360" w:right="360"/>
      </w:pPr>
      <w:r>
        <w:rPr>
          <w:rFonts w:ascii="Consolas" w:eastAsia="Consolas" w:hAnsi="Consolas"/>
          <w:sz w:val="18"/>
        </w:rPr>
        <w:t xml:space="preserve">CHAT_CONTEXT_URL = </w:t>
      </w:r>
      <w:hyperlink r:id="rId9" w:history="1">
        <w:r w:rsidR="00503130" w:rsidRPr="006C11F6">
          <w:rPr>
            <w:rStyle w:val="Hyperlink"/>
            <w:rFonts w:ascii="Consolas" w:eastAsia="Consolas" w:hAnsi="Consolas"/>
            <w:sz w:val="18"/>
          </w:rPr>
          <w:t>https://chatgpt.com/share/6ade3ade-ff30-83e8-b621-146139a5f84b</w:t>
        </w:r>
      </w:hyperlink>
      <w:r w:rsidR="00503130">
        <w:rPr>
          <w:rFonts w:ascii="Consolas" w:eastAsia="Consolas" w:hAnsi="Consolas"/>
          <w:sz w:val="18"/>
        </w:rPr>
        <w:t xml:space="preserve"> </w:t>
      </w:r>
    </w:p>
    <w:p w:rsidR="00DB27A4" w:rsidRDefault="00163197">
      <w:pPr>
        <w:spacing w:after="120"/>
        <w:jc w:val="both"/>
      </w:pPr>
      <w:r>
        <w:t>Open the conversation in ChatGPT, use the Share function, copy the generated link and replace the placeholder. Codex must continue from the local model specification when t</w:t>
      </w:r>
      <w:r>
        <w:t>he shared link is unavailable, so the project is not dependent on an external conversation.</w:t>
      </w:r>
      <w:bookmarkStart w:id="0" w:name="_GoBack"/>
      <w:bookmarkEnd w:id="0"/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lastRenderedPageBreak/>
        <w:t>6. Recommended Software Architecture</w:t>
      </w:r>
    </w:p>
    <w:p w:rsidR="00DB27A4" w:rsidRDefault="00163197">
      <w:pPr>
        <w:jc w:val="center"/>
      </w:pPr>
      <w:r>
        <w:rPr>
          <w:noProof/>
        </w:rPr>
        <w:drawing>
          <wp:inline distT="0" distB="0" distL="0" distR="0">
            <wp:extent cx="5943600" cy="30478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A4" w:rsidRDefault="00163197">
      <w:pPr>
        <w:jc w:val="center"/>
      </w:pPr>
      <w:r>
        <w:rPr>
          <w:b/>
          <w:sz w:val="20"/>
        </w:rPr>
        <w:t>Figure 1. Recommended platform architecture</w:t>
      </w:r>
    </w:p>
    <w:p w:rsidR="00DB27A4" w:rsidRDefault="00163197">
      <w:pPr>
        <w:spacing w:after="120"/>
        <w:jc w:val="both"/>
      </w:pPr>
      <w:r>
        <w:t>The numerical core must remain independent from the interface. This separation al</w:t>
      </w:r>
      <w:r>
        <w:t>lows the same logic to run in a browser worker, server process or future external service without rewriting the equations. The platform adapter handles repository-specific APIs and state management, while the interface focuses on user controls, animation a</w:t>
      </w:r>
      <w:r>
        <w:t>nd presentation.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7. What the Converted Logic Must Preserve</w:t>
      </w:r>
    </w:p>
    <w:p w:rsidR="00DB27A4" w:rsidRDefault="00163197">
      <w:pPr>
        <w:pStyle w:val="ListBullet"/>
        <w:spacing w:after="40" w:line="312" w:lineRule="auto"/>
      </w:pPr>
      <w:r>
        <w:t>All six operational states: electric-only, series, mechanical-drive, combined-drive, engine-charging and regenerative operation, together with ready and limited states.</w:t>
      </w:r>
    </w:p>
    <w:p w:rsidR="00DB27A4" w:rsidRDefault="00163197">
      <w:pPr>
        <w:pStyle w:val="ListBullet"/>
        <w:spacing w:after="40" w:line="312" w:lineRule="auto"/>
      </w:pPr>
      <w:r>
        <w:t>Mode and reason codes, minim</w:t>
      </w:r>
      <w:r>
        <w:t>um dwell time, transition timer and immediate braking priority.</w:t>
      </w:r>
    </w:p>
    <w:p w:rsidR="00DB27A4" w:rsidRDefault="00163197">
      <w:pPr>
        <w:pStyle w:val="ListBullet"/>
        <w:spacing w:after="40" w:line="312" w:lineRule="auto"/>
      </w:pPr>
      <w:r>
        <w:t>The exact battery-power sign convention: positive is discharge and negative is charging.</w:t>
      </w:r>
    </w:p>
    <w:p w:rsidR="00DB27A4" w:rsidRDefault="00163197">
      <w:pPr>
        <w:pStyle w:val="ListBullet"/>
        <w:spacing w:after="40" w:line="312" w:lineRule="auto"/>
      </w:pPr>
      <w:r>
        <w:t>The approved road-load, driver, component-power, fuel, SOC, loss and vehicle-motion relationships.</w:t>
      </w:r>
    </w:p>
    <w:p w:rsidR="00DB27A4" w:rsidRDefault="00163197">
      <w:pPr>
        <w:pStyle w:val="ListBullet"/>
        <w:spacing w:after="40" w:line="312" w:lineRule="auto"/>
      </w:pPr>
      <w:r>
        <w:t xml:space="preserve">The </w:t>
      </w:r>
      <w:r>
        <w:t>four built-in scenarios and the intentional low-SOC verification stimulus in Scenario 1.</w:t>
      </w:r>
    </w:p>
    <w:p w:rsidR="00DB27A4" w:rsidRDefault="00163197">
      <w:pPr>
        <w:pStyle w:val="ListBullet"/>
        <w:spacing w:after="40" w:line="312" w:lineRule="auto"/>
      </w:pPr>
      <w:r>
        <w:t>The six Scope-equivalent data groups and visible legends.</w:t>
      </w:r>
    </w:p>
    <w:p w:rsidR="00DB27A4" w:rsidRDefault="00163197">
      <w:pPr>
        <w:pStyle w:val="ListBullet"/>
        <w:spacing w:after="40" w:line="312" w:lineRule="auto"/>
      </w:pPr>
      <w:r>
        <w:t>Unmet-power reporting instead of silently forcing the demanded result.</w:t>
      </w:r>
    </w:p>
    <w:p w:rsidR="00DB27A4" w:rsidRDefault="00163197">
      <w:pPr>
        <w:pStyle w:val="ListBullet"/>
        <w:spacing w:after="40" w:line="312" w:lineRule="auto"/>
      </w:pPr>
      <w:r>
        <w:t>Deterministic results for the same inp</w:t>
      </w:r>
      <w:r>
        <w:t>uts and time step.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lastRenderedPageBreak/>
        <w:t>8. Main Input Contract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456"/>
        <w:gridCol w:w="1440"/>
        <w:gridCol w:w="3456"/>
      </w:tblGrid>
      <w:tr w:rsidR="00DB27A4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7"/>
              </w:rPr>
              <w:t>Group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7"/>
              </w:rPr>
              <w:t>Default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7"/>
              </w:rPr>
              <w:t>Unit / range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User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Scenario code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1 to 4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User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Initial SOC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0.60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0.30 to 0.80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User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Demand scale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1.00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recommended 0.50 to 1.50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User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Road grade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percent; recommended -10 to +10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User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 xml:space="preserve">Manual </w:t>
            </w:r>
            <w:r>
              <w:rPr>
                <w:sz w:val="17"/>
              </w:rPr>
              <w:t>wheel power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25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kW; -80 to +120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Vehicle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Mass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1500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kg; minimum 500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Vehicle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Drag coefficient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0.29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dimensionless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Vehicle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Frontal area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2.20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m²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Vehicle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Rolling resistance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0.012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dimensionless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Vehicle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Wheel radius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0.31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m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Powertrain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Battery capacity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2.0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kWh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Powertrain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Engine maximum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75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kW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Powertrain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MG1 maximum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55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kW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Powertrain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MG2 maximum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60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kW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Powertrain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Low-SOC threshold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0.45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fraction</w:t>
            </w:r>
          </w:p>
        </w:tc>
      </w:tr>
      <w:tr w:rsidR="00DB27A4">
        <w:trPr>
          <w:jc w:val="center"/>
        </w:trPr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Powertrain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High-SOC threshold</w:t>
            </w:r>
          </w:p>
        </w:tc>
        <w:tc>
          <w:tcPr>
            <w:tcW w:w="144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0.65</w:t>
            </w:r>
          </w:p>
        </w:tc>
        <w:tc>
          <w:tcPr>
            <w:tcW w:w="3456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fraction</w:t>
            </w:r>
          </w:p>
        </w:tc>
      </w:tr>
    </w:tbl>
    <w:p w:rsidR="00DB27A4" w:rsidRDefault="00DB27A4">
      <w:pPr>
        <w:spacing w:after="20"/>
      </w:pP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9. Main Output Contract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04"/>
      </w:tblGrid>
      <w:tr w:rsidR="00DB27A4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8"/>
              </w:rPr>
              <w:t>Output group</w:t>
            </w:r>
          </w:p>
        </w:tc>
        <w:tc>
          <w:tcPr>
            <w:tcW w:w="7704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8"/>
              </w:rPr>
              <w:t>Required values</w:t>
            </w:r>
          </w:p>
        </w:tc>
      </w:tr>
      <w:tr w:rsidR="00DB27A4">
        <w:trPr>
          <w:jc w:val="center"/>
        </w:trPr>
        <w:tc>
          <w:tcPr>
            <w:tcW w:w="208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Motion</w:t>
            </w:r>
          </w:p>
        </w:tc>
        <w:tc>
          <w:tcPr>
            <w:tcW w:w="770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Time, target</w:t>
            </w:r>
            <w:r>
              <w:rPr>
                <w:sz w:val="18"/>
              </w:rPr>
              <w:t xml:space="preserve"> speed, actual speed, distance and speed error.</w:t>
            </w:r>
          </w:p>
        </w:tc>
      </w:tr>
      <w:tr w:rsidR="00DB27A4">
        <w:trPr>
          <w:jc w:val="center"/>
        </w:trPr>
        <w:tc>
          <w:tcPr>
            <w:tcW w:w="208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Wheel demand</w:t>
            </w:r>
          </w:p>
        </w:tc>
        <w:tc>
          <w:tcPr>
            <w:tcW w:w="770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Requested, delivered and unmet wheel power.</w:t>
            </w:r>
          </w:p>
        </w:tc>
      </w:tr>
      <w:tr w:rsidR="00DB27A4">
        <w:trPr>
          <w:jc w:val="center"/>
        </w:trPr>
        <w:tc>
          <w:tcPr>
            <w:tcW w:w="208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Components</w:t>
            </w:r>
          </w:p>
        </w:tc>
        <w:tc>
          <w:tcPr>
            <w:tcW w:w="770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Engine shaft, MG1 DC, MG2 mechanical, battery and wheel power.</w:t>
            </w:r>
          </w:p>
        </w:tc>
      </w:tr>
      <w:tr w:rsidR="00DB27A4">
        <w:trPr>
          <w:jc w:val="center"/>
        </w:trPr>
        <w:tc>
          <w:tcPr>
            <w:tcW w:w="208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Control</w:t>
            </w:r>
          </w:p>
        </w:tc>
        <w:tc>
          <w:tcPr>
            <w:tcW w:w="770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 xml:space="preserve">Mode code and label, reason code and label, transition status and </w:t>
            </w:r>
            <w:r>
              <w:rPr>
                <w:sz w:val="18"/>
              </w:rPr>
              <w:t>clutch command.</w:t>
            </w:r>
          </w:p>
        </w:tc>
      </w:tr>
      <w:tr w:rsidR="00DB27A4">
        <w:trPr>
          <w:jc w:val="center"/>
        </w:trPr>
        <w:tc>
          <w:tcPr>
            <w:tcW w:w="208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Energy</w:t>
            </w:r>
          </w:p>
        </w:tc>
        <w:tc>
          <w:tcPr>
            <w:tcW w:w="770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SOC, fuel rate, fuel used and recovered energy.</w:t>
            </w:r>
          </w:p>
        </w:tc>
      </w:tr>
      <w:tr w:rsidR="00DB27A4">
        <w:trPr>
          <w:jc w:val="center"/>
        </w:trPr>
        <w:tc>
          <w:tcPr>
            <w:tcW w:w="208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Losses</w:t>
            </w:r>
          </w:p>
        </w:tc>
        <w:tc>
          <w:tcPr>
            <w:tcW w:w="770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Path efficiency, mechanical loss, electrical loss and overall efficiency.</w:t>
            </w:r>
          </w:p>
        </w:tc>
      </w:tr>
      <w:tr w:rsidR="00DB27A4">
        <w:trPr>
          <w:jc w:val="center"/>
        </w:trPr>
        <w:tc>
          <w:tcPr>
            <w:tcW w:w="208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Summary</w:t>
            </w:r>
          </w:p>
        </w:tc>
        <w:tc>
          <w:tcPr>
            <w:tcW w:w="770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Mode distribution, transitions, final SOC, total fuel, total regeneration, tracking metrics a</w:t>
            </w:r>
            <w:r>
              <w:rPr>
                <w:sz w:val="18"/>
              </w:rPr>
              <w:t>nd configuration metadata.</w:t>
            </w:r>
          </w:p>
        </w:tc>
      </w:tr>
    </w:tbl>
    <w:p w:rsidR="00DB27A4" w:rsidRDefault="00DB27A4">
      <w:pPr>
        <w:spacing w:after="20"/>
      </w:pP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lastRenderedPageBreak/>
        <w:t>10. User-Interface Expectation</w:t>
      </w:r>
    </w:p>
    <w:p w:rsidR="00DB27A4" w:rsidRDefault="00163197">
      <w:pPr>
        <w:jc w:val="center"/>
      </w:pPr>
      <w:r>
        <w:rPr>
          <w:noProof/>
        </w:rPr>
        <w:drawing>
          <wp:inline distT="0" distB="0" distL="0" distR="0">
            <wp:extent cx="5486400" cy="32725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A4" w:rsidRDefault="00163197">
      <w:pPr>
        <w:jc w:val="center"/>
      </w:pPr>
      <w:r>
        <w:rPr>
          <w:b/>
          <w:sz w:val="20"/>
        </w:rPr>
        <w:t>Figure 2. Recommended dashboard arrangement</w:t>
      </w:r>
    </w:p>
    <w:p w:rsidR="00DB27A4" w:rsidRDefault="00163197">
      <w:pPr>
        <w:spacing w:after="120"/>
        <w:jc w:val="both"/>
      </w:pPr>
      <w:r>
        <w:t xml:space="preserve">The interface should open as one understandable workspace. The user should not need to navigate through internal code to change parameters or </w:t>
      </w:r>
      <w:r>
        <w:t>understand results. Advanced parameters may be placed inside collapsible sections, but scenario, SOC, demand, grade and run controls should remain obvious.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11. Animated Car and Power-Flow Recommendation</w:t>
      </w:r>
    </w:p>
    <w:p w:rsidR="00DB27A4" w:rsidRDefault="00163197">
      <w:pPr>
        <w:spacing w:after="120"/>
        <w:jc w:val="both"/>
      </w:pPr>
      <w:r>
        <w:t xml:space="preserve">A graphical result is recommended and is included as </w:t>
      </w:r>
      <w:r>
        <w:t>a requirement in AGENTS.md because the academic contribution is transparent operating-mode control. The most useful visual is not a decorative 3D car. It is a data-driven 2D SVG vehicle or drivetrain diagram that explains where power is moving at each mome</w:t>
      </w:r>
      <w:r>
        <w:t>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DB27A4">
        <w:trPr>
          <w:tblHeader/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7"/>
              </w:rPr>
              <w:t>Visual element</w:t>
            </w:r>
          </w:p>
        </w:tc>
        <w:tc>
          <w:tcPr>
            <w:tcW w:w="7560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7"/>
              </w:rPr>
              <w:t>Required behaviour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Vehicle wheels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Rotate in proportion to actual vehicle speed.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Road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Tilts according to selected road gradient.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Engine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Shows active/inactive state and current shaft power.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Battery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Shows SOC and distinguishes discharge</w:t>
            </w:r>
            <w:r>
              <w:rPr>
                <w:sz w:val="17"/>
              </w:rPr>
              <w:t xml:space="preserve"> from charge.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MG1 and MG2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Show generating or motoring direction and power.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Clutch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Clearly opens or locks according to the control command.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Power arrows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Animate in the correct direction and vary in intensity with power magnitude.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Braking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Shows regenerat</w:t>
            </w:r>
            <w:r>
              <w:rPr>
                <w:sz w:val="17"/>
              </w:rPr>
              <w:t>ive flow from wheels to battery and a braking indication.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lastRenderedPageBreak/>
              <w:t>Mode explanation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7"/>
              </w:rPr>
              <w:t>Displays readable mode and reason text, not only numeric codes.</w:t>
            </w:r>
          </w:p>
        </w:tc>
      </w:tr>
    </w:tbl>
    <w:p w:rsidR="00DB27A4" w:rsidRDefault="00DB27A4">
      <w:pPr>
        <w:spacing w:after="20"/>
      </w:pPr>
    </w:p>
    <w:p w:rsidR="00DB27A4" w:rsidRDefault="00163197">
      <w:pPr>
        <w:spacing w:after="120"/>
        <w:jc w:val="both"/>
      </w:pPr>
      <w:r>
        <w:t xml:space="preserve">A full 3D vehicle is optional. It should be considered only when the existing platform already uses a suitable 3D </w:t>
      </w:r>
      <w:r>
        <w:t>library and the added work will not delay numerical verification. The baseline requirement is a clear, responsive 2D SVG animation driven by real simulation outputs.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12. Required Charts and Legends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DB27A4">
        <w:trPr>
          <w:tblHeader/>
          <w:jc w:val="center"/>
        </w:trPr>
        <w:tc>
          <w:tcPr>
            <w:tcW w:w="2232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8"/>
              </w:rPr>
              <w:t>Chart</w:t>
            </w:r>
          </w:p>
        </w:tc>
        <w:tc>
          <w:tcPr>
            <w:tcW w:w="7560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8"/>
              </w:rPr>
              <w:t>Legend traces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Vehicle Speed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 xml:space="preserve">Target Speed (km/h); </w:t>
            </w:r>
            <w:r>
              <w:rPr>
                <w:sz w:val="18"/>
              </w:rPr>
              <w:t>Actual Speed (km/h).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Wheel Power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Requested Wheel Power (kW); Delivered Wheel Power (kW); Unmet Power (kW).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Component Power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Engine Shaft; MG1 DC; MG2 Mechanical; Battery +discharge/-charge; Wheel Power, all in kW.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Control State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Mode Code; Reason Code; Tr</w:t>
            </w:r>
            <w:r>
              <w:rPr>
                <w:sz w:val="18"/>
              </w:rPr>
              <w:t>ansition Active; Clutch Command.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Battery and Fuel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SOC (%); Fuel Rate (g/s); Fuel Used (L); Recovered Energy (kWh).</w:t>
            </w:r>
          </w:p>
        </w:tc>
      </w:tr>
      <w:tr w:rsidR="00DB27A4">
        <w:trPr>
          <w:jc w:val="center"/>
        </w:trPr>
        <w:tc>
          <w:tcPr>
            <w:tcW w:w="2232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Efficiency and Loss</w:t>
            </w:r>
          </w:p>
        </w:tc>
        <w:tc>
          <w:tcPr>
            <w:tcW w:w="7560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Path Efficiency (%); Mechanical Loss (kW); Electrical Loss (kW); Overall Energy Efficiency (%).</w:t>
            </w:r>
          </w:p>
        </w:tc>
      </w:tr>
    </w:tbl>
    <w:p w:rsidR="00DB27A4" w:rsidRDefault="00DB27A4">
      <w:pPr>
        <w:spacing w:after="20"/>
      </w:pPr>
    </w:p>
    <w:p w:rsidR="00DB27A4" w:rsidRDefault="00163197">
      <w:pPr>
        <w:spacing w:after="120"/>
        <w:jc w:val="both"/>
      </w:pPr>
      <w:r>
        <w:t>Every chart must show</w:t>
      </w:r>
      <w:r>
        <w:t xml:space="preserve"> its legend and units. When traces use incompatible units, the programmer should use separated panels or carefully labelled secondary axes rather than forcing all signals onto one unreadable scale.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13. Verification Standard</w:t>
      </w:r>
    </w:p>
    <w:p w:rsidR="00DB27A4" w:rsidRDefault="00163197">
      <w:pPr>
        <w:spacing w:after="120"/>
        <w:jc w:val="both"/>
      </w:pPr>
      <w:r>
        <w:t>The software port must be tested</w:t>
      </w:r>
      <w:r>
        <w:t xml:space="preserve"> against the approved model rather than judged by appearance. AGENTS.md contains formula checks and a golden mode sequence. The most important baseline acceptance values are summarized below.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048"/>
      </w:tblGrid>
      <w:tr w:rsidR="00DB27A4">
        <w:trPr>
          <w:tblHeader/>
          <w:jc w:val="center"/>
        </w:trPr>
        <w:tc>
          <w:tcPr>
            <w:tcW w:w="3744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6048" w:type="dxa"/>
            <w:shd w:val="clear" w:color="auto" w:fill="D9EAF7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b/>
                <w:sz w:val="18"/>
              </w:rPr>
              <w:t>Expected baseline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Time step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0.1 s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Run duration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30 s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Level-road rolling resistance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approximately 176.58 N with default mass and Crr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+5% grade force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approximately 734.83 N with default mass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Scenario 1 modes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Ready, electric-only, series, combined-drive, mechanical-drive, regenerative and engine-charging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Approximate final speed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69.60 km/h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Approximate final SOC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0.60279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Approximate fuel used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0.07706 L</w:t>
            </w:r>
          </w:p>
        </w:tc>
      </w:tr>
      <w:tr w:rsidR="00DB27A4">
        <w:trPr>
          <w:jc w:val="center"/>
        </w:trPr>
        <w:tc>
          <w:tcPr>
            <w:tcW w:w="3744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Approximate recovered energy</w:t>
            </w:r>
          </w:p>
        </w:tc>
        <w:tc>
          <w:tcPr>
            <w:tcW w:w="6048" w:type="dxa"/>
            <w:vAlign w:val="center"/>
          </w:tcPr>
          <w:p w:rsidR="00DB27A4" w:rsidRDefault="00163197">
            <w:pPr>
              <w:spacing w:line="240" w:lineRule="auto"/>
            </w:pPr>
            <w:r>
              <w:rPr>
                <w:sz w:val="18"/>
              </w:rPr>
              <w:t>0.08269 kWh</w:t>
            </w:r>
          </w:p>
        </w:tc>
      </w:tr>
    </w:tbl>
    <w:p w:rsidR="00DB27A4" w:rsidRDefault="00DB27A4">
      <w:pPr>
        <w:spacing w:after="20"/>
      </w:pPr>
    </w:p>
    <w:p w:rsidR="00DB27A4" w:rsidRDefault="00163197">
      <w:pPr>
        <w:spacing w:after="120"/>
        <w:jc w:val="both"/>
      </w:pPr>
      <w:r>
        <w:t xml:space="preserve">Small floating-point differences are acceptable. Changes of several simulation steps in the mode sequence or </w:t>
      </w:r>
      <w:r>
        <w:t>material differences in final energy values require investigation. Tests must not be weakened merely to make an incorrect port pass.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lastRenderedPageBreak/>
        <w:t>14. Suitable Final Visual Output Demanded from Codex</w:t>
      </w:r>
    </w:p>
    <w:p w:rsidR="00DB27A4" w:rsidRDefault="00163197">
      <w:pPr>
        <w:spacing w:after="120"/>
        <w:jc w:val="both"/>
      </w:pPr>
      <w:r>
        <w:t>The programming task must not end with source code alone. Codex is ins</w:t>
      </w:r>
      <w:r>
        <w:t>tructed to produce visual evidence showing that the module has been integrated and that the animation and charts are connected to real model data.</w:t>
      </w:r>
    </w:p>
    <w:p w:rsidR="00DB27A4" w:rsidRDefault="00163197">
      <w:pPr>
        <w:pStyle w:val="ListBullet"/>
        <w:spacing w:after="40" w:line="312" w:lineRule="auto"/>
      </w:pPr>
      <w:r>
        <w:t>A desktop dashboard screenshot during mechanical-drive or combined-drive operation.</w:t>
      </w:r>
    </w:p>
    <w:p w:rsidR="00DB27A4" w:rsidRDefault="00163197">
      <w:pPr>
        <w:pStyle w:val="ListBullet"/>
        <w:spacing w:after="40" w:line="312" w:lineRule="auto"/>
      </w:pPr>
      <w:r>
        <w:t>A regenerative-braking sc</w:t>
      </w:r>
      <w:r>
        <w:t>reenshot showing reverse energy flow to the battery.</w:t>
      </w:r>
    </w:p>
    <w:p w:rsidR="00DB27A4" w:rsidRDefault="00163197">
      <w:pPr>
        <w:pStyle w:val="ListBullet"/>
        <w:spacing w:after="40" w:line="312" w:lineRule="auto"/>
      </w:pPr>
      <w:r>
        <w:t>A results-screen screenshot with chart legends visible.</w:t>
      </w:r>
    </w:p>
    <w:p w:rsidR="00DB27A4" w:rsidRDefault="00163197">
      <w:pPr>
        <w:pStyle w:val="ListBullet"/>
        <w:spacing w:after="40" w:line="312" w:lineRule="auto"/>
      </w:pPr>
      <w:r>
        <w:t>A narrow or mobile screenshot proving responsive layout.</w:t>
      </w:r>
    </w:p>
    <w:p w:rsidR="00DB27A4" w:rsidRDefault="00163197">
      <w:pPr>
        <w:pStyle w:val="ListBullet"/>
        <w:spacing w:after="40" w:line="312" w:lineRule="auto"/>
      </w:pPr>
      <w:r>
        <w:t>A short GIF, MP4 or equivalent interactive preview showing at least three operating modes.</w:t>
      </w:r>
      <w:r>
        <w:t xml:space="preserve"> When recording is impossible, provide the working preview route and reproducible capture instructions.</w:t>
      </w:r>
    </w:p>
    <w:p w:rsidR="00DB27A4" w:rsidRDefault="00163197">
      <w:pPr>
        <w:spacing w:after="120"/>
        <w:jc w:val="both"/>
      </w:pPr>
      <w:r>
        <w:t>The visual proof should be stored in project documentation or attached to the Codex task result. Values must come from the simulation and must not be ma</w:t>
      </w:r>
      <w:r>
        <w:t>nually fabricated for screenshots.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15. Programmer Review Checklist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Codex reused the existing platform stack and did not create an unrelated second application.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The numerical core is independent from UI components.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Inputs, units, ranges and sign conve</w:t>
      </w:r>
      <w:r>
        <w:t>ntions match the model.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All operating modes, codes, transition rules and component limits are present.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Golden numerical and mode-sequence tests pass.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The animation is driven by live outputs.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All six chart groups show visible legends and units.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Scenario 1 is clearly labelled as a verification run.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Unmet power and limit conditions are visible.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CSV and JSON export work.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Responsive and accessibility checks pass.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Build, lint, type-check and tests pass.</w:t>
      </w:r>
    </w:p>
    <w:p w:rsidR="00DB27A4" w:rsidRDefault="00163197">
      <w:pPr>
        <w:spacing w:after="40" w:line="300" w:lineRule="auto"/>
      </w:pPr>
      <w:r>
        <w:rPr>
          <w:rFonts w:ascii="DejaVu Sans" w:hAnsi="DejaVu Sans"/>
        </w:rPr>
        <w:t xml:space="preserve">☐ </w:t>
      </w:r>
      <w:r>
        <w:t>Codex supplied screenshots or an inter</w:t>
      </w:r>
      <w:r>
        <w:t>active preview and documented remaining limitations.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lastRenderedPageBreak/>
        <w:t>16. Final Scope Boundary</w:t>
      </w:r>
    </w:p>
    <w:p w:rsidR="00DB27A4" w:rsidRDefault="00163197">
      <w:pPr>
        <w:spacing w:after="120"/>
        <w:jc w:val="both"/>
      </w:pPr>
      <w:r>
        <w:t>The platform module may provide a polished interface and animated explanation, but the underlying engineering model remains control-oriented and manufacturer-neutral. It does not</w:t>
      </w:r>
      <w:r>
        <w:t xml:space="preserve"> include detailed combustion, semiconductor switching, battery ageing, thermal networks, clutch hydraulics, wheel-slip control or real-vehicle safety functions. These boundaries must remain visible in the interface documentation.</w:t>
      </w:r>
    </w:p>
    <w:p w:rsidR="00DB27A4" w:rsidRDefault="00163197">
      <w:pPr>
        <w:spacing w:after="120"/>
        <w:jc w:val="both"/>
      </w:pPr>
      <w:r>
        <w:t xml:space="preserve">The resulting software is </w:t>
      </w:r>
      <w:r>
        <w:t>an educational and research demonstration of supervisory selection, transition, power allocation, SOC movement and energy-path losses. Any future use on physical hardware would require a separate design, validation, safety and testing programme.</w:t>
      </w:r>
    </w:p>
    <w:p w:rsidR="00DB27A4" w:rsidRDefault="00163197">
      <w:pPr>
        <w:pStyle w:val="Heading1"/>
      </w:pPr>
      <w:r>
        <w:rPr>
          <w:rFonts w:ascii="Times New Roman" w:eastAsia="Times New Roman" w:hAnsi="Times New Roman"/>
        </w:rPr>
        <w:t>17. Expect</w:t>
      </w:r>
      <w:r>
        <w:rPr>
          <w:rFonts w:ascii="Times New Roman" w:eastAsia="Times New Roman" w:hAnsi="Times New Roman"/>
        </w:rPr>
        <w:t>ed Programmer Outcome</w:t>
      </w:r>
    </w:p>
    <w:p w:rsidR="00DB27A4" w:rsidRDefault="00163197">
      <w:pPr>
        <w:spacing w:after="120"/>
        <w:jc w:val="both"/>
      </w:pPr>
      <w:r>
        <w:t xml:space="preserve">After following this handover, the programmer should receive an integrated virtual-platform module rather than an isolated calculation script. A user will be able to choose a scenario, change parameters, run the hybrid model, watch </w:t>
      </w:r>
      <w:r>
        <w:t>the car and power paths respond, identify the selected mode and reason, inspect all scientific outputs, compare losses and export a reproducible result.</w:t>
      </w:r>
    </w:p>
    <w:sectPr w:rsidR="00DB27A4" w:rsidSect="00034616"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197" w:rsidRDefault="00163197">
      <w:pPr>
        <w:spacing w:after="0" w:line="240" w:lineRule="auto"/>
      </w:pPr>
      <w:r>
        <w:separator/>
      </w:r>
    </w:p>
  </w:endnote>
  <w:endnote w:type="continuationSeparator" w:id="0">
    <w:p w:rsidR="00163197" w:rsidRDefault="00163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7A4" w:rsidRDefault="00163197">
    <w:pPr>
      <w:pStyle w:val="Footer"/>
      <w:jc w:val="center"/>
    </w:pPr>
    <w:r>
      <w:fldChar w:fldCharType="begin"/>
    </w:r>
    <w:r>
      <w:instrText xml:space="preserve"> PAGE </w:instrText>
    </w:r>
    <w:r w:rsidR="00503130">
      <w:fldChar w:fldCharType="separate"/>
    </w:r>
    <w:r w:rsidR="00503130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197" w:rsidRDefault="00163197">
      <w:pPr>
        <w:spacing w:after="0" w:line="240" w:lineRule="auto"/>
      </w:pPr>
      <w:r>
        <w:separator/>
      </w:r>
    </w:p>
  </w:footnote>
  <w:footnote w:type="continuationSeparator" w:id="0">
    <w:p w:rsidR="00163197" w:rsidRDefault="00163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3197"/>
    <w:rsid w:val="0029639D"/>
    <w:rsid w:val="00326F90"/>
    <w:rsid w:val="00503130"/>
    <w:rsid w:val="00AA1D8D"/>
    <w:rsid w:val="00B47730"/>
    <w:rsid w:val="00CB0664"/>
    <w:rsid w:val="00DB2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16E9B"/>
  <w14:defaultImageDpi w14:val="300"/>
  <w15:docId w15:val="{424BAE0E-F623-4C04-BC75-2ECD00BF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031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chatgpt.com/docs/agent-configuration/agents-m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hatgpt.com/share/6ade3ade-ff30-83e8-b621-146139a5f84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AE913B-2ADD-41EC-8BB9-863841EC0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1944</Words>
  <Characters>11083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Series-Parallel Hybrid Virtual-Platform Programmer Handover</dc:title>
  <dc:subject>Codex build instructions and programmer guide</dc:subject>
  <dc:creator>Project Team</dc:creator>
  <cp:keywords>series-parallel hybrid, state machine, Codex, virtual platform, Simulink</cp:keywords>
  <dc:description>generated by python-docx</dc:description>
  <cp:lastModifiedBy>THE PLUG</cp:lastModifiedBy>
  <cp:revision>2</cp:revision>
  <dcterms:created xsi:type="dcterms:W3CDTF">2013-12-23T23:15:00Z</dcterms:created>
  <dcterms:modified xsi:type="dcterms:W3CDTF">2026-10-25T17:25:00Z</dcterms:modified>
  <cp:category/>
</cp:coreProperties>
</file>