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C192A" w14:textId="4734C73F" w:rsidR="00BD0F1D" w:rsidRPr="00BD3041" w:rsidRDefault="00EC31DE" w:rsidP="0044651F">
      <w:pPr>
        <w:pStyle w:val="Heading1"/>
        <w:numPr>
          <w:ilvl w:val="0"/>
          <w:numId w:val="1"/>
        </w:numPr>
        <w:spacing w:before="0" w:line="360" w:lineRule="auto"/>
        <w:ind w:left="0" w:firstLine="0"/>
        <w:jc w:val="both"/>
        <w:rPr>
          <w:rFonts w:ascii="Calibri" w:hAnsi="Calibri" w:cs="Calibri"/>
          <w:b/>
          <w:bCs/>
          <w:color w:val="auto"/>
          <w:sz w:val="22"/>
          <w:szCs w:val="22"/>
        </w:rPr>
      </w:pPr>
      <w:r w:rsidRPr="00256C4D">
        <w:rPr>
          <w:rFonts w:ascii="Calibri" w:hAnsi="Calibri" w:cs="Calibri"/>
          <w:b/>
          <w:bCs/>
          <w:color w:val="auto"/>
          <w:sz w:val="22"/>
          <w:szCs w:val="22"/>
        </w:rPr>
        <w:t>RECOMMENDATIONS FOR TARGETED RETENTION STRATEGIES</w:t>
      </w:r>
      <w:r w:rsidRPr="00256C4D">
        <w:rPr>
          <w:rFonts w:ascii="Calibri" w:hAnsi="Calibri" w:cs="Calibri"/>
          <w:sz w:val="22"/>
          <w:szCs w:val="22"/>
        </w:rPr>
        <w:t xml:space="preserve">. </w:t>
      </w:r>
    </w:p>
    <w:p w14:paraId="5DB9FF98" w14:textId="77777777" w:rsidR="00094C0A" w:rsidRPr="00256C4D" w:rsidRDefault="00094C0A" w:rsidP="0044651F">
      <w:pPr>
        <w:pStyle w:val="Heading2"/>
        <w:numPr>
          <w:ilvl w:val="1"/>
          <w:numId w:val="1"/>
        </w:numPr>
        <w:spacing w:before="0" w:line="360" w:lineRule="auto"/>
        <w:ind w:left="0" w:firstLine="0"/>
        <w:jc w:val="both"/>
        <w:rPr>
          <w:rFonts w:ascii="Calibri" w:hAnsi="Calibri" w:cs="Calibri"/>
          <w:b/>
          <w:bCs/>
          <w:color w:val="auto"/>
          <w:sz w:val="22"/>
          <w:szCs w:val="22"/>
        </w:rPr>
      </w:pPr>
      <w:r w:rsidRPr="00256C4D">
        <w:rPr>
          <w:rFonts w:ascii="Calibri" w:hAnsi="Calibri" w:cs="Calibri"/>
          <w:b/>
          <w:bCs/>
          <w:color w:val="auto"/>
          <w:sz w:val="22"/>
          <w:szCs w:val="22"/>
        </w:rPr>
        <w:t>Implement Predictive Churn Monitoring</w:t>
      </w:r>
    </w:p>
    <w:p w14:paraId="438F4F99" w14:textId="386A4E2D" w:rsidR="00094C0A" w:rsidRPr="00256C4D" w:rsidRDefault="00094C0A" w:rsidP="0044651F">
      <w:pPr>
        <w:spacing w:after="0" w:line="360" w:lineRule="auto"/>
        <w:jc w:val="both"/>
        <w:rPr>
          <w:rFonts w:ascii="Calibri" w:hAnsi="Calibri" w:cs="Calibri"/>
        </w:rPr>
      </w:pPr>
      <w:r w:rsidRPr="00256C4D">
        <w:rPr>
          <w:rFonts w:ascii="Calibri" w:hAnsi="Calibri" w:cs="Calibri"/>
        </w:rPr>
        <w:t>The ANN model should be deployed as a recurring churn risk scoring process rather than a one-off analytical exercise. Each scoring cycle should generate a churn probability for every active customer and classify customers into risk categories based on the defined operating threshold. Because the threshold was optimised during model development to improve churn detection, the business should adopt this tuned threshold as the starting point for operational use, while retaining the flexibility to adjust it based on business capacity and retention priorities.</w:t>
      </w:r>
    </w:p>
    <w:p w14:paraId="6145E87E" w14:textId="77777777" w:rsidR="00DA65E9" w:rsidRPr="00256C4D" w:rsidRDefault="00DA65E9" w:rsidP="0044651F">
      <w:pPr>
        <w:spacing w:after="0" w:line="360" w:lineRule="auto"/>
        <w:jc w:val="both"/>
        <w:rPr>
          <w:rFonts w:ascii="Calibri" w:hAnsi="Calibri" w:cs="Calibri"/>
        </w:rPr>
      </w:pPr>
    </w:p>
    <w:p w14:paraId="6BED7134" w14:textId="1B2B4024" w:rsidR="00094C0A" w:rsidRPr="00256C4D" w:rsidRDefault="00094C0A" w:rsidP="0044651F">
      <w:pPr>
        <w:spacing w:after="0" w:line="360" w:lineRule="auto"/>
        <w:jc w:val="both"/>
        <w:rPr>
          <w:rFonts w:ascii="Calibri" w:hAnsi="Calibri" w:cs="Calibri"/>
        </w:rPr>
      </w:pPr>
      <w:r w:rsidRPr="00256C4D">
        <w:rPr>
          <w:rFonts w:ascii="Calibri" w:hAnsi="Calibri" w:cs="Calibri"/>
        </w:rPr>
        <w:t xml:space="preserve">To implement this in practice, the model should be run on a regular basis, such as monthly, using updated customer data. The output should produce a prioritised list of high-risk customers ranked by churn probability. These customers should then be assigned to appropriate teams for review within defined timeframes. Retention outcomes should also be recorded, including whether flagged customers churned, remained, or changed behaviour. </w:t>
      </w:r>
      <w:r w:rsidR="00815468" w:rsidRPr="00256C4D">
        <w:rPr>
          <w:rFonts w:ascii="Calibri" w:hAnsi="Calibri" w:cs="Calibri"/>
        </w:rPr>
        <w:t xml:space="preserve">Creating </w:t>
      </w:r>
      <w:r w:rsidRPr="00256C4D">
        <w:rPr>
          <w:rFonts w:ascii="Calibri" w:hAnsi="Calibri" w:cs="Calibri"/>
        </w:rPr>
        <w:t>a continuous retention cycle where predictive outputs directly inform business action and generate feedback to improve future retention decisions</w:t>
      </w:r>
      <w:r w:rsidR="00BD3041">
        <w:rPr>
          <w:rFonts w:ascii="Calibri" w:hAnsi="Calibri" w:cs="Calibri"/>
        </w:rPr>
        <w:t>.</w:t>
      </w:r>
    </w:p>
    <w:p w14:paraId="11DAD5F4" w14:textId="77777777" w:rsidR="00BD0F1D" w:rsidRPr="00256C4D" w:rsidRDefault="00BD0F1D" w:rsidP="0044651F">
      <w:pPr>
        <w:spacing w:after="0" w:line="360" w:lineRule="auto"/>
        <w:jc w:val="both"/>
        <w:rPr>
          <w:rFonts w:ascii="Calibri" w:hAnsi="Calibri" w:cs="Calibri"/>
        </w:rPr>
      </w:pPr>
    </w:p>
    <w:p w14:paraId="0F1CC2D1" w14:textId="77777777" w:rsidR="00094C0A" w:rsidRPr="00256C4D" w:rsidRDefault="00094C0A" w:rsidP="0044651F">
      <w:pPr>
        <w:pStyle w:val="Heading2"/>
        <w:numPr>
          <w:ilvl w:val="1"/>
          <w:numId w:val="1"/>
        </w:numPr>
        <w:spacing w:before="0" w:line="360" w:lineRule="auto"/>
        <w:ind w:left="0" w:firstLine="0"/>
        <w:jc w:val="both"/>
        <w:rPr>
          <w:rFonts w:ascii="Calibri" w:hAnsi="Calibri" w:cs="Calibri"/>
          <w:b/>
          <w:bCs/>
          <w:sz w:val="22"/>
          <w:szCs w:val="22"/>
        </w:rPr>
      </w:pPr>
      <w:r w:rsidRPr="00256C4D">
        <w:rPr>
          <w:rFonts w:ascii="Calibri" w:hAnsi="Calibri" w:cs="Calibri"/>
          <w:b/>
          <w:bCs/>
          <w:color w:val="auto"/>
          <w:sz w:val="22"/>
          <w:szCs w:val="22"/>
        </w:rPr>
        <w:t>Apply Targeted Retention Management for Month-to-Month Contract Customers</w:t>
      </w:r>
    </w:p>
    <w:p w14:paraId="5AD156A3" w14:textId="249BB115" w:rsidR="00094C0A" w:rsidRPr="00256C4D" w:rsidRDefault="00094C0A" w:rsidP="0044651F">
      <w:pPr>
        <w:spacing w:after="0" w:line="360" w:lineRule="auto"/>
        <w:jc w:val="both"/>
        <w:rPr>
          <w:rFonts w:ascii="Calibri" w:hAnsi="Calibri" w:cs="Calibri"/>
        </w:rPr>
      </w:pPr>
      <w:r w:rsidRPr="00256C4D">
        <w:rPr>
          <w:rFonts w:ascii="Calibri" w:hAnsi="Calibri" w:cs="Calibri"/>
        </w:rPr>
        <w:t>Customers on month-to-month contracts represent a structurally higher churn risk because they are not bound by long-term agreements and can leave at any time. Instead of applying general retention efforts across all customers, the business should use ANN predictions to identify high-risk customers within this contract group and apply structured account review.</w:t>
      </w:r>
      <w:r w:rsidR="00D552E3" w:rsidRPr="00256C4D">
        <w:rPr>
          <w:rFonts w:ascii="Calibri" w:hAnsi="Calibri" w:cs="Calibri"/>
        </w:rPr>
        <w:t xml:space="preserve"> </w:t>
      </w:r>
    </w:p>
    <w:p w14:paraId="0E8BC201" w14:textId="77777777" w:rsidR="0044651F" w:rsidRDefault="0044651F" w:rsidP="0044651F">
      <w:pPr>
        <w:spacing w:after="0" w:line="360" w:lineRule="auto"/>
        <w:jc w:val="both"/>
        <w:rPr>
          <w:rFonts w:ascii="Calibri" w:hAnsi="Calibri" w:cs="Calibri"/>
        </w:rPr>
      </w:pPr>
    </w:p>
    <w:p w14:paraId="2BF5A460" w14:textId="2D00B0CF" w:rsidR="00094C0A" w:rsidRPr="00256C4D" w:rsidRDefault="004D36FA" w:rsidP="0044651F">
      <w:pPr>
        <w:spacing w:after="0" w:line="360" w:lineRule="auto"/>
        <w:jc w:val="both"/>
        <w:rPr>
          <w:rFonts w:ascii="Calibri" w:hAnsi="Calibri" w:cs="Calibri"/>
        </w:rPr>
      </w:pPr>
      <w:r w:rsidRPr="00256C4D">
        <w:rPr>
          <w:rFonts w:ascii="Calibri" w:hAnsi="Calibri" w:cs="Calibri"/>
        </w:rPr>
        <w:t xml:space="preserve">This </w:t>
      </w:r>
      <w:r w:rsidR="00094C0A" w:rsidRPr="00256C4D">
        <w:rPr>
          <w:rFonts w:ascii="Calibri" w:hAnsi="Calibri" w:cs="Calibri"/>
        </w:rPr>
        <w:t xml:space="preserve">involves filtering the high-risk customer list to identify those on month-to-month contracts and reviewing their account data to understand the likely cause of churn risk. This review should include recent billing changes, service usage trends, customer support history, and service plan adjustments. For example, if churn risk is associated with recent billing increases, this indicates pricing sensitivity. If the customer has repeated service issues, this indicates service quality concerns. </w:t>
      </w:r>
    </w:p>
    <w:p w14:paraId="739FD0F5" w14:textId="77777777" w:rsidR="00BD0F1D" w:rsidRPr="00256C4D" w:rsidRDefault="00BD0F1D" w:rsidP="0044651F">
      <w:pPr>
        <w:spacing w:after="0" w:line="360" w:lineRule="auto"/>
        <w:jc w:val="both"/>
        <w:rPr>
          <w:rFonts w:ascii="Calibri" w:hAnsi="Calibri" w:cs="Calibri"/>
        </w:rPr>
      </w:pPr>
    </w:p>
    <w:p w14:paraId="09AFC5B4" w14:textId="77777777" w:rsidR="00094C0A" w:rsidRPr="00256C4D" w:rsidRDefault="00094C0A" w:rsidP="0044651F">
      <w:pPr>
        <w:pStyle w:val="Heading2"/>
        <w:numPr>
          <w:ilvl w:val="1"/>
          <w:numId w:val="1"/>
        </w:numPr>
        <w:spacing w:before="0" w:line="360" w:lineRule="auto"/>
        <w:ind w:left="0" w:firstLine="0"/>
        <w:jc w:val="both"/>
        <w:rPr>
          <w:rFonts w:ascii="Calibri" w:hAnsi="Calibri" w:cs="Calibri"/>
          <w:b/>
          <w:bCs/>
          <w:color w:val="auto"/>
          <w:sz w:val="22"/>
          <w:szCs w:val="22"/>
        </w:rPr>
      </w:pPr>
      <w:r w:rsidRPr="00256C4D">
        <w:rPr>
          <w:rFonts w:ascii="Calibri" w:hAnsi="Calibri" w:cs="Calibri"/>
          <w:b/>
          <w:bCs/>
          <w:color w:val="auto"/>
          <w:sz w:val="22"/>
          <w:szCs w:val="22"/>
        </w:rPr>
        <w:t>Introduce Early-Tenure Retention Monitoring</w:t>
      </w:r>
    </w:p>
    <w:p w14:paraId="3740412A" w14:textId="77777777" w:rsidR="00094C0A" w:rsidRPr="00256C4D" w:rsidRDefault="00094C0A" w:rsidP="0044651F">
      <w:pPr>
        <w:spacing w:after="0" w:line="360" w:lineRule="auto"/>
        <w:jc w:val="both"/>
        <w:rPr>
          <w:rFonts w:ascii="Calibri" w:hAnsi="Calibri" w:cs="Calibri"/>
        </w:rPr>
      </w:pPr>
      <w:r w:rsidRPr="00256C4D">
        <w:rPr>
          <w:rFonts w:ascii="Calibri" w:hAnsi="Calibri" w:cs="Calibri"/>
        </w:rPr>
        <w:t>Customers with shorter tenure represent a critical churn period because the customer relationship is still developing, and expectations may not yet be fully met. The ANN model can identify newer customers who show characteristics similar to historical churn cases, allowing the business to intervene early.</w:t>
      </w:r>
    </w:p>
    <w:p w14:paraId="3908E08F" w14:textId="77777777" w:rsidR="00D552E3" w:rsidRPr="00256C4D" w:rsidRDefault="00D552E3" w:rsidP="0044651F">
      <w:pPr>
        <w:spacing w:after="0" w:line="360" w:lineRule="auto"/>
        <w:jc w:val="both"/>
        <w:rPr>
          <w:rFonts w:ascii="Calibri" w:hAnsi="Calibri" w:cs="Calibri"/>
        </w:rPr>
      </w:pPr>
    </w:p>
    <w:p w14:paraId="3710B9A1" w14:textId="3E260D93" w:rsidR="00094C0A" w:rsidRPr="00256C4D" w:rsidRDefault="00D552E3" w:rsidP="0044651F">
      <w:pPr>
        <w:spacing w:after="0" w:line="360" w:lineRule="auto"/>
        <w:jc w:val="both"/>
        <w:rPr>
          <w:rFonts w:ascii="Calibri" w:hAnsi="Calibri" w:cs="Calibri"/>
        </w:rPr>
      </w:pPr>
      <w:r w:rsidRPr="00256C4D">
        <w:rPr>
          <w:rFonts w:ascii="Calibri" w:hAnsi="Calibri" w:cs="Calibri"/>
        </w:rPr>
        <w:t xml:space="preserve">Getting to </w:t>
      </w:r>
      <w:r w:rsidR="00094C0A" w:rsidRPr="00256C4D">
        <w:rPr>
          <w:rFonts w:ascii="Calibri" w:hAnsi="Calibri" w:cs="Calibri"/>
        </w:rPr>
        <w:t xml:space="preserve">identifying customers within their first 6 to 12 months of service and applying ANN churn scoring to prioritise monitoring. Customers classified as high risk should be reviewed to identify potential early disengagement indicators such as lower than expected service usage, billing concerns, or frequent service interactions. Reviewing these signals allows the business to identify service misalignment or dissatisfaction before the customer decides to leave. </w:t>
      </w:r>
    </w:p>
    <w:p w14:paraId="167D9F58" w14:textId="77777777" w:rsidR="00D25292" w:rsidRPr="00256C4D" w:rsidRDefault="00D25292" w:rsidP="0044651F">
      <w:pPr>
        <w:spacing w:after="0" w:line="360" w:lineRule="auto"/>
        <w:jc w:val="both"/>
        <w:rPr>
          <w:rFonts w:ascii="Calibri" w:hAnsi="Calibri" w:cs="Calibri"/>
        </w:rPr>
      </w:pPr>
    </w:p>
    <w:p w14:paraId="17AE395F" w14:textId="77777777" w:rsidR="00094C0A" w:rsidRPr="00256C4D" w:rsidRDefault="00094C0A" w:rsidP="0044651F">
      <w:pPr>
        <w:pStyle w:val="Heading2"/>
        <w:numPr>
          <w:ilvl w:val="1"/>
          <w:numId w:val="1"/>
        </w:numPr>
        <w:spacing w:before="0" w:line="360" w:lineRule="auto"/>
        <w:ind w:left="0" w:firstLine="0"/>
        <w:jc w:val="both"/>
        <w:rPr>
          <w:rFonts w:ascii="Calibri" w:hAnsi="Calibri" w:cs="Calibri"/>
          <w:b/>
          <w:bCs/>
          <w:color w:val="auto"/>
          <w:sz w:val="22"/>
          <w:szCs w:val="22"/>
        </w:rPr>
      </w:pPr>
      <w:r w:rsidRPr="00256C4D">
        <w:rPr>
          <w:rFonts w:ascii="Calibri" w:hAnsi="Calibri" w:cs="Calibri"/>
          <w:b/>
          <w:bCs/>
          <w:color w:val="auto"/>
          <w:sz w:val="22"/>
          <w:szCs w:val="22"/>
        </w:rPr>
        <w:t>Protect High-Value Customers Through Billing and Value Alignment Review</w:t>
      </w:r>
    </w:p>
    <w:p w14:paraId="11DBA9DC" w14:textId="77777777" w:rsidR="00094C0A" w:rsidRPr="00256C4D" w:rsidRDefault="00094C0A" w:rsidP="0044651F">
      <w:pPr>
        <w:spacing w:after="0" w:line="360" w:lineRule="auto"/>
        <w:jc w:val="both"/>
        <w:rPr>
          <w:rFonts w:ascii="Calibri" w:hAnsi="Calibri" w:cs="Calibri"/>
        </w:rPr>
      </w:pPr>
      <w:r w:rsidRPr="00256C4D">
        <w:rPr>
          <w:rFonts w:ascii="Calibri" w:hAnsi="Calibri" w:cs="Calibri"/>
        </w:rPr>
        <w:t>Customers with higher monthly charges were associated with higher churn risk and represent greater financial impact if lost. Retention strategies should therefore prioritise protecting these high-value customers.</w:t>
      </w:r>
    </w:p>
    <w:p w14:paraId="79CE7863" w14:textId="77777777" w:rsidR="00815468" w:rsidRPr="00256C4D" w:rsidRDefault="00815468" w:rsidP="0044651F">
      <w:pPr>
        <w:spacing w:after="0" w:line="360" w:lineRule="auto"/>
        <w:jc w:val="both"/>
        <w:rPr>
          <w:rFonts w:ascii="Calibri" w:hAnsi="Calibri" w:cs="Calibri"/>
        </w:rPr>
      </w:pPr>
    </w:p>
    <w:p w14:paraId="3310272D" w14:textId="01C0C69D" w:rsidR="00094C0A" w:rsidRPr="00256C4D" w:rsidRDefault="00144697" w:rsidP="0044651F">
      <w:pPr>
        <w:spacing w:after="0" w:line="360" w:lineRule="auto"/>
        <w:jc w:val="both"/>
        <w:rPr>
          <w:rFonts w:ascii="Calibri" w:hAnsi="Calibri" w:cs="Calibri"/>
        </w:rPr>
      </w:pPr>
      <w:r w:rsidRPr="00256C4D">
        <w:rPr>
          <w:rFonts w:ascii="Calibri" w:hAnsi="Calibri" w:cs="Calibri"/>
        </w:rPr>
        <w:t>I</w:t>
      </w:r>
      <w:r w:rsidR="00094C0A" w:rsidRPr="00256C4D">
        <w:rPr>
          <w:rFonts w:ascii="Calibri" w:hAnsi="Calibri" w:cs="Calibri"/>
        </w:rPr>
        <w:t>dentify customers with high monthly charges who are also classified as high churn risk by the ANN model. Their billing and service profile should then be reviewed to assess whether their service plan aligns with their actual usage and needs. For example, customers paying for higher-tier plans but using fewer services may perceive lower value, increasing churn likelihood. Ensuring billing structure aligns with service value improves customer satisfaction and reduces churn risk, while protecting revenue.</w:t>
      </w:r>
    </w:p>
    <w:p w14:paraId="75CA7C25" w14:textId="77777777" w:rsidR="00094C0A" w:rsidRPr="00256C4D" w:rsidRDefault="00094C0A" w:rsidP="0044651F">
      <w:pPr>
        <w:spacing w:after="0" w:line="360" w:lineRule="auto"/>
        <w:jc w:val="both"/>
        <w:rPr>
          <w:rFonts w:ascii="Calibri" w:hAnsi="Calibri" w:cs="Calibri"/>
        </w:rPr>
      </w:pPr>
    </w:p>
    <w:p w14:paraId="74097EFD" w14:textId="77777777" w:rsidR="00094C0A" w:rsidRPr="00256C4D" w:rsidRDefault="00094C0A" w:rsidP="0044651F">
      <w:pPr>
        <w:pStyle w:val="Heading2"/>
        <w:numPr>
          <w:ilvl w:val="1"/>
          <w:numId w:val="1"/>
        </w:numPr>
        <w:spacing w:before="0" w:line="360" w:lineRule="auto"/>
        <w:ind w:left="0" w:firstLine="0"/>
        <w:jc w:val="both"/>
        <w:rPr>
          <w:rFonts w:ascii="Calibri" w:hAnsi="Calibri" w:cs="Calibri"/>
          <w:b/>
          <w:bCs/>
          <w:color w:val="auto"/>
          <w:sz w:val="22"/>
          <w:szCs w:val="22"/>
        </w:rPr>
      </w:pPr>
      <w:r w:rsidRPr="00256C4D">
        <w:rPr>
          <w:rFonts w:ascii="Calibri" w:hAnsi="Calibri" w:cs="Calibri"/>
          <w:b/>
          <w:bCs/>
          <w:color w:val="auto"/>
          <w:sz w:val="22"/>
          <w:szCs w:val="22"/>
        </w:rPr>
        <w:t>Establish Retention Monitoring and Continuous Improvement Process</w:t>
      </w:r>
    </w:p>
    <w:p w14:paraId="2B59B150" w14:textId="77777777" w:rsidR="00094C0A" w:rsidRPr="00256C4D" w:rsidRDefault="00094C0A" w:rsidP="0044651F">
      <w:pPr>
        <w:spacing w:after="0" w:line="360" w:lineRule="auto"/>
        <w:jc w:val="both"/>
        <w:rPr>
          <w:rFonts w:ascii="Calibri" w:hAnsi="Calibri" w:cs="Calibri"/>
        </w:rPr>
      </w:pPr>
    </w:p>
    <w:p w14:paraId="2AF41837" w14:textId="128F429D" w:rsidR="00094C0A" w:rsidRDefault="00094C0A" w:rsidP="0044651F">
      <w:pPr>
        <w:spacing w:after="0" w:line="360" w:lineRule="auto"/>
        <w:jc w:val="both"/>
        <w:rPr>
          <w:rFonts w:ascii="Calibri" w:hAnsi="Calibri" w:cs="Calibri"/>
        </w:rPr>
      </w:pPr>
      <w:r w:rsidRPr="00256C4D">
        <w:rPr>
          <w:rFonts w:ascii="Calibri" w:hAnsi="Calibri" w:cs="Calibri"/>
        </w:rPr>
        <w:t xml:space="preserve">To ensure long-term effectiveness, </w:t>
      </w:r>
      <w:r w:rsidR="00D552E3" w:rsidRPr="00256C4D">
        <w:rPr>
          <w:rFonts w:ascii="Calibri" w:hAnsi="Calibri" w:cs="Calibri"/>
        </w:rPr>
        <w:t>i</w:t>
      </w:r>
      <w:r w:rsidRPr="00256C4D">
        <w:rPr>
          <w:rFonts w:ascii="Calibri" w:hAnsi="Calibri" w:cs="Calibri"/>
        </w:rPr>
        <w:t>mplement a structured monitoring process to evaluate retention outcomes and refine retention strategies over time. Because the ANN model prioritises identifying churn customers, some customers classified as high risk may not churn. Monitoring outcomes ensures retention actions remain efficient and aligned with business capacity.</w:t>
      </w:r>
    </w:p>
    <w:p w14:paraId="534AB3D6" w14:textId="77777777" w:rsidR="00256C4D" w:rsidRPr="00256C4D" w:rsidRDefault="00256C4D" w:rsidP="0044651F">
      <w:pPr>
        <w:spacing w:after="0" w:line="360" w:lineRule="auto"/>
        <w:jc w:val="both"/>
        <w:rPr>
          <w:rFonts w:ascii="Calibri" w:hAnsi="Calibri" w:cs="Calibri"/>
        </w:rPr>
      </w:pPr>
    </w:p>
    <w:p w14:paraId="7151BAC3" w14:textId="4E186FA4" w:rsidR="00094C0A" w:rsidRPr="00256C4D" w:rsidRDefault="00D552E3" w:rsidP="0044651F">
      <w:pPr>
        <w:spacing w:after="0" w:line="360" w:lineRule="auto"/>
        <w:jc w:val="both"/>
        <w:rPr>
          <w:rFonts w:ascii="Calibri" w:hAnsi="Calibri" w:cs="Calibri"/>
        </w:rPr>
      </w:pPr>
      <w:r w:rsidRPr="00256C4D">
        <w:rPr>
          <w:rFonts w:ascii="Calibri" w:hAnsi="Calibri" w:cs="Calibri"/>
        </w:rPr>
        <w:t>By t</w:t>
      </w:r>
      <w:r w:rsidR="00094C0A" w:rsidRPr="00256C4D">
        <w:rPr>
          <w:rFonts w:ascii="Calibri" w:hAnsi="Calibri" w:cs="Calibri"/>
        </w:rPr>
        <w:t>racking key performance indicators such as churn rate among high-risk customers, retention success rate after intervention, and overall churn trends. If retention capacity is limited, the business can prioritise customers with the highest churn probability. If the goal is to reduce missed churn cases, the business can maintain the current threshold setting</w:t>
      </w:r>
      <w:r w:rsidR="00EC31DE">
        <w:rPr>
          <w:rFonts w:ascii="Calibri" w:hAnsi="Calibri" w:cs="Calibri"/>
        </w:rPr>
        <w:t xml:space="preserve"> ensuring</w:t>
      </w:r>
      <w:r w:rsidR="00094C0A" w:rsidRPr="00256C4D">
        <w:rPr>
          <w:rFonts w:ascii="Calibri" w:hAnsi="Calibri" w:cs="Calibri"/>
        </w:rPr>
        <w:t xml:space="preserve"> retention strategies remain aligned with business priorities and operational capability.</w:t>
      </w:r>
    </w:p>
    <w:p w14:paraId="131C1AE9" w14:textId="77777777" w:rsidR="006B3822" w:rsidRPr="00256C4D" w:rsidRDefault="006B3822" w:rsidP="0044651F">
      <w:pPr>
        <w:spacing w:after="0" w:line="360" w:lineRule="auto"/>
        <w:jc w:val="both"/>
        <w:rPr>
          <w:rFonts w:ascii="Calibri" w:hAnsi="Calibri" w:cs="Calibri"/>
        </w:rPr>
      </w:pPr>
    </w:p>
    <w:sectPr w:rsidR="006B3822" w:rsidRPr="00256C4D">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AD38A" w14:textId="77777777" w:rsidR="004871F7" w:rsidRDefault="004871F7">
      <w:pPr>
        <w:spacing w:after="0" w:line="240" w:lineRule="auto"/>
      </w:pPr>
      <w:r>
        <w:separator/>
      </w:r>
    </w:p>
  </w:endnote>
  <w:endnote w:type="continuationSeparator" w:id="0">
    <w:p w14:paraId="07FD4C1F" w14:textId="77777777" w:rsidR="004871F7" w:rsidRDefault="00487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7084060"/>
      <w:docPartObj>
        <w:docPartGallery w:val="Page Numbers (Bottom of Page)"/>
        <w:docPartUnique/>
      </w:docPartObj>
    </w:sdtPr>
    <w:sdtEndPr>
      <w:rPr>
        <w:noProof/>
      </w:rPr>
    </w:sdtEndPr>
    <w:sdtContent>
      <w:p w14:paraId="788071FC" w14:textId="302F2922" w:rsidR="00C20B1E" w:rsidRDefault="00094C0A" w:rsidP="00BD30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C9B14" w14:textId="77777777" w:rsidR="004871F7" w:rsidRDefault="004871F7">
      <w:pPr>
        <w:spacing w:after="0" w:line="240" w:lineRule="auto"/>
      </w:pPr>
      <w:r>
        <w:separator/>
      </w:r>
    </w:p>
  </w:footnote>
  <w:footnote w:type="continuationSeparator" w:id="0">
    <w:p w14:paraId="24232539" w14:textId="77777777" w:rsidR="004871F7" w:rsidRDefault="004871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6C14D" w14:textId="77777777" w:rsidR="00CA4F66" w:rsidRDefault="00094C0A">
    <w:pPr>
      <w:pStyle w:val="Header"/>
    </w:pPr>
    <w:r>
      <w:rPr>
        <w:noProof/>
      </w:rPr>
      <w:drawing>
        <wp:inline distT="0" distB="0" distL="0" distR="0" wp14:anchorId="423FE530" wp14:editId="28483A7B">
          <wp:extent cx="374142" cy="415713"/>
          <wp:effectExtent l="0" t="0" r="6985" b="3810"/>
          <wp:docPr id="7" name="Picture 7" descr="A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CS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4340" cy="427045"/>
                  </a:xfrm>
                  <a:prstGeom prst="rect">
                    <a:avLst/>
                  </a:prstGeom>
                  <a:noFill/>
                  <a:ln>
                    <a:noFill/>
                  </a:ln>
                </pic:spPr>
              </pic:pic>
            </a:graphicData>
          </a:graphic>
        </wp:inline>
      </w:drawing>
    </w:r>
  </w:p>
  <w:p w14:paraId="51E2878E" w14:textId="77777777" w:rsidR="00CA4F66" w:rsidRDefault="00BD30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6E30B4"/>
    <w:multiLevelType w:val="multilevel"/>
    <w:tmpl w:val="B7246DDC"/>
    <w:lvl w:ilvl="0">
      <w:start w:val="1"/>
      <w:numFmt w:val="decimal"/>
      <w:lvlText w:val="%1."/>
      <w:lvlJc w:val="left"/>
      <w:pPr>
        <w:ind w:left="1068" w:hanging="360"/>
      </w:pPr>
    </w:lvl>
    <w:lvl w:ilvl="1">
      <w:start w:val="1"/>
      <w:numFmt w:val="decimal"/>
      <w:isLgl/>
      <w:lvlText w:val="%1.%2."/>
      <w:lvlJc w:val="left"/>
      <w:pPr>
        <w:ind w:left="-2325" w:hanging="720"/>
      </w:pPr>
      <w:rPr>
        <w:rFonts w:hint="default"/>
        <w:color w:val="auto"/>
      </w:rPr>
    </w:lvl>
    <w:lvl w:ilvl="2">
      <w:start w:val="1"/>
      <w:numFmt w:val="decimal"/>
      <w:isLgl/>
      <w:lvlText w:val="%1.%2.%3."/>
      <w:lvlJc w:val="left"/>
      <w:pPr>
        <w:ind w:left="1788" w:hanging="720"/>
      </w:pPr>
      <w:rPr>
        <w:rFonts w:hint="default"/>
      </w:rPr>
    </w:lvl>
    <w:lvl w:ilvl="3">
      <w:start w:val="1"/>
      <w:numFmt w:val="decimal"/>
      <w:isLgl/>
      <w:lvlText w:val="%1.%2.%3.%4."/>
      <w:lvlJc w:val="left"/>
      <w:pPr>
        <w:ind w:left="2148" w:hanging="1080"/>
      </w:pPr>
      <w:rPr>
        <w:rFonts w:hint="default"/>
      </w:rPr>
    </w:lvl>
    <w:lvl w:ilvl="4">
      <w:start w:val="1"/>
      <w:numFmt w:val="decimal"/>
      <w:isLgl/>
      <w:lvlText w:val="%1.%2.%3.%4.%5."/>
      <w:lvlJc w:val="left"/>
      <w:pPr>
        <w:ind w:left="2148" w:hanging="1080"/>
      </w:pPr>
      <w:rPr>
        <w:rFonts w:hint="default"/>
      </w:rPr>
    </w:lvl>
    <w:lvl w:ilvl="5">
      <w:start w:val="1"/>
      <w:numFmt w:val="decimal"/>
      <w:isLgl/>
      <w:lvlText w:val="%1.%2.%3.%4.%5.%6."/>
      <w:lvlJc w:val="left"/>
      <w:pPr>
        <w:ind w:left="2508" w:hanging="1440"/>
      </w:pPr>
      <w:rPr>
        <w:rFonts w:hint="default"/>
      </w:rPr>
    </w:lvl>
    <w:lvl w:ilvl="6">
      <w:start w:val="1"/>
      <w:numFmt w:val="decimal"/>
      <w:isLgl/>
      <w:lvlText w:val="%1.%2.%3.%4.%5.%6.%7."/>
      <w:lvlJc w:val="left"/>
      <w:pPr>
        <w:ind w:left="2508" w:hanging="1440"/>
      </w:pPr>
      <w:rPr>
        <w:rFonts w:hint="default"/>
      </w:rPr>
    </w:lvl>
    <w:lvl w:ilvl="7">
      <w:start w:val="1"/>
      <w:numFmt w:val="decimal"/>
      <w:isLgl/>
      <w:lvlText w:val="%1.%2.%3.%4.%5.%6.%7.%8."/>
      <w:lvlJc w:val="left"/>
      <w:pPr>
        <w:ind w:left="2868" w:hanging="1800"/>
      </w:pPr>
      <w:rPr>
        <w:rFonts w:hint="default"/>
      </w:rPr>
    </w:lvl>
    <w:lvl w:ilvl="8">
      <w:start w:val="1"/>
      <w:numFmt w:val="decimal"/>
      <w:isLgl/>
      <w:lvlText w:val="%1.%2.%3.%4.%5.%6.%7.%8.%9."/>
      <w:lvlJc w:val="left"/>
      <w:pPr>
        <w:ind w:left="2868"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C0A"/>
    <w:rsid w:val="00094C0A"/>
    <w:rsid w:val="00144697"/>
    <w:rsid w:val="001C68F2"/>
    <w:rsid w:val="002155B3"/>
    <w:rsid w:val="00256C4D"/>
    <w:rsid w:val="003A716B"/>
    <w:rsid w:val="0044651F"/>
    <w:rsid w:val="004871F7"/>
    <w:rsid w:val="004B0521"/>
    <w:rsid w:val="004D36FA"/>
    <w:rsid w:val="00644CA3"/>
    <w:rsid w:val="0066038F"/>
    <w:rsid w:val="006B3822"/>
    <w:rsid w:val="00815468"/>
    <w:rsid w:val="00B237DB"/>
    <w:rsid w:val="00B56FCA"/>
    <w:rsid w:val="00BD0F1D"/>
    <w:rsid w:val="00BD3041"/>
    <w:rsid w:val="00D25292"/>
    <w:rsid w:val="00D552E3"/>
    <w:rsid w:val="00D90A3B"/>
    <w:rsid w:val="00DA65E9"/>
    <w:rsid w:val="00EC31DE"/>
    <w:rsid w:val="00F21E5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CE68C"/>
  <w15:chartTrackingRefBased/>
  <w15:docId w15:val="{209722CF-0B9E-4D99-80CC-328A8AD92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C0A"/>
  </w:style>
  <w:style w:type="paragraph" w:styleId="Heading1">
    <w:name w:val="heading 1"/>
    <w:basedOn w:val="Normal"/>
    <w:next w:val="Normal"/>
    <w:link w:val="Heading1Char"/>
    <w:uiPriority w:val="9"/>
    <w:qFormat/>
    <w:rsid w:val="00094C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94C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C0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94C0A"/>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094C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C0A"/>
  </w:style>
  <w:style w:type="paragraph" w:styleId="Footer">
    <w:name w:val="footer"/>
    <w:basedOn w:val="Normal"/>
    <w:link w:val="FooterChar"/>
    <w:uiPriority w:val="99"/>
    <w:unhideWhenUsed/>
    <w:rsid w:val="00094C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702</Words>
  <Characters>4004</Characters>
  <Application>Microsoft Office Word</Application>
  <DocSecurity>0</DocSecurity>
  <Lines>33</Lines>
  <Paragraphs>9</Paragraphs>
  <ScaleCrop>false</ScaleCrop>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wambui njaramba</dc:creator>
  <cp:keywords/>
  <dc:description/>
  <cp:lastModifiedBy>wambui njaramba</cp:lastModifiedBy>
  <cp:revision>21</cp:revision>
  <dcterms:created xsi:type="dcterms:W3CDTF">2026-02-28T03:11:00Z</dcterms:created>
  <dcterms:modified xsi:type="dcterms:W3CDTF">2026-03-05T12:01:00Z</dcterms:modified>
</cp:coreProperties>
</file>