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66"/>
          <w:sz w:val="40"/>
          <w:szCs w:val="40"/>
        </w:rPr>
        <w:t xml:space="preserve">Emergency Response Assistant</w:t>
      </w:r>
    </w:p>
    <w:p>
      <w:pPr>
        <w:pBdr>
          <w:bottom w:val="single" w:color="1F4E66" w:sz="8" w:space="4"/>
        </w:pBdr>
        <w:spacing w:after="200"/>
      </w:pPr>
      <w:r>
        <w:rPr>
          <w:color w:val="444444"/>
          <w:sz w:val="26"/>
          <w:szCs w:val="26"/>
        </w:rPr>
        <w:t xml:space="preserve">Feature Test Plan — Subject-Matter Expert Review</w:t>
      </w:r>
    </w:p>
    <w:p>
      <w:r>
        <w:rPr>
          <w:b/>
          <w:bCs/>
          <w:sz w:val="22"/>
          <w:szCs w:val="22"/>
        </w:rPr>
        <w:t xml:space="preserve">Tester: </w:t>
      </w:r>
      <w:r>
        <w:rPr>
          <w:sz w:val="22"/>
          <w:szCs w:val="22"/>
        </w:rPr>
        <w:t xml:space="preserve">________________________     </w:t>
      </w:r>
      <w:r>
        <w:rPr>
          <w:b/>
          <w:bCs/>
          <w:sz w:val="22"/>
          <w:szCs w:val="22"/>
        </w:rPr>
        <w:t xml:space="preserve">Date: </w:t>
      </w:r>
      <w:r>
        <w:rPr>
          <w:sz w:val="22"/>
          <w:szCs w:val="22"/>
        </w:rPr>
        <w:t xml:space="preserve">________________     </w:t>
      </w:r>
      <w:r>
        <w:rPr>
          <w:b/>
          <w:bCs/>
          <w:sz w:val="22"/>
          <w:szCs w:val="22"/>
        </w:rPr>
        <w:t xml:space="preserve">Build / environment: </w:t>
      </w:r>
      <w:r>
        <w:rPr>
          <w:sz w:val="22"/>
          <w:szCs w:val="22"/>
        </w:rPr>
        <w:t xml:space="preserve">________________</w:t>
      </w:r>
    </w:p>
    <w:p>
      <w:pPr>
        <w:spacing w:after="160"/>
      </w:pPr>
    </w:p>
    <w:p>
      <w:pPr>
        <w:pStyle w:val="Heading2"/>
      </w:pPr>
      <w:r>
        <w:t xml:space="preserve">Before you start</w:t>
      </w:r>
    </w:p>
    <w:p>
      <w:pPr>
        <w:spacing w:after="120"/>
      </w:pPr>
      <w:r>
        <w:rPr>
          <w:sz w:val="22"/>
          <w:szCs w:val="22"/>
        </w:rPr>
        <w:t xml:space="preserve">This is a hands-on walk-through of the application's main features, written from a user's point of view — no technical knowledge needed. We have just finished some behind-the-scenes housekeeping, so the goal here is simply to confirm that everything you rely on still works and behaves the way you'd expect on a real incident.</w:t>
      </w:r>
    </w:p>
    <w:p>
      <w:pPr>
        <w:spacing w:after="120"/>
      </w:pPr>
      <w:r>
        <w:rPr>
          <w:sz w:val="22"/>
          <w:szCs w:val="22"/>
        </w:rPr>
        <w:t xml:space="preserve">Work down each table in order. For every step, do the action, check what you see against the “What you should see” column, then tick Pass or Fail and jot anything noteworthy in the Notes column — especially anything that feels wrong, confusing, or doesn't match the way things actually run on the fire ground. There are no wrong answers; your judgement is the test.</w:t>
      </w:r>
    </w:p>
    <w:p>
      <w:pPr>
        <w:spacing w:after="80"/>
      </w:pPr>
    </w:p>
    <w:p>
      <w:r>
        <w:rPr>
          <w:b/>
          <w:bCs/>
          <w:sz w:val="21"/>
          <w:szCs w:val="21"/>
        </w:rPr>
        <w:t xml:space="preserve">Quick reference — condition colours:  </w:t>
      </w:r>
      <w:r>
        <w:rPr>
          <w:b/>
          <w:bCs/>
          <w:color w:val="2E7D32"/>
          <w:sz w:val="21"/>
          <w:szCs w:val="21"/>
        </w:rPr>
        <w:t xml:space="preserve">Green</w:t>
      </w:r>
      <w:r>
        <w:rPr>
          <w:sz w:val="21"/>
          <w:szCs w:val="21"/>
        </w:rPr>
        <w:t xml:space="preserve"> = conforming / by the book.   </w:t>
      </w:r>
      <w:r>
        <w:rPr>
          <w:b/>
          <w:bCs/>
          <w:color w:val="B58B00"/>
          <w:sz w:val="21"/>
          <w:szCs w:val="21"/>
        </w:rPr>
        <w:t xml:space="preserve">Yellow</w:t>
      </w:r>
      <w:r>
        <w:rPr>
          <w:sz w:val="21"/>
          <w:szCs w:val="21"/>
        </w:rPr>
        <w:t xml:space="preserve"> = deviation, still safe (watch it).   </w:t>
      </w:r>
      <w:r>
        <w:rPr>
          <w:b/>
          <w:bCs/>
          <w:color w:val="C62828"/>
          <w:sz w:val="21"/>
          <w:szCs w:val="21"/>
        </w:rPr>
        <w:t xml:space="preserve">Red</w:t>
      </w:r>
      <w:r>
        <w:rPr>
          <w:sz w:val="21"/>
          <w:szCs w:val="21"/>
        </w:rPr>
        <w:t xml:space="preserve"> = unsafe deviation, needs attention.</w:t>
      </w:r>
    </w:p>
    <w:p>
      <w:pPr>
        <w:spacing w:after="160"/>
      </w:pPr>
    </w:p>
    <w:p>
      <w:pPr>
        <w:pStyle w:val="Heading2"/>
      </w:pPr>
      <w:r>
        <w:t xml:space="preserve">1.  Getting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340"/>
        <w:gridCol w:w="900"/>
        <w:gridCol w:w="1570"/>
      </w:tblGrid>
      <w:tr>
        <w:trPr>
          <w:tblHeader/>
        </w:trPr>
        <w:tc>
          <w:tcPr>
            <w:tcW w:type="dxa" w:w="45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t>
            </w:r>
          </w:p>
        </w:tc>
        <w:tc>
          <w:tcPr>
            <w:tcW w:type="dxa" w:w="31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to do</w:t>
            </w:r>
          </w:p>
        </w:tc>
        <w:tc>
          <w:tcPr>
            <w:tcW w:type="dxa" w:w="334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you should see</w:t>
            </w:r>
          </w:p>
        </w:tc>
        <w:tc>
          <w:tcPr>
            <w:tcW w:type="dxa" w:w="9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Result</w:t>
            </w:r>
          </w:p>
        </w:tc>
        <w:tc>
          <w:tcPr>
            <w:tcW w:type="dxa" w:w="157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Notes</w:t>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Open the app and sign in.</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You're signed in without trouble and reach either a role you've been assigned, or a “Choose a role for this session” screen.</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Look at the role choices on screen.</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Three clear options are offered — Fire Officer, Incident Support, and Client / Site Administrator — each with a short, sensible description.</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bl>
    <w:p>
      <w:pPr>
        <w:spacing w:after="200"/>
      </w:pPr>
    </w:p>
    <w:p>
      <w:pPr>
        <w:pStyle w:val="Heading2"/>
      </w:pPr>
      <w:r>
        <w:t xml:space="preserve">2.  Fire Officer — on-scene (the kiosk)</w:t>
      </w:r>
    </w:p>
    <w:p>
      <w:pPr>
        <w:spacing w:after="120"/>
      </w:pPr>
      <w:r>
        <w:rPr>
          <w:sz w:val="22"/>
          <w:szCs w:val="22"/>
        </w:rPr>
        <w:t xml:space="preserve">This is the core of the tool: the on-scene screen a Fire Officer would use as a size-up assistant. Take your time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340"/>
        <w:gridCol w:w="900"/>
        <w:gridCol w:w="1570"/>
      </w:tblGrid>
      <w:tr>
        <w:trPr>
          <w:tblHeader/>
        </w:trPr>
        <w:tc>
          <w:tcPr>
            <w:tcW w:type="dxa" w:w="45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t>
            </w:r>
          </w:p>
        </w:tc>
        <w:tc>
          <w:tcPr>
            <w:tcW w:type="dxa" w:w="31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to do</w:t>
            </w:r>
          </w:p>
        </w:tc>
        <w:tc>
          <w:tcPr>
            <w:tcW w:type="dxa" w:w="334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you should see</w:t>
            </w:r>
          </w:p>
        </w:tc>
        <w:tc>
          <w:tcPr>
            <w:tcW w:type="dxa" w:w="9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Result</w:t>
            </w:r>
          </w:p>
        </w:tc>
        <w:tc>
          <w:tcPr>
            <w:tcW w:type="dxa" w:w="157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Notes</w:t>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Choose the Fire Officer role.</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You land on the on-scene kiosk screen, laid out for at-a-glance use.</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Load one of the sample incidents (e.g. “Residential structure fire” or one of the “SME — initial radio report” scenarios).</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The assistant reads the radio chatter and the scene fills in by itself — you don't have to type anything.</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3</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Read the scene conditions it has picked out.</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Conditions are listed clearly, each with a colour (green / yellow / red) that matches how serious it is.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4</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Check the order of the conditions.</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The most serious items (reds) sit at the top, then yellows, then greens — the ordering makes operational sense for a size-up.</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5</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Open “Analyze” on one of the conditions.</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 panel explains, in plain language, why the assistant flagged that condition the way it did. The reasoning is sound and easy to follow.</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6</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Use “Refine Condition” on a condition to adjust or clarify it.</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You can correct or sharpen the condition, and the scene updates to reflect your change.</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7</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Set the incident's ICS Type (1–5) and press “Confirm scene type”.</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Confirming the type kicks off support recommendations — the tool populates suggested actions for the incident.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8</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Review the recommendations. Try Confirm, Add, and Refine on them.</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You can accept a recommendation, add your own, or reshape one. Confirmed items stay put and read like advice a real officer would give.</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9</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Open the Forms area (e.g. ICS 201). Try “Update forms” and “Save as PDF”.</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Forms are already filled in from the scene. Updating refreshes them; saving produces a PDF that looks like the real form.</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10</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Press “Re-Validate”.</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The assistant re-reads the current information and refreshes the scene and recommendations. Crucially, the screen never freezes or goes blank while it thinks — you can keep working.</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Press “Loss Stop”.</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The incident shifts from active response toward recovery — the control behaves as the point where the active response is called.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12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Press “Close Incident”.</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You're asked to confirm (and take ownership of) closing it, and the incident closes cleanly.</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13</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Press “End demo” (the demo-only control).</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Things reset so the next run can start fresh.</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bl>
    <w:p>
      <w:pPr>
        <w:spacing w:after="200"/>
      </w:pPr>
    </w:p>
    <w:p>
      <w:pPr>
        <w:pStyle w:val="Heading2"/>
      </w:pPr>
      <w:r>
        <w:t xml:space="preserve">3.  Incident Support — IMT roles &amp; dashboard</w:t>
      </w:r>
    </w:p>
    <w:p>
      <w:pPr>
        <w:spacing w:after="120"/>
      </w:pPr>
      <w:r>
        <w:rPr>
          <w:sz w:val="22"/>
          <w:szCs w:val="22"/>
        </w:rPr>
        <w:t xml:space="preserve">This is the command / support side: the people working an incident from their ICS position rather than on the nozzle.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340"/>
        <w:gridCol w:w="900"/>
        <w:gridCol w:w="1570"/>
      </w:tblGrid>
      <w:tr>
        <w:trPr>
          <w:tblHeader/>
        </w:trPr>
        <w:tc>
          <w:tcPr>
            <w:tcW w:type="dxa" w:w="45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t>
            </w:r>
          </w:p>
        </w:tc>
        <w:tc>
          <w:tcPr>
            <w:tcW w:type="dxa" w:w="31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to do</w:t>
            </w:r>
          </w:p>
        </w:tc>
        <w:tc>
          <w:tcPr>
            <w:tcW w:type="dxa" w:w="334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you should see</w:t>
            </w:r>
          </w:p>
        </w:tc>
        <w:tc>
          <w:tcPr>
            <w:tcW w:type="dxa" w:w="9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Result</w:t>
            </w:r>
          </w:p>
        </w:tc>
        <w:tc>
          <w:tcPr>
            <w:tcW w:type="dxa" w:w="157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Notes</w:t>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Sign out (or return to the role screen) and choose “Incident Support”.</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 second screen appears asking you to pick a specific ICS role, sensibly grouped (Command, Command Staff, Section Chiefs).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Pick a role — e.g. Incident Commander.</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You reach the incident list / dashboard for that role.</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3</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Look over the dashboard and open an active incident.</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Active incidents are listed clearly; opening one takes you into a view of that incident.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4</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Read what's shown for your role.</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Recommendations and forms are tailored to that ICS position — it shows what that role would actually care about.</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5</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As Incident Commander (or Safety Officer), try to close the incident.</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An authorised role can close the incident; the action is clearly available to you.</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6</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Go back and try a different role — e.g. Information Officer (PIO) or a Section Chief.</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The view and recommendations change appropriately for the new role — a PIO doesn't see the same things as Operations.</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bl>
    <w:p>
      <w:pPr>
        <w:spacing w:after="200"/>
      </w:pPr>
    </w:p>
    <w:p>
      <w:pPr>
        <w:pStyle w:val="Heading2"/>
      </w:pPr>
      <w:r>
        <w:t xml:space="preserve">4.  Client / Site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340"/>
        <w:gridCol w:w="900"/>
        <w:gridCol w:w="1570"/>
      </w:tblGrid>
      <w:tr>
        <w:trPr>
          <w:tblHeader/>
        </w:trPr>
        <w:tc>
          <w:tcPr>
            <w:tcW w:type="dxa" w:w="45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t>
            </w:r>
          </w:p>
        </w:tc>
        <w:tc>
          <w:tcPr>
            <w:tcW w:type="dxa" w:w="31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to do</w:t>
            </w:r>
          </w:p>
        </w:tc>
        <w:tc>
          <w:tcPr>
            <w:tcW w:type="dxa" w:w="334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you should see</w:t>
            </w:r>
          </w:p>
        </w:tc>
        <w:tc>
          <w:tcPr>
            <w:tcW w:type="dxa" w:w="9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Result</w:t>
            </w:r>
          </w:p>
        </w:tc>
        <w:tc>
          <w:tcPr>
            <w:tcW w:type="dxa" w:w="157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Notes</w:t>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Return to the role screen and choose Client / Site Administrator.</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You reach the administrator area without error.</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Look over the options available there.</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The screen loads, options are readable, and nothing is obviously broken or empty.</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bl>
    <w:p>
      <w:pPr>
        <w:spacing w:after="200"/>
      </w:pPr>
    </w:p>
    <w:p>
      <w:pPr>
        <w:pStyle w:val="Heading2"/>
      </w:pPr>
      <w:r>
        <w:t xml:space="preserve">5.  Overall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340"/>
        <w:gridCol w:w="900"/>
        <w:gridCol w:w="1570"/>
      </w:tblGrid>
      <w:tr>
        <w:trPr>
          <w:tblHeader/>
        </w:trPr>
        <w:tc>
          <w:tcPr>
            <w:tcW w:type="dxa" w:w="45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t>
            </w:r>
          </w:p>
        </w:tc>
        <w:tc>
          <w:tcPr>
            <w:tcW w:type="dxa" w:w="31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to do</w:t>
            </w:r>
          </w:p>
        </w:tc>
        <w:tc>
          <w:tcPr>
            <w:tcW w:type="dxa" w:w="334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What you should see</w:t>
            </w:r>
          </w:p>
        </w:tc>
        <w:tc>
          <w:tcPr>
            <w:tcW w:type="dxa" w:w="90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Result</w:t>
            </w:r>
          </w:p>
        </w:tc>
        <w:tc>
          <w:tcPr>
            <w:tcW w:type="dxa" w:w="1570"/>
            <w:tcBorders>
              <w:top w:val="single" w:color="BBBBBB" w:sz="1"/>
              <w:left w:val="single" w:color="BBBBBB" w:sz="1"/>
              <w:bottom w:val="single" w:color="BBBBBB" w:sz="1"/>
              <w:right w:val="single" w:color="BBBBBB" w:sz="1"/>
            </w:tcBorders>
            <w:shd w:fill="1F4E66" w:val="clear"/>
            <w:tcMar>
              <w:top w:type="dxa" w:w="60"/>
              <w:left w:type="dxa" w:w="110"/>
              <w:bottom w:type="dxa" w:w="60"/>
              <w:right w:type="dxa" w:w="110"/>
            </w:tcMar>
            <w:vAlign w:val="center"/>
          </w:tcPr>
          <w:p>
            <w:r>
              <w:rPr>
                <w:b/>
                <w:bCs/>
                <w:color w:val="FFFFFF"/>
                <w:sz w:val="20"/>
                <w:szCs w:val="20"/>
              </w:rPr>
              <w:t xml:space="preserve">Notes</w:t>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1</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Think about responsiveness across the whole session.</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The on-scene kiosk never locks you out or freezes while it's working — you can always read and act.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pPr>
              <w:jc w:val="center"/>
            </w:pPr>
            <w:r>
              <w:rPr>
                <w:sz w:val="20"/>
                <w:szCs w:val="20"/>
              </w:rPr>
              <w:t xml:space="preserve">2</w:t>
            </w:r>
          </w:p>
        </w:tc>
        <w:tc>
          <w:tcPr>
            <w:tcW w:type="dxa" w:w="31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Judge readability on the kiosk screen.</w:t>
            </w:r>
          </w:p>
        </w:tc>
        <w:tc>
          <w:tcPr>
            <w:tcW w:type="dxa" w:w="334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Text and status colours are easy to read at a glance — suitable for use on scene, not just at a desk.</w:t>
            </w:r>
          </w:p>
        </w:tc>
        <w:tc>
          <w:tcPr>
            <w:tcW w:type="dxa" w:w="9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vAlign w:val="center"/>
          </w:tcPr>
          <w:p>
            <w:r>
              <w:rPr>
                <w:sz w:val="20"/>
                <w:szCs w:val="20"/>
              </w:rPr>
              <w:t xml:space="preserve"/>
            </w:r>
          </w:p>
        </w:tc>
      </w:tr>
      <w:tr>
        <w:tc>
          <w:tcPr>
            <w:tcW w:type="dxa" w:w="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20"/>
                <w:szCs w:val="20"/>
              </w:rPr>
              <w:t xml:space="preserve">3</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Note anything else.</w:t>
            </w:r>
          </w:p>
        </w:tc>
        <w:tc>
          <w:tcPr>
            <w:tcW w:type="dxa" w:w="3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Anything confusing, mislabelled, or that doesn't match real fire-ground practice — capture it in Notes.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Pass</w:t>
            </w:r>
          </w:p>
          <w:p>
            <w:r>
              <w:rPr>
                <w:sz w:val="20"/>
                <w:szCs w:val="20"/>
              </w:rPr>
              <w:t xml:space="preserve">☐  Fail</w:t>
            </w:r>
          </w:p>
        </w:tc>
        <w:tc>
          <w:tcPr>
            <w:tcW w:type="dxa" w:w="157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sz w:val="20"/>
                <w:szCs w:val="20"/>
              </w:rPr>
              <w:t xml:space="preserve"/>
            </w:r>
          </w:p>
        </w:tc>
      </w:tr>
    </w:tbl>
    <w:p>
      <w:pPr>
        <w:spacing w:after="240"/>
      </w:pPr>
    </w:p>
    <w:p>
      <w:pPr>
        <w:pStyle w:val="Heading2"/>
      </w:pPr>
      <w:r>
        <w:t xml:space="preserve">Sign-off</w:t>
      </w:r>
    </w:p>
    <w:p>
      <w:pPr>
        <w:spacing w:after="100"/>
      </w:pPr>
      <w:r>
        <w:rPr>
          <w:sz w:val="22"/>
          <w:szCs w:val="22"/>
        </w:rPr>
        <w:t xml:space="preserve">Overall, is the application ready for wider use?   </w:t>
      </w:r>
      <w:r>
        <w:rPr>
          <w:sz w:val="22"/>
          <w:szCs w:val="22"/>
        </w:rPr>
        <w:t xml:space="preserve">☐ Yes      ☐ Yes, with the notes below      ☐ Not yet</w:t>
      </w:r>
    </w:p>
    <w:p>
      <w:pPr>
        <w:spacing w:after="80"/>
      </w:pPr>
      <w:r>
        <w:rPr>
          <w:b/>
          <w:bCs/>
          <w:sz w:val="22"/>
          <w:szCs w:val="22"/>
        </w:rPr>
        <w:t xml:space="preserve">Any blocking problems (things that must be fixed before go-live):</w:t>
      </w:r>
    </w:p>
    <w:p>
      <w:pPr>
        <w:pBdr>
          <w:bottom w:val="single" w:color="AAAAAA" w:sz="4" w:space="6"/>
        </w:pBdr>
        <w:spacing w:after="180"/>
      </w:pPr>
      <w:r>
        <w:rPr>
          <w:sz w:val="22"/>
          <w:szCs w:val="22"/>
        </w:rPr>
        <w:t xml:space="preserve"/>
      </w:r>
    </w:p>
    <w:p>
      <w:pPr>
        <w:pBdr>
          <w:bottom w:val="single" w:color="AAAAAA" w:sz="4" w:space="6"/>
        </w:pBdr>
        <w:spacing w:after="180"/>
      </w:pPr>
      <w:r>
        <w:rPr>
          <w:sz w:val="22"/>
          <w:szCs w:val="22"/>
        </w:rPr>
        <w:t xml:space="preserve"/>
      </w:r>
    </w:p>
    <w:p>
      <w:pPr>
        <w:pBdr>
          <w:bottom w:val="single" w:color="AAAAAA" w:sz="4" w:space="6"/>
        </w:pBdr>
        <w:spacing w:after="180"/>
      </w:pPr>
      <w:r>
        <w:rPr>
          <w:sz w:val="22"/>
          <w:szCs w:val="22"/>
        </w:rPr>
        <w:t xml:space="preserve"/>
      </w:r>
    </w:p>
    <w:p>
      <w:pPr>
        <w:spacing w:after="80"/>
      </w:pPr>
      <w:r>
        <w:rPr>
          <w:b/>
          <w:bCs/>
          <w:sz w:val="22"/>
          <w:szCs w:val="22"/>
        </w:rPr>
        <w:t xml:space="preserve">General impressions / suggestions:</w:t>
      </w:r>
    </w:p>
    <w:p>
      <w:pPr>
        <w:pBdr>
          <w:bottom w:val="single" w:color="AAAAAA" w:sz="4" w:space="6"/>
        </w:pBdr>
        <w:spacing w:after="180"/>
      </w:pPr>
      <w:r>
        <w:rPr>
          <w:sz w:val="22"/>
          <w:szCs w:val="22"/>
        </w:rPr>
        <w:t xml:space="preserve"/>
      </w:r>
    </w:p>
    <w:p>
      <w:pPr>
        <w:pBdr>
          <w:bottom w:val="single" w:color="AAAAAA" w:sz="4" w:space="6"/>
        </w:pBdr>
        <w:spacing w:after="180"/>
      </w:pPr>
      <w:r>
        <w:rPr>
          <w:sz w:val="22"/>
          <w:szCs w:val="22"/>
        </w:rPr>
        <w:t xml:space="preserve"/>
      </w:r>
    </w:p>
    <w:p>
      <w:pPr>
        <w:pBdr>
          <w:bottom w:val="single" w:color="AAAAAA" w:sz="4" w:space="6"/>
        </w:pBdr>
        <w:spacing w:after="180"/>
      </w:pPr>
      <w:r>
        <w:rPr>
          <w:sz w:val="22"/>
          <w:szCs w:val="2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Emergency Response Assistant — SME Feature Test Plan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00"/>
      <w:outlineLvl w:val="1"/>
    </w:pPr>
    <w:rPr>
      <w:rFonts w:ascii="Arial" w:cs="Arial" w:eastAsia="Arial" w:hAnsi="Arial"/>
      <w:b/>
      <w:bCs/>
      <w:color w:val="1F4E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2026-05-26T00:05:58.869Z</dcterms:created>
  <dcterms:modified xsi:type="dcterms:W3CDTF">2026-05-26T00:05:58.869Z</dcterms:modified>
</cp:coreProperties>
</file>

<file path=docProps/custom.xml><?xml version="1.0" encoding="utf-8"?>
<Properties xmlns="http://schemas.openxmlformats.org/officeDocument/2006/custom-properties" xmlns:vt="http://schemas.openxmlformats.org/officeDocument/2006/docPropsVTypes"/>
</file>