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Information Request — Document Hierarchy, Tiering &amp; Role Scoping</w:t>
      </w:r>
    </w:p>
    <w:p>
      <w:pPr>
        <w:pBdr>
          <w:bottom w:val="single" w:color="2E5A88" w:sz="6" w:space="6"/>
        </w:pBdr>
        <w:spacing w:after="60"/>
      </w:pPr>
      <w:r>
        <w:rPr>
          <w:i/>
          <w:iCs/>
          <w:color w:val="555555"/>
          <w:sz w:val="20"/>
          <w:szCs w:val="20"/>
        </w:rPr>
        <w:t xml:space="preserve">Project: opensourcerer-gen4 (Emergency Response decision-support)</w:t>
      </w:r>
    </w:p>
    <w:p>
      <w:pPr>
        <w:spacing w:after="200"/>
      </w:pPr>
      <w:r>
        <w:rPr>
          <w:color w:val="555555"/>
          <w:sz w:val="20"/>
          <w:szCs w:val="20"/>
        </w:rPr>
        <w:t xml:space="preserve">Prepared for SME review · 2026-05-21</w:t>
      </w:r>
    </w:p>
    <w:p>
      <w:pPr>
        <w:spacing w:after="160"/>
      </w:pPr>
      <w:r>
        <w:t xml:space="preserve">Thank you for the ERP Master Template and the Reference Documents list. Together they give us most of what we need to make the knowledgebase “hierarchy-aware” — so the system can prefer the right guidance when sources overlap or conflict, and so each role sees what is actually relevant to them. Before we build this into the retrieval layer, we would like to confirm a handful of interpretation points with you. Each question below includes the reasoning, so it is clear why the distinction matters in the software. We can walk through these in person.</w:t>
      </w:r>
    </w:p>
    <w:p>
      <w:pPr>
        <w:spacing w:after="220"/>
      </w:pPr>
      <w:r>
        <w:rPr>
          <w:b/>
          <w:bCs/>
        </w:rPr>
        <w:t xml:space="preserve">Scope note: </w:t>
      </w:r>
      <w:r>
        <w:t xml:space="preserve">This request is limited to document hierarchy, tiering, and role scoping. Multi-tenant / client isolation and the test transcript are being handled separately so this conversation stays focused.</w:t>
      </w:r>
    </w:p>
    <w:p>
      <w:pPr>
        <w:pStyle w:val="Heading2"/>
      </w:pPr>
      <w:r>
        <w:t xml:space="preserve">1. How we are reading your materials (please confirm or correct)</w:t>
      </w:r>
    </w:p>
    <w:p>
      <w:pPr>
        <w:spacing w:after="120"/>
      </w:pPr>
      <w:r>
        <w:t xml:space="preserve">We see two independent dimensions in the data, and we think both matter for how the system selects guidance:</w:t>
      </w:r>
    </w:p>
    <w:p>
      <w:pPr>
        <w:pStyle w:val="ListParagraph"/>
        <w:numPr>
          <w:ilvl w:val="0"/>
          <w:numId w:val="2"/>
        </w:numPr>
        <w:spacing w:after="80"/>
      </w:pPr>
      <w:r>
        <w:rPr>
          <w:b/>
          <w:bCs/>
        </w:rPr>
        <w:t xml:space="preserve">Jurisdictional scope </w:t>
      </w:r>
      <w:r>
        <w:t xml:space="preserve">— who issued or owns the document: client/site, provincial (Alberta), federal (Canada), and profession / industry consensus standards (NFPA, API, CSA, ICS). The “Jurisdiction / Scope” column and the publisher prefixes map to this.</w:t>
      </w:r>
    </w:p>
    <w:p>
      <w:pPr>
        <w:pStyle w:val="ListParagraph"/>
        <w:numPr>
          <w:ilvl w:val="0"/>
          <w:numId w:val="2"/>
        </w:numPr>
        <w:spacing w:after="120"/>
      </w:pPr>
      <w:r>
        <w:rPr>
          <w:b/>
          <w:bCs/>
        </w:rPr>
        <w:t xml:space="preserve">Authority type </w:t>
      </w:r>
      <w:r>
        <w:t xml:space="preserve">— how binding the document is: Regulatory, Standard, Best Practice / Guidance, Informational, and client SOPs. The “Reference Type” column and the Template Level (Core-Industrial, Hazard-Specific, Regulatory Required, Best Practice, Client-Specific) map to this.</w:t>
      </w:r>
    </w:p>
    <w:p>
      <w:pPr>
        <w:spacing w:after="200"/>
      </w:pPr>
      <w:r>
        <w:rPr>
          <w:b/>
          <w:bCs/>
        </w:rPr>
        <w:t xml:space="preserve">Working precedence (highest first): </w:t>
      </w:r>
      <w:r>
        <w:t xml:space="preserve">Client › Region (provincial) › Federal › Domain (profession standards) — with a regulatory override (see Q2). </w:t>
      </w:r>
      <w:r>
        <w:rPr>
          <w:i/>
          <w:iCs/>
        </w:rPr>
        <w:t xml:space="preserve">Is this two-dimensional reading correct, or do you think about it differently?</w:t>
      </w:r>
    </w:p>
    <w:p>
      <w:pPr>
        <w:pStyle w:val="Heading2"/>
      </w:pPr>
      <w:r>
        <w:t xml:space="preserve">2. Precedence — what the system shows when sources conflict</w:t>
      </w:r>
    </w:p>
    <w:p>
      <w:pPr>
        <w:spacing w:after="40" w:before="60"/>
      </w:pPr>
      <w:r>
        <w:rPr>
          <w:b/>
          <w:bCs/>
        </w:rPr>
        <w:t xml:space="preserve">Q1 — Jurisdictional order. </w:t>
      </w:r>
      <w:r>
        <w:t xml:space="preserve">When two documents both apply and differ, do we always prefer Client over Provincial over Federal over profession-standard?</w:t>
      </w:r>
    </w:p>
    <w:p>
      <w:pPr>
        <w:spacing w:after="160"/>
        <w:ind w:left="360"/>
      </w:pPr>
      <w:r>
        <w:rPr>
          <w:i/>
          <w:iCs/>
          <w:color w:val="2E5A88"/>
        </w:rPr>
        <w:t xml:space="preserve">Why this matters: </w:t>
      </w:r>
      <w:r>
        <w:rPr>
          <w:i/>
          <w:iCs/>
          <w:color w:val="555555"/>
        </w:rPr>
        <w:t xml:space="preserve">The system has to pick which guidance to surface first when, for example, a client SOP and a provincial guideline both speak to the same tactic.</w:t>
      </w:r>
    </w:p>
    <w:p>
      <w:pPr>
        <w:spacing w:after="40" w:before="60"/>
      </w:pPr>
      <w:r>
        <w:rPr>
          <w:b/>
          <w:bCs/>
        </w:rPr>
        <w:t xml:space="preserve">Q2 — Regulatory override. </w:t>
      </w:r>
      <w:r>
        <w:t xml:space="preserve">Your note that “department SOPs supersede most documents that are not regulatory” suggests regulatory documents outrank even client SOPs. Is that right — i.e., regulatory authority beats the jurisdictional order, so a provincial or federal regulation governs even where a client SOP says otherwise?</w:t>
      </w:r>
    </w:p>
    <w:p>
      <w:pPr>
        <w:spacing w:after="160"/>
        <w:ind w:left="360"/>
      </w:pPr>
      <w:r>
        <w:rPr>
          <w:i/>
          <w:iCs/>
          <w:color w:val="2E5A88"/>
        </w:rPr>
        <w:t xml:space="preserve">Why this matters: </w:t>
      </w:r>
      <w:r>
        <w:rPr>
          <w:i/>
          <w:iCs/>
          <w:color w:val="555555"/>
        </w:rPr>
        <w:t xml:space="preserve">This is the one case where the two dimensions collide. We need a single rule so the system never surfaces a client shortcut that contradicts a legal requirement.</w:t>
      </w:r>
    </w:p>
    <w:p>
      <w:pPr>
        <w:spacing w:after="40" w:before="60"/>
      </w:pPr>
      <w:r>
        <w:rPr>
          <w:b/>
          <w:bCs/>
        </w:rPr>
        <w:t xml:space="preserve">Q3 — “Priority Document” flags. </w:t>
      </w:r>
      <w:r>
        <w:t xml:space="preserve">Several items are tagged as priority (ICS Operational Description, AEMA Alberta IMS, Transport Canada ERG). Should “priority” boost a document’s ranking regardless of tier, or is it only an acquisition priority for your team?</w:t>
      </w:r>
    </w:p>
    <w:p>
      <w:pPr>
        <w:spacing w:after="160"/>
        <w:ind w:left="360"/>
      </w:pPr>
      <w:r>
        <w:rPr>
          <w:i/>
          <w:iCs/>
          <w:color w:val="2E5A88"/>
        </w:rPr>
        <w:t xml:space="preserve">Why this matters: </w:t>
      </w:r>
      <w:r>
        <w:rPr>
          <w:i/>
          <w:iCs/>
          <w:color w:val="555555"/>
        </w:rPr>
        <w:t xml:space="preserve">If it affects what surfaces first, we will weight it in retrieval; if it is just a procurement note, we will leave it out of the ranking.</w:t>
      </w:r>
    </w:p>
    <w:p>
      <w:pPr>
        <w:pStyle w:val="Heading2"/>
      </w:pPr>
      <w:r>
        <w:t xml:space="preserve">3. Role scoping — the “no noise to the Fire Officer” goal</w:t>
      </w:r>
    </w:p>
    <w:p>
      <w:pPr>
        <w:spacing w:after="140"/>
      </w:pPr>
      <w:r>
        <w:t xml:space="preserve">In the earlier Reference Documents list, every document was tagged to all roles, which would not narrow anything. The ERP Master Template is more differentiated, so we want to use it correctly.</w:t>
      </w:r>
    </w:p>
    <w:p>
      <w:pPr>
        <w:spacing w:after="40" w:before="60"/>
      </w:pPr>
      <w:r>
        <w:rPr>
          <w:b/>
          <w:bCs/>
        </w:rPr>
        <w:t xml:space="preserve">Q4 — Document-level Role column. </w:t>
      </w:r>
      <w:r>
        <w:t xml:space="preserve">The Reference Library now uses FF / IC / GS / CS / IMT, but many rows are blank. Please confirm: (a) the abbreviations — we read FF = Firefighter / Officer, IC = Incident Commander, GS = General Staff, CS = Command Staff, IMT = Incident Management Team; (b) what a blank Role means — available to everyone, or simply not yet tagged; and (c) whether this column should gate retrieval (only listed roles can see the document) or just indicate the primary audience.</w:t>
      </w:r>
    </w:p>
    <w:p>
      <w:pPr>
        <w:spacing w:after="160"/>
        <w:ind w:left="360"/>
      </w:pPr>
      <w:r>
        <w:rPr>
          <w:i/>
          <w:iCs/>
          <w:color w:val="2E5A88"/>
        </w:rPr>
        <w:t xml:space="preserve">Why this matters: </w:t>
      </w:r>
      <w:r>
        <w:rPr>
          <w:i/>
          <w:iCs/>
          <w:color w:val="555555"/>
        </w:rPr>
        <w:t xml:space="preserve">Gating is what actually keeps irrelevant material off the Fire Officer’s screen; “primary audience” only affects ranking. We need to know which you intend.</w:t>
      </w:r>
    </w:p>
    <w:p>
      <w:pPr>
        <w:spacing w:after="40" w:before="60"/>
      </w:pPr>
      <w:r>
        <w:rPr>
          <w:b/>
          <w:bCs/>
        </w:rPr>
        <w:t xml:space="preserve">Q5 — Function column vs. Role column. </w:t>
      </w:r>
      <w:r>
        <w:t xml:space="preserve">The Industrial sheet tags each tactic with a Function (Command / Operations / Planning / Safety / Liaison). Is the Function column the intended way to decide which role sees which guidance at the tactic level — so the Fire Officer sees Operations and Safety tactics, while Planning and Liaison tactics route to those roles?</w:t>
      </w:r>
    </w:p>
    <w:p>
      <w:pPr>
        <w:spacing w:after="160"/>
        <w:ind w:left="360"/>
      </w:pPr>
      <w:r>
        <w:rPr>
          <w:i/>
          <w:iCs/>
          <w:color w:val="2E5A88"/>
        </w:rPr>
        <w:t xml:space="preserve">Why this matters: </w:t>
      </w:r>
      <w:r>
        <w:rPr>
          <w:i/>
          <w:iCs/>
          <w:color w:val="555555"/>
        </w:rPr>
        <w:t xml:space="preserve">Tactic-level Function is a cleaner, more precise filter than the document-level Role column, and it maps directly onto our on-scene vs. command split.</w:t>
      </w:r>
    </w:p>
    <w:p>
      <w:pPr>
        <w:spacing w:after="40" w:before="60"/>
      </w:pPr>
      <w:r>
        <w:rPr>
          <w:b/>
          <w:bCs/>
        </w:rPr>
        <w:t xml:space="preserve">Q6 — Fire Officer on-scene relevance. </w:t>
      </w:r>
      <w:r>
        <w:t xml:space="preserve">Independent of role labels: which of these documents and tactics does a Fire Officer actually need surfaced during a live response, versus what is planning, ERP-development, or background reference?</w:t>
      </w:r>
    </w:p>
    <w:p>
      <w:pPr>
        <w:spacing w:after="160"/>
        <w:ind w:left="360"/>
      </w:pPr>
      <w:r>
        <w:rPr>
          <w:i/>
          <w:iCs/>
          <w:color w:val="2E5A88"/>
        </w:rPr>
        <w:t xml:space="preserve">Why this matters: </w:t>
      </w:r>
      <w:r>
        <w:rPr>
          <w:i/>
          <w:iCs/>
          <w:color w:val="555555"/>
        </w:rPr>
        <w:t xml:space="preserve">The on-scene kiosk must stay uncluttered. This is the single most useful distinction for the field experience, and your “Use” column — “ERP development” vs. “Managing resources during a response” — already hints at it.</w:t>
      </w:r>
    </w:p>
    <w:p>
      <w:pPr>
        <w:pStyle w:val="Heading2"/>
      </w:pPr>
      <w:r>
        <w:t xml:space="preserve">4. Housekeeping (quick confirmations)</w:t>
      </w:r>
    </w:p>
    <w:p>
      <w:pPr>
        <w:pStyle w:val="ListParagraph"/>
        <w:numPr>
          <w:ilvl w:val="0"/>
          <w:numId w:val="2"/>
        </w:numPr>
        <w:spacing w:after="80"/>
      </w:pPr>
      <w:r>
        <w:rPr>
          <w:b/>
          <w:bCs/>
        </w:rPr>
        <w:t xml:space="preserve">Inferring tier when blank: </w:t>
      </w:r>
      <w:r>
        <w:t xml:space="preserve">where a row’s Jurisdiction or Reference Type is blank, may we infer it from the publisher (e.g., “AEMA / Alberta…” = provincial, “GOC / PSC / CER / Canada…” = federal, “NFPA / API / CSA…” = profession standard)?</w:t>
      </w:r>
    </w:p>
    <w:p>
      <w:pPr>
        <w:pStyle w:val="ListParagraph"/>
        <w:numPr>
          <w:ilvl w:val="0"/>
          <w:numId w:val="2"/>
        </w:numPr>
        <w:spacing w:after="80"/>
      </w:pPr>
      <w:r>
        <w:rPr>
          <w:b/>
          <w:bCs/>
        </w:rPr>
        <w:t xml:space="preserve">Duplicates: </w:t>
      </w:r>
      <w:r>
        <w:t xml:space="preserve">“CER Onshore Pipeline Regulations” appears twice with different notes — the same document, or two distinct items?</w:t>
      </w:r>
    </w:p>
    <w:p>
      <w:pPr>
        <w:pStyle w:val="ListParagraph"/>
        <w:numPr>
          <w:ilvl w:val="0"/>
          <w:numId w:val="2"/>
        </w:numPr>
        <w:spacing w:after="200"/>
      </w:pPr>
      <w:r>
        <w:rPr>
          <w:b/>
          <w:bCs/>
        </w:rPr>
        <w:t xml:space="preserve">Folder entries: </w:t>
      </w:r>
      <w:r>
        <w:t xml:space="preserve">“NFPA 1001”, “NFPA 1002”, and “Generic SOPs” are listed as folders — should we treat each folder’s contents as inheriting the folder’s tier and role tags?</w:t>
      </w:r>
    </w:p>
    <w:p>
      <w:pPr>
        <w:pStyle w:val="Heading2"/>
      </w:pPr>
      <w:r>
        <w:t xml:space="preserve">What this unlocks</w:t>
      </w:r>
    </w:p>
    <w:p>
      <w:pPr>
        <w:spacing w:after="120"/>
      </w:pPr>
      <w:r>
        <w:t xml:space="preserve">With these confirmed, we can tag every document with a jurisdiction tier, an authority type, and a role / function scope, and then teach the retrieval layer to: (1) prefer the right tier when sources overlap, (2) honour the regulatory override, and (3) keep off-scene material off the Fire Officer’s screen.</w:t>
      </w:r>
    </w:p>
    <w:p>
      <w:r>
        <w:t xml:space="preserve">Happy to go through any of this live — a short working pass should settle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opensourcerer-gen4  —  SME Information Request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F3A5F"/>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2026-05-21T17:32:16.436Z</dcterms:created>
  <dcterms:modified xsi:type="dcterms:W3CDTF">2026-05-21T17:32:16.436Z</dcterms:modified>
</cp:coreProperties>
</file>

<file path=docProps/custom.xml><?xml version="1.0" encoding="utf-8"?>
<Properties xmlns="http://schemas.openxmlformats.org/officeDocument/2006/custom-properties" xmlns:vt="http://schemas.openxmlformats.org/officeDocument/2006/docPropsVTypes"/>
</file>