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229944">
      <w:pPr>
        <w:pStyle w:val="28"/>
      </w:pPr>
      <w:r>
        <w:rPr>
          <w:rFonts w:hint="eastAsia"/>
        </w:rPr>
        <w:t>基于深度学习的光刻热点检测算法研究</w:t>
      </w:r>
    </w:p>
    <w:p w14:paraId="3C5E79B4">
      <w:pPr>
        <w:tabs>
          <w:tab w:val="left" w:pos="1080"/>
          <w:tab w:val="left" w:pos="1260"/>
        </w:tabs>
        <w:spacing w:before="156" w:beforeLines="50" w:after="156" w:afterLines="50"/>
        <w:ind w:firstLine="420" w:firstLineChars="200"/>
        <w:jc w:val="center"/>
        <w:rPr>
          <w:rFonts w:hint="default" w:ascii="楷体" w:hAnsi="楷体" w:eastAsia="楷体"/>
          <w:lang w:val="en-US" w:eastAsia="zh-CN"/>
        </w:rPr>
      </w:pPr>
      <w:r>
        <w:rPr>
          <w:rFonts w:hint="eastAsia" w:ascii="楷体" w:hAnsi="楷体" w:eastAsia="楷体"/>
          <w:szCs w:val="20"/>
          <w:lang w:val="en-US" w:eastAsia="zh-CN"/>
        </w:rPr>
        <w:t>&lt;姓名&gt;</w:t>
      </w:r>
      <w:r>
        <w:rPr>
          <w:rStyle w:val="12"/>
          <w:rFonts w:ascii="楷体" w:hAnsi="楷体" w:eastAsia="楷体"/>
          <w:szCs w:val="20"/>
        </w:rPr>
        <w:footnoteReference w:id="0" w:customMarkFollows="1"/>
        <w:sym w:font="Symbol" w:char="F02A"/>
      </w:r>
      <w:r>
        <w:rPr>
          <w:rFonts w:hint="eastAsia" w:ascii="楷体" w:hAnsi="楷体" w:eastAsia="楷体"/>
          <w:szCs w:val="20"/>
        </w:rPr>
        <w:t xml:space="preserve"> </w:t>
      </w:r>
      <w:r>
        <w:rPr>
          <w:rFonts w:ascii="楷体" w:hAnsi="楷体" w:eastAsia="楷体"/>
        </w:rPr>
        <w:t>指导教师：</w:t>
      </w:r>
      <w:r>
        <w:rPr>
          <w:rFonts w:hint="eastAsia" w:ascii="楷体" w:hAnsi="楷体" w:eastAsia="楷体"/>
          <w:lang w:val="en-US" w:eastAsia="zh-CN"/>
        </w:rPr>
        <w:t>&lt;姓名&gt;</w:t>
      </w:r>
    </w:p>
    <w:p w14:paraId="0F6FCA7B">
      <w:pPr>
        <w:pStyle w:val="24"/>
        <w:tabs>
          <w:tab w:val="left" w:pos="1080"/>
          <w:tab w:val="left" w:pos="1260"/>
        </w:tabs>
        <w:ind w:firstLine="360" w:firstLineChars="200"/>
      </w:pPr>
      <w:r>
        <w:t>（广东工业大学自动化学院，广州，510090）</w:t>
      </w:r>
    </w:p>
    <w:p w14:paraId="72B1BAEA">
      <w:pPr>
        <w:tabs>
          <w:tab w:val="left" w:pos="1080"/>
          <w:tab w:val="left" w:pos="1260"/>
        </w:tabs>
        <w:adjustRightInd w:val="0"/>
        <w:snapToGrid w:val="0"/>
        <w:spacing w:line="320" w:lineRule="exact"/>
        <w:ind w:left="781" w:leftChars="200" w:right="420" w:rightChars="200" w:hanging="361" w:hangingChars="200"/>
      </w:pPr>
      <w:r>
        <w:rPr>
          <w:rFonts w:eastAsia="黑体"/>
          <w:b/>
          <w:bCs/>
          <w:sz w:val="18"/>
          <w:szCs w:val="18"/>
        </w:rPr>
        <w:t>摘要</w:t>
      </w:r>
      <w:r>
        <w:rPr>
          <w:rFonts w:eastAsia="黑体"/>
          <w:b/>
          <w:bCs/>
        </w:rPr>
        <w:t>：</w:t>
      </w:r>
      <w:r>
        <w:rPr>
          <w:rFonts w:eastAsia="楷体"/>
          <w:sz w:val="18"/>
          <w:szCs w:val="18"/>
        </w:rPr>
        <w:t>在集成电路制造工艺不断演进的背景下，光刻热点问题已成为制约芯片良率的重要因素。针对传统建模方式难以同时兼顾细节属性特征与宏观空间依赖的问题，本文</w:t>
      </w:r>
      <w:r>
        <w:rPr>
          <w:rFonts w:hint="eastAsia" w:eastAsia="楷体"/>
          <w:sz w:val="18"/>
          <w:szCs w:val="18"/>
        </w:rPr>
        <w:t>设计</w:t>
      </w:r>
      <w:r>
        <w:rPr>
          <w:rFonts w:eastAsia="楷体"/>
          <w:sz w:val="18"/>
          <w:szCs w:val="18"/>
        </w:rPr>
        <w:t>了一种基于深度学习的多尺度图建模方法；在上述方法基础上，针对现有模型在局部与宏观特征学习能力、版图中心区域注意力低下问题，设计了两个热点检测模型：基准模型采用图像与度量学习相结合的方法，改进模型则基于图神经网络与“图族”结构进行建模与分类。基于ICCAD'12与ICCAD'19-1竞赛数据集的性能实验结果表明，改进模型准确率提升42.6%，召回率提升89.1%，误报率降低84.3%，明显优于TCAD'25、GLSVLSI'24等近年主流方法。此外，模块级消融实验验证各关键模块对性能的显著贡献，进一步说明本文方法在光刻热点检测任务中的高效与实用价值。</w:t>
      </w:r>
    </w:p>
    <w:p w14:paraId="275CA2D6">
      <w:pPr>
        <w:tabs>
          <w:tab w:val="left" w:pos="1080"/>
          <w:tab w:val="left" w:pos="1260"/>
        </w:tabs>
        <w:adjustRightInd w:val="0"/>
        <w:snapToGrid w:val="0"/>
        <w:spacing w:line="320" w:lineRule="exact"/>
        <w:ind w:left="781" w:leftChars="200" w:right="420" w:rightChars="200" w:hanging="361" w:hangingChars="200"/>
      </w:pPr>
      <w:r>
        <w:rPr>
          <w:rFonts w:eastAsia="黑体"/>
          <w:b/>
          <w:bCs/>
          <w:sz w:val="18"/>
          <w:szCs w:val="18"/>
        </w:rPr>
        <w:t>关键词</w:t>
      </w:r>
      <w:r>
        <w:rPr>
          <w:rFonts w:eastAsia="黑体"/>
          <w:b/>
          <w:bCs/>
        </w:rPr>
        <w:t>：</w:t>
      </w:r>
      <w:r>
        <w:rPr>
          <w:rFonts w:hint="eastAsia" w:ascii="楷体" w:hAnsi="楷体" w:eastAsia="楷体"/>
          <w:sz w:val="18"/>
          <w:szCs w:val="18"/>
        </w:rPr>
        <w:t>光刻热点检测，深度学习，图神经网络，度量学习，多尺度图建模</w:t>
      </w:r>
    </w:p>
    <w:p w14:paraId="4DFF3E8F">
      <w:pPr>
        <w:tabs>
          <w:tab w:val="left" w:pos="1080"/>
          <w:tab w:val="left" w:pos="1260"/>
        </w:tabs>
        <w:adjustRightInd w:val="0"/>
        <w:snapToGrid w:val="0"/>
        <w:spacing w:line="320" w:lineRule="exact"/>
        <w:ind w:left="781" w:leftChars="200" w:right="420" w:rightChars="200" w:hanging="361" w:hangingChars="200"/>
        <w:rPr>
          <w:rFonts w:hint="eastAsia"/>
        </w:rPr>
      </w:pPr>
      <w:r>
        <w:rPr>
          <w:rFonts w:eastAsia="黑体"/>
          <w:b/>
          <w:bCs/>
          <w:sz w:val="18"/>
          <w:szCs w:val="18"/>
        </w:rPr>
        <w:t>评阅人评语</w:t>
      </w:r>
      <w:r>
        <w:rPr>
          <w:b/>
          <w:bCs/>
        </w:rPr>
        <w:t>：</w:t>
      </w:r>
      <w:r>
        <w:rPr>
          <w:rFonts w:hint="eastAsia" w:ascii="楷体" w:hAnsi="楷体" w:eastAsia="楷体"/>
          <w:sz w:val="18"/>
          <w:szCs w:val="18"/>
        </w:rPr>
        <w:t>该方案针对集成电路光刻热点检测任务提出了多尺度图结构建模方法以及与之匹配的度量学习基准模型、图神经网络改进模型，是一个完整、实用、有效且具有创新性的技术方案。</w:t>
      </w:r>
      <w:r>
        <w:rPr>
          <w:rFonts w:ascii="楷体" w:hAnsi="楷体" w:eastAsia="楷体"/>
          <w:sz w:val="18"/>
          <w:szCs w:val="18"/>
        </w:rPr>
        <w:t>（评阅人：</w:t>
      </w:r>
      <w:r>
        <w:rPr>
          <w:rFonts w:hint="eastAsia" w:ascii="楷体" w:hAnsi="楷体" w:eastAsia="楷体"/>
          <w:sz w:val="18"/>
          <w:szCs w:val="18"/>
        </w:rPr>
        <w:t>李明</w:t>
      </w:r>
      <w:r>
        <w:rPr>
          <w:rFonts w:ascii="楷体" w:hAnsi="楷体" w:eastAsia="楷体"/>
          <w:sz w:val="18"/>
          <w:szCs w:val="18"/>
        </w:rPr>
        <w:t>副教授）</w:t>
      </w:r>
    </w:p>
    <w:p w14:paraId="540FDE6C">
      <w:pPr>
        <w:pStyle w:val="30"/>
      </w:pPr>
      <w:r>
        <w:t>1</w:t>
      </w:r>
      <w:r>
        <w:rPr>
          <w:rFonts w:hint="eastAsia"/>
        </w:rPr>
        <w:t>多尺度图族结构的建模方法设计</w:t>
      </w:r>
    </w:p>
    <w:p w14:paraId="402F1C37">
      <w:pPr>
        <w:pStyle w:val="3"/>
        <w:tabs>
          <w:tab w:val="left" w:pos="1080"/>
          <w:tab w:val="left" w:pos="1260"/>
        </w:tabs>
        <w:adjustRightInd w:val="0"/>
        <w:snapToGrid w:val="0"/>
        <w:spacing w:line="340" w:lineRule="exact"/>
        <w:ind w:firstLine="422" w:firstLineChars="200"/>
        <w:outlineLvl w:val="2"/>
        <w:rPr>
          <w:rFonts w:hint="eastAsia" w:eastAsia="黑体"/>
          <w:b/>
          <w:bCs/>
          <w:sz w:val="21"/>
          <w:szCs w:val="21"/>
        </w:rPr>
      </w:pPr>
      <w:r>
        <w:rPr>
          <w:rFonts w:hint="eastAsia" w:eastAsia="黑体"/>
          <w:b/>
          <w:bCs/>
          <w:sz w:val="21"/>
          <w:szCs w:val="21"/>
        </w:rPr>
        <w:t>1</w:t>
      </w:r>
      <w:r>
        <w:rPr>
          <w:rFonts w:eastAsia="黑体"/>
          <w:b/>
          <w:bCs/>
          <w:sz w:val="21"/>
          <w:szCs w:val="21"/>
        </w:rPr>
        <w:t>.1</w:t>
      </w:r>
      <w:r>
        <w:rPr>
          <w:rFonts w:hint="eastAsia" w:eastAsia="黑体"/>
          <w:b/>
          <w:bCs/>
          <w:sz w:val="21"/>
          <w:szCs w:val="21"/>
        </w:rPr>
        <w:t>图族结构设计</w:t>
      </w:r>
    </w:p>
    <w:p w14:paraId="5B80B837">
      <w:pPr>
        <w:pStyle w:val="32"/>
      </w:pPr>
      <w:r>
        <w:rPr>
          <w:rFonts w:hint="eastAsia"/>
        </w:rPr>
        <w:t>为充分表达光刻版图中局部与宏观的几何拓扑特征，本文提出了“图族”结构建模方式，包含25个局部子图与一个全局大图。子图按版图区域划分为等距划块单元，每个子图聚焦于表达对应区域的细节属性与局部结构，构造如图1所示；大图则以各子图为节点，捕捉它们之间的上下文结构依赖关系，从而实现多尺度融合，其构造如图2所示。该设计不仅保留了子图的独立表达性，也增强了宏观空间组织的建模能力，有效缓解传统图模型难以同时兼顾局部与整体表示的问题。</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705"/>
        <w:gridCol w:w="5149"/>
      </w:tblGrid>
      <w:tr w14:paraId="4AF26A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814" w:type="dxa"/>
            <w:vAlign w:val="center"/>
          </w:tcPr>
          <w:p w14:paraId="0C788E2E">
            <w:pPr>
              <w:tabs>
                <w:tab w:val="left" w:pos="1080"/>
                <w:tab w:val="left" w:pos="1260"/>
              </w:tabs>
              <w:snapToGrid w:val="0"/>
              <w:spacing w:line="360" w:lineRule="auto"/>
              <w:jc w:val="center"/>
              <w:rPr>
                <w:kern w:val="0"/>
                <w:sz w:val="24"/>
                <w:szCs w:val="21"/>
              </w:rPr>
            </w:pPr>
            <w:r>
              <w:rPr>
                <w:kern w:val="0"/>
                <w:sz w:val="24"/>
                <w:szCs w:val="21"/>
              </w:rPr>
              <w:drawing>
                <wp:inline distT="0" distB="0" distL="0" distR="0">
                  <wp:extent cx="2754630" cy="1165225"/>
                  <wp:effectExtent l="0" t="0" r="7620" b="0"/>
                  <wp:docPr id="11825603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560397" name="图片 1"/>
                          <pic:cNvPicPr>
                            <a:picLocks noChangeAspect="1"/>
                          </pic:cNvPicPr>
                        </pic:nvPicPr>
                        <pic:blipFill>
                          <a:blip r:embed="rId5" cstate="print"/>
                          <a:stretch>
                            <a:fillRect/>
                          </a:stretch>
                        </pic:blipFill>
                        <pic:spPr>
                          <a:xfrm>
                            <a:off x="0" y="0"/>
                            <a:ext cx="2773381" cy="1173101"/>
                          </a:xfrm>
                          <a:prstGeom prst="rect">
                            <a:avLst/>
                          </a:prstGeom>
                        </pic:spPr>
                      </pic:pic>
                    </a:graphicData>
                  </a:graphic>
                </wp:inline>
              </w:drawing>
            </w:r>
          </w:p>
          <w:p w14:paraId="250BF983">
            <w:pPr>
              <w:tabs>
                <w:tab w:val="left" w:pos="1080"/>
                <w:tab w:val="left" w:pos="1260"/>
              </w:tabs>
              <w:snapToGrid w:val="0"/>
              <w:ind w:firstLine="300" w:firstLineChars="200"/>
              <w:jc w:val="center"/>
              <w:rPr>
                <w:kern w:val="0"/>
                <w:sz w:val="15"/>
                <w:szCs w:val="15"/>
              </w:rPr>
            </w:pPr>
            <w:r>
              <w:rPr>
                <w:rFonts w:hint="eastAsia"/>
                <w:kern w:val="0"/>
                <w:sz w:val="15"/>
                <w:szCs w:val="15"/>
              </w:rPr>
              <w:t>1-红色箭头：子图水平连接边；2-橙色箭头：子图垂直连接边；3-紫色箭头：子图多边形连接边</w:t>
            </w:r>
          </w:p>
          <w:p w14:paraId="07F32B45">
            <w:pPr>
              <w:tabs>
                <w:tab w:val="left" w:pos="1080"/>
                <w:tab w:val="left" w:pos="1260"/>
              </w:tabs>
              <w:snapToGrid w:val="0"/>
              <w:ind w:firstLine="360" w:firstLineChars="200"/>
              <w:jc w:val="center"/>
              <w:rPr>
                <w:rFonts w:hint="eastAsia"/>
                <w:kern w:val="0"/>
                <w:szCs w:val="21"/>
              </w:rPr>
            </w:pPr>
            <w:r>
              <w:rPr>
                <w:rFonts w:hint="eastAsia"/>
                <w:kern w:val="0"/>
                <w:sz w:val="18"/>
                <w:szCs w:val="18"/>
              </w:rPr>
              <w:t>图1 子图层的节点空间布局示意图</w:t>
            </w:r>
          </w:p>
        </w:tc>
        <w:tc>
          <w:tcPr>
            <w:tcW w:w="4814" w:type="dxa"/>
            <w:vAlign w:val="bottom"/>
          </w:tcPr>
          <w:p w14:paraId="16CF9E28">
            <w:pPr>
              <w:pStyle w:val="32"/>
              <w:ind w:firstLine="0" w:firstLineChars="0"/>
              <w:jc w:val="center"/>
            </w:pPr>
            <w:r>
              <w:drawing>
                <wp:inline distT="0" distB="0" distL="0" distR="0">
                  <wp:extent cx="3132455" cy="1270000"/>
                  <wp:effectExtent l="0" t="0" r="0" b="6350"/>
                  <wp:docPr id="19360865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086522" name="图片 1"/>
                          <pic:cNvPicPr>
                            <a:picLocks noChangeAspect="1"/>
                          </pic:cNvPicPr>
                        </pic:nvPicPr>
                        <pic:blipFill>
                          <a:blip r:embed="rId6" cstate="print"/>
                          <a:stretch>
                            <a:fillRect/>
                          </a:stretch>
                        </pic:blipFill>
                        <pic:spPr>
                          <a:xfrm>
                            <a:off x="0" y="0"/>
                            <a:ext cx="3261224" cy="1321978"/>
                          </a:xfrm>
                          <a:prstGeom prst="rect">
                            <a:avLst/>
                          </a:prstGeom>
                        </pic:spPr>
                      </pic:pic>
                    </a:graphicData>
                  </a:graphic>
                </wp:inline>
              </w:drawing>
            </w:r>
          </w:p>
          <w:p w14:paraId="35F31ED4">
            <w:pPr>
              <w:pStyle w:val="32"/>
              <w:ind w:firstLine="0" w:firstLineChars="0"/>
              <w:jc w:val="center"/>
              <w:rPr>
                <w:rFonts w:hint="eastAsia"/>
                <w:kern w:val="0"/>
                <w:sz w:val="18"/>
                <w:szCs w:val="18"/>
              </w:rPr>
            </w:pPr>
            <w:r>
              <w:rPr>
                <w:rFonts w:hint="eastAsia"/>
                <w:kern w:val="0"/>
                <w:sz w:val="18"/>
                <w:szCs w:val="18"/>
              </w:rPr>
              <w:t>图2 大图层的节点空间布局示意图</w:t>
            </w:r>
          </w:p>
        </w:tc>
      </w:tr>
    </w:tbl>
    <w:p w14:paraId="3CCB1250">
      <w:pPr>
        <w:pStyle w:val="3"/>
        <w:tabs>
          <w:tab w:val="left" w:pos="1080"/>
          <w:tab w:val="left" w:pos="1260"/>
        </w:tabs>
        <w:adjustRightInd w:val="0"/>
        <w:snapToGrid w:val="0"/>
        <w:spacing w:line="340" w:lineRule="exact"/>
        <w:ind w:firstLine="422" w:firstLineChars="200"/>
        <w:outlineLvl w:val="2"/>
        <w:rPr>
          <w:rFonts w:hint="eastAsia" w:eastAsia="黑体"/>
          <w:b/>
          <w:bCs/>
          <w:sz w:val="21"/>
          <w:szCs w:val="21"/>
        </w:rPr>
      </w:pPr>
      <w:r>
        <w:rPr>
          <w:rFonts w:hint="eastAsia" w:eastAsia="黑体"/>
          <w:b/>
          <w:bCs/>
          <w:sz w:val="21"/>
          <w:szCs w:val="21"/>
        </w:rPr>
        <w:t>1</w:t>
      </w:r>
      <w:r>
        <w:rPr>
          <w:rFonts w:eastAsia="黑体"/>
          <w:b/>
          <w:bCs/>
          <w:sz w:val="21"/>
          <w:szCs w:val="21"/>
        </w:rPr>
        <w:t>.</w:t>
      </w:r>
      <w:r>
        <w:rPr>
          <w:rFonts w:hint="eastAsia" w:eastAsia="黑体"/>
          <w:b/>
          <w:bCs/>
          <w:sz w:val="21"/>
          <w:szCs w:val="21"/>
        </w:rPr>
        <w:t>2节点与边的属性设计</w:t>
      </w:r>
    </w:p>
    <w:p w14:paraId="2EE7E306">
      <w:pPr>
        <w:pStyle w:val="32"/>
      </w:pPr>
      <w:r>
        <w:rPr>
          <w:rFonts w:hint="eastAsia"/>
        </w:rPr>
        <w:t>在子图中，每个节点代表光刻区域中的多边形结构，分为水平线段节点、垂直线段节点与复杂多边形节点三类。节点属性不仅包含基础的几何形状特征，如长度、面积、邻边数量，还引入了基于离散傅里叶变换的频域统计特征。具体而言，相邻结构之间的边长重叠分布转化为频谱向量，增强了模型对结构分布模式的表达能力。边属性记录结构间的空间接触关系、相对方向和距离等信息，支持更复杂的模型推理。</w:t>
      </w:r>
    </w:p>
    <w:p w14:paraId="58C29777">
      <w:pPr>
        <w:pStyle w:val="3"/>
        <w:tabs>
          <w:tab w:val="left" w:pos="1080"/>
          <w:tab w:val="left" w:pos="1260"/>
        </w:tabs>
        <w:adjustRightInd w:val="0"/>
        <w:snapToGrid w:val="0"/>
        <w:spacing w:line="340" w:lineRule="exact"/>
        <w:ind w:firstLine="422" w:firstLineChars="200"/>
        <w:outlineLvl w:val="2"/>
        <w:rPr>
          <w:rFonts w:hint="eastAsia" w:eastAsia="黑体"/>
          <w:b/>
          <w:bCs/>
          <w:sz w:val="21"/>
          <w:szCs w:val="21"/>
        </w:rPr>
      </w:pPr>
      <w:r>
        <w:rPr>
          <w:rFonts w:hint="eastAsia" w:eastAsia="黑体"/>
          <w:b/>
          <w:bCs/>
          <w:sz w:val="21"/>
          <w:szCs w:val="21"/>
        </w:rPr>
        <w:t>1</w:t>
      </w:r>
      <w:r>
        <w:rPr>
          <w:rFonts w:eastAsia="黑体"/>
          <w:b/>
          <w:bCs/>
          <w:sz w:val="21"/>
          <w:szCs w:val="21"/>
        </w:rPr>
        <w:t>.</w:t>
      </w:r>
      <w:r>
        <w:rPr>
          <w:rFonts w:hint="eastAsia" w:eastAsia="黑体"/>
          <w:b/>
          <w:bCs/>
          <w:sz w:val="21"/>
          <w:szCs w:val="21"/>
        </w:rPr>
        <w:t>3构图规则设计</w:t>
      </w:r>
    </w:p>
    <w:p w14:paraId="59CBF66C">
      <w:pPr>
        <w:pStyle w:val="32"/>
      </w:pPr>
      <w:r>
        <w:t>在子图构建过程中，借鉴 Yu 等提出的完备版图划分方案</w:t>
      </w:r>
      <w:r>
        <w:rPr>
          <w:rFonts w:hint="eastAsia"/>
          <w:vertAlign w:val="superscript"/>
        </w:rPr>
        <w:t>[1]</w:t>
      </w:r>
      <w:r>
        <w:t>，通过规则化的水平与垂直扫描将多边形结构映射为图节点，并以接触关系为基础建立边连接。为避免冗余与低效传播，子图边的建立仅保留拓扑邻接且物理接近的结构配对。对于大图层，则以子图间共享边界或结构交叉作为连接标准，并进一步引入连接强度阈值，剔除弱连接子图对，仅保留高耦合区域之间的上下文路径，从而提高模型在全局层次上的注意力聚焦能力。</w:t>
      </w:r>
    </w:p>
    <w:p w14:paraId="0058BD3E">
      <w:pPr>
        <w:pStyle w:val="30"/>
      </w:pPr>
      <w:r>
        <w:rPr>
          <w:rFonts w:hint="eastAsia"/>
        </w:rPr>
        <w:t>2基于度量学习的基准模型设计</w:t>
      </w:r>
    </w:p>
    <w:p w14:paraId="5B1DE48B">
      <w:pPr>
        <w:pStyle w:val="32"/>
      </w:pPr>
      <w:r>
        <w:rPr>
          <w:rFonts w:hint="eastAsia"/>
        </w:rPr>
        <w:t>为构建对光刻版图中局部几何结构具有强表征能力的检测模型，本文设计了一种基于图像输入与度量学习机制的卷积神经网络（Convolutional Neural Network，CNN）模型作为基准方案，其总体框架如图3所示。该模型以光刻版图片段的灰度图像作为输入，采用Inception模块</w:t>
      </w:r>
      <w:r>
        <w:rPr>
          <w:rFonts w:hint="eastAsia"/>
          <w:vertAlign w:val="superscript"/>
        </w:rPr>
        <w:t>[2]</w:t>
      </w:r>
      <w:r>
        <w:rPr>
          <w:rFonts w:hint="eastAsia"/>
        </w:rPr>
        <w:t>对不同尺度的局部图案进行特征提取，结合优化后的通道与空间注意力机制</w:t>
      </w:r>
      <w:r>
        <w:rPr>
          <w:rFonts w:hint="eastAsia"/>
          <w:vertAlign w:val="superscript"/>
        </w:rPr>
        <w:t>[3]</w:t>
      </w:r>
      <w:r>
        <w:rPr>
          <w:rFonts w:hint="eastAsia"/>
        </w:rPr>
        <w:t>，以突出潜在热点区域的响应显著性。</w:t>
      </w:r>
    </w:p>
    <w:p w14:paraId="51122507">
      <w:pPr>
        <w:pStyle w:val="32"/>
      </w:pPr>
      <w:r>
        <w:rPr>
          <w:rFonts w:hint="eastAsia"/>
        </w:rPr>
        <w:t>模型训练过程采用双阶段结构。第一阶段为度量学习器训练，通过三元组损失函数实现：</w:t>
      </w:r>
    </w:p>
    <w:p w14:paraId="6CB5CE80">
      <w:pPr>
        <w:pStyle w:val="38"/>
        <w:rPr>
          <w:rFonts w:hint="eastAsia"/>
        </w:rPr>
      </w:pPr>
      <w:r>
        <w:tab/>
      </w:r>
      <w:r>
        <w:rPr>
          <w:position w:val="-16"/>
        </w:rPr>
        <w:object>
          <v:shape id="_x0000_i1025" o:spt="75" type="#_x0000_t75" style="height:21.3pt;width:160.3pt;" o:ole="t" filled="f" o:preferrelative="t" stroked="f" coordsize="21600,21600">
            <v:path/>
            <v:fill on="f" focussize="0,0"/>
            <v:stroke on="f" joinstyle="miter"/>
            <v:imagedata r:id="rId8" o:title=""/>
            <o:lock v:ext="edit" aspectratio="t"/>
            <w10:wrap type="none"/>
            <w10:anchorlock/>
          </v:shape>
          <o:OLEObject Type="Embed" ProgID="Equation.DSMT4" ShapeID="_x0000_i1025" DrawAspect="Content" ObjectID="_1468075725" r:id="rId7">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 xml:space="preserve">（</w:instrText>
      </w:r>
      <w:r>
        <w:fldChar w:fldCharType="begin"/>
      </w:r>
      <w:r>
        <w:instrText xml:space="preserve"> SEQ MTEqn \c \* Arabic \* MERGEFORMAT </w:instrText>
      </w:r>
      <w:r>
        <w:fldChar w:fldCharType="separate"/>
      </w:r>
      <w:r>
        <w:instrText xml:space="preserve">1</w:instrText>
      </w:r>
      <w:r>
        <w:fldChar w:fldCharType="end"/>
      </w:r>
      <w:r>
        <w:rPr>
          <w:rFonts w:hint="eastAsia"/>
        </w:rPr>
        <w:instrText xml:space="preserve">）</w:instrText>
      </w:r>
      <w:r>
        <w:fldChar w:fldCharType="end"/>
      </w:r>
    </w:p>
    <w:p w14:paraId="3BEB942B">
      <w:pPr>
        <w:pStyle w:val="32"/>
      </w:pPr>
      <w:r>
        <w:rPr>
          <w:rFonts w:hint="eastAsia"/>
        </w:rPr>
        <w:t>其中，</w:t>
      </w:r>
      <w:r>
        <w:rPr>
          <w:position w:val="-10"/>
        </w:rPr>
        <w:object>
          <v:shape id="_x0000_i1026" o:spt="75" type="#_x0000_t75" style="height:15.05pt;width:13.15pt;" o:ole="t" filled="f" o:preferrelative="t" stroked="f" coordsize="21600,21600">
            <v:path/>
            <v:fill on="f" focussize="0,0"/>
            <v:stroke on="f" joinstyle="miter"/>
            <v:imagedata r:id="rId10" o:title=""/>
            <o:lock v:ext="edit" aspectratio="t"/>
            <w10:wrap type="none"/>
            <w10:anchorlock/>
          </v:shape>
          <o:OLEObject Type="Embed" ProgID="Equation.DSMT4" ShapeID="_x0000_i1026" DrawAspect="Content" ObjectID="_1468075726" r:id="rId9">
            <o:LockedField>false</o:LockedField>
          </o:OLEObject>
        </w:object>
      </w:r>
      <w:r>
        <w:rPr>
          <w:rFonts w:hint="eastAsia"/>
        </w:rPr>
        <w:t>、</w:t>
      </w:r>
      <w:r>
        <w:rPr>
          <w:position w:val="-14"/>
        </w:rPr>
        <w:object>
          <v:shape id="_x0000_i1027" o:spt="75" type="#_x0000_t75" style="height:16.9pt;width:13.75pt;" o:ole="t" filled="f" o:preferrelative="t" stroked="f" coordsize="21600,21600">
            <v:path/>
            <v:fill on="f" focussize="0,0"/>
            <v:stroke on="f" joinstyle="miter"/>
            <v:imagedata r:id="rId12" o:title=""/>
            <o:lock v:ext="edit" aspectratio="t"/>
            <w10:wrap type="none"/>
            <w10:anchorlock/>
          </v:shape>
          <o:OLEObject Type="Embed" ProgID="Equation.DSMT4" ShapeID="_x0000_i1027" DrawAspect="Content" ObjectID="_1468075727" r:id="rId11">
            <o:LockedField>false</o:LockedField>
          </o:OLEObject>
        </w:object>
      </w:r>
      <w:r>
        <w:rPr>
          <w:rFonts w:hint="eastAsia"/>
        </w:rPr>
        <w:t>、</w:t>
      </w:r>
      <w:r>
        <w:rPr>
          <w:position w:val="-10"/>
        </w:rPr>
        <w:object>
          <v:shape id="_x0000_i1028" o:spt="75" type="#_x0000_t75" style="height:15.05pt;width:13.15pt;" o:ole="t" filled="f" o:preferrelative="t" stroked="f" coordsize="21600,21600">
            <v:path/>
            <v:fill on="f" focussize="0,0"/>
            <v:stroke on="f" joinstyle="miter"/>
            <v:imagedata r:id="rId14" o:title=""/>
            <o:lock v:ext="edit" aspectratio="t"/>
            <w10:wrap type="none"/>
            <w10:anchorlock/>
          </v:shape>
          <o:OLEObject Type="Embed" ProgID="Equation.DSMT4" ShapeID="_x0000_i1028" DrawAspect="Content" ObjectID="_1468075728" r:id="rId13">
            <o:LockedField>false</o:LockedField>
          </o:OLEObject>
        </w:object>
      </w:r>
      <w:r>
        <w:rPr>
          <w:rFonts w:hint="eastAsia"/>
        </w:rPr>
        <w:t>分别表示锚点、正样本与负样本的特征向量，</w:t>
      </w:r>
      <w:r>
        <w:rPr>
          <w:position w:val="-6"/>
        </w:rPr>
        <w:object>
          <v:shape id="_x0000_i1029" o:spt="75" type="#_x0000_t75" style="height:10pt;width:11.25pt;" o:ole="t" filled="f" o:preferrelative="t" stroked="f" coordsize="21600,21600">
            <v:path/>
            <v:fill on="f" focussize="0,0"/>
            <v:stroke on="f" joinstyle="miter"/>
            <v:imagedata r:id="rId16" o:title=""/>
            <o:lock v:ext="edit" aspectratio="t"/>
            <w10:wrap type="none"/>
            <w10:anchorlock/>
          </v:shape>
          <o:OLEObject Type="Embed" ProgID="Equation.DSMT4" ShapeID="_x0000_i1029" DrawAspect="Content" ObjectID="_1468075729" r:id="rId15">
            <o:LockedField>false</o:LockedField>
          </o:OLEObject>
        </w:object>
      </w:r>
      <w:r>
        <w:rPr>
          <w:rFonts w:hint="eastAsia"/>
        </w:rPr>
        <w:t>为间隔系数。采用半难负样本挖掘策略，使得模型在判别边界附近构建更具泛化能力的嵌入空间。第二阶段冻结度量学习器参数，接入多层感知器（Multi-Layer Perceptron，MLP）分类器进行热点与非热点的二分类训练。</w:t>
      </w:r>
    </w:p>
    <w:p w14:paraId="30B2083C">
      <w:pPr>
        <w:pStyle w:val="32"/>
        <w:spacing w:line="240" w:lineRule="auto"/>
        <w:ind w:firstLine="0" w:firstLineChars="0"/>
        <w:jc w:val="center"/>
      </w:pPr>
      <w:r>
        <w:drawing>
          <wp:inline distT="0" distB="0" distL="0" distR="0">
            <wp:extent cx="5078730" cy="2258695"/>
            <wp:effectExtent l="0" t="0" r="7620" b="8255"/>
            <wp:docPr id="20717728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772818" name="图片 1"/>
                    <pic:cNvPicPr>
                      <a:picLocks noChangeAspect="1"/>
                    </pic:cNvPicPr>
                  </pic:nvPicPr>
                  <pic:blipFill>
                    <a:blip r:embed="rId17"/>
                    <a:stretch>
                      <a:fillRect/>
                    </a:stretch>
                  </pic:blipFill>
                  <pic:spPr>
                    <a:xfrm>
                      <a:off x="0" y="0"/>
                      <a:ext cx="5110941" cy="2272825"/>
                    </a:xfrm>
                    <a:prstGeom prst="rect">
                      <a:avLst/>
                    </a:prstGeom>
                  </pic:spPr>
                </pic:pic>
              </a:graphicData>
            </a:graphic>
          </wp:inline>
        </w:drawing>
      </w:r>
    </w:p>
    <w:p w14:paraId="24F6B805">
      <w:pPr>
        <w:pStyle w:val="32"/>
        <w:spacing w:line="240" w:lineRule="auto"/>
        <w:ind w:firstLine="0" w:firstLineChars="0"/>
        <w:jc w:val="center"/>
        <w:rPr>
          <w:rFonts w:hint="eastAsia"/>
        </w:rPr>
      </w:pPr>
      <w:r>
        <w:rPr>
          <w:rFonts w:hint="eastAsia"/>
          <w:kern w:val="0"/>
          <w:sz w:val="18"/>
          <w:szCs w:val="18"/>
        </w:rPr>
        <w:t>图3 基准模型总体框架图</w:t>
      </w:r>
    </w:p>
    <w:p w14:paraId="11262305">
      <w:pPr>
        <w:pStyle w:val="30"/>
      </w:pPr>
      <w:r>
        <w:rPr>
          <w:rFonts w:hint="eastAsia"/>
        </w:rPr>
        <w:t>3基于图族结构输入与图神经网络的改进模型设计</w:t>
      </w:r>
    </w:p>
    <w:p w14:paraId="7F1A41F7">
      <w:pPr>
        <w:pStyle w:val="3"/>
        <w:tabs>
          <w:tab w:val="left" w:pos="1080"/>
          <w:tab w:val="left" w:pos="1260"/>
        </w:tabs>
        <w:adjustRightInd w:val="0"/>
        <w:snapToGrid w:val="0"/>
        <w:spacing w:line="340" w:lineRule="exact"/>
        <w:ind w:firstLine="422" w:firstLineChars="200"/>
        <w:outlineLvl w:val="2"/>
        <w:rPr>
          <w:rFonts w:hint="eastAsia" w:eastAsia="黑体"/>
          <w:b/>
          <w:bCs/>
          <w:sz w:val="21"/>
          <w:szCs w:val="21"/>
        </w:rPr>
      </w:pPr>
      <w:r>
        <w:rPr>
          <w:rFonts w:hint="eastAsia" w:eastAsia="黑体"/>
          <w:b/>
          <w:bCs/>
          <w:sz w:val="21"/>
          <w:szCs w:val="21"/>
        </w:rPr>
        <w:t>3.1多分支网络结构设计</w:t>
      </w:r>
    </w:p>
    <w:p w14:paraId="6947605F">
      <w:pPr>
        <w:pStyle w:val="32"/>
        <w:rPr>
          <w:rFonts w:hint="eastAsia"/>
        </w:rPr>
      </w:pPr>
      <w:r>
        <w:rPr>
          <w:rFonts w:hint="eastAsia"/>
        </w:rPr>
        <w:t>本模型以“图族”结构为输入，将整个光刻版图划分为四类图结构：内环、中环、外环三类局部子图，以及一个全局大图。每类图分别输入一个独立的图神经网络（Graph Neural Network，GNN）分支，参数互不共享。三类子图分别聚焦于热点区域的不同几何尺度，内环覆盖核心热点区，中环与外环分别提供边界与上下文补充信息；大图以子图为节点构建，用于建模区域间宏观拓扑关系。模型总体结构框架如图4所示。该结构在保持多尺度表达能力的同时，实现了结构解耦和分支并行，适配图族建模的数据结构。与Sun等提出的传统单一图建模方式相比</w:t>
      </w:r>
      <w:r>
        <w:rPr>
          <w:rFonts w:hint="eastAsia"/>
          <w:vertAlign w:val="superscript"/>
        </w:rPr>
        <w:t>[4]</w:t>
      </w:r>
      <w:r>
        <w:rPr>
          <w:rFonts w:hint="eastAsia"/>
        </w:rPr>
        <w:t>，该结构在特征完整性与训练效率上均具明显优势。</w:t>
      </w:r>
    </w:p>
    <w:p w14:paraId="28F34C7A">
      <w:pPr>
        <w:pStyle w:val="3"/>
        <w:tabs>
          <w:tab w:val="left" w:pos="1080"/>
          <w:tab w:val="left" w:pos="1260"/>
        </w:tabs>
        <w:adjustRightInd w:val="0"/>
        <w:snapToGrid w:val="0"/>
        <w:spacing w:line="340" w:lineRule="exact"/>
        <w:ind w:firstLine="422" w:firstLineChars="200"/>
        <w:outlineLvl w:val="2"/>
        <w:rPr>
          <w:rFonts w:hint="eastAsia" w:eastAsia="黑体"/>
          <w:b/>
          <w:bCs/>
          <w:sz w:val="21"/>
          <w:szCs w:val="21"/>
        </w:rPr>
      </w:pPr>
      <w:r>
        <w:rPr>
          <w:rFonts w:hint="eastAsia" w:eastAsia="黑体"/>
          <w:b/>
          <w:bCs/>
          <w:sz w:val="21"/>
          <w:szCs w:val="21"/>
        </w:rPr>
        <w:t>3.2消息传递与特征融合模块设计</w:t>
      </w:r>
    </w:p>
    <w:p w14:paraId="56E15C9C">
      <w:pPr>
        <w:pStyle w:val="32"/>
      </w:pPr>
      <w:r>
        <w:rPr>
          <w:rFonts w:hint="eastAsia"/>
        </w:rPr>
        <w:t>各 GNN 分支采用三跳消息传递机制，并在第</w:t>
      </w:r>
      <w:r>
        <w:rPr>
          <w:position w:val="-6"/>
        </w:rPr>
        <w:object>
          <v:shape id="_x0000_i1030" o:spt="75" type="#_x0000_t75" style="height:13.15pt;width:8.75pt;" o:ole="t" filled="f" o:preferrelative="t" stroked="f" coordsize="21600,21600">
            <v:path/>
            <v:fill on="f" focussize="0,0"/>
            <v:stroke on="f" joinstyle="miter"/>
            <v:imagedata r:id="rId19" o:title=""/>
            <o:lock v:ext="edit" aspectratio="t"/>
            <w10:wrap type="none"/>
            <w10:anchorlock/>
          </v:shape>
          <o:OLEObject Type="Embed" ProgID="Equation.DSMT4" ShapeID="_x0000_i1030" DrawAspect="Content" ObjectID="_1468075730" r:id="rId18">
            <o:LockedField>false</o:LockedField>
          </o:OLEObject>
        </w:object>
      </w:r>
      <w:r>
        <w:rPr>
          <w:rFonts w:hint="eastAsia"/>
        </w:rPr>
        <w:t>跳中引入残差连接与边权调控，以提升深层依赖建模能力。该模块设计框架图如图5所示。每一跳中，节点嵌入按如下公式更新：</w:t>
      </w:r>
    </w:p>
    <w:p w14:paraId="0296D105">
      <w:pPr>
        <w:pStyle w:val="38"/>
        <w:spacing w:line="240" w:lineRule="auto"/>
      </w:pPr>
      <w:r>
        <w:tab/>
      </w:r>
      <w:r>
        <w:rPr>
          <w:position w:val="-34"/>
        </w:rPr>
        <w:object>
          <v:shape id="_x0000_i1031" o:spt="75" type="#_x0000_t75" style="height:38.8pt;width:189.1pt;" o:ole="t" filled="f" o:preferrelative="t" stroked="f" coordsize="21600,21600">
            <v:path/>
            <v:fill on="f" focussize="0,0"/>
            <v:stroke on="f" joinstyle="miter"/>
            <v:imagedata r:id="rId21" o:title=""/>
            <o:lock v:ext="edit" aspectratio="t"/>
            <w10:wrap type="none"/>
            <w10:anchorlock/>
          </v:shape>
          <o:OLEObject Type="Embed" ProgID="Equation.DSMT4" ShapeID="_x0000_i1031" DrawAspect="Content" ObjectID="_1468075731" r:id="rId20">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 xml:space="preserve">（</w:instrText>
      </w:r>
      <w:r>
        <w:fldChar w:fldCharType="begin"/>
      </w:r>
      <w:r>
        <w:instrText xml:space="preserve"> SEQ MTEqn \c \* Arabic \* MERGEFORMAT </w:instrText>
      </w:r>
      <w:r>
        <w:fldChar w:fldCharType="separate"/>
      </w:r>
      <w:r>
        <w:instrText xml:space="preserve">2</w:instrText>
      </w:r>
      <w:r>
        <w:fldChar w:fldCharType="end"/>
      </w:r>
      <w:r>
        <w:rPr>
          <w:rFonts w:hint="eastAsia"/>
        </w:rPr>
        <w:instrText xml:space="preserve">）</w:instrText>
      </w:r>
      <w:r>
        <w:fldChar w:fldCharType="end"/>
      </w:r>
    </w:p>
    <w:p w14:paraId="3F8FDA3A">
      <w:pPr>
        <w:pStyle w:val="32"/>
      </w:pPr>
      <w:r>
        <w:rPr>
          <w:rFonts w:hint="eastAsia"/>
        </w:rPr>
        <w:t>其中，</w:t>
      </w:r>
      <w:r>
        <w:rPr>
          <w:position w:val="-10"/>
        </w:rPr>
        <w:object>
          <v:shape id="_x0000_i1032" o:spt="75" type="#_x0000_t75" style="height:16.9pt;width:18.15pt;" o:ole="t" filled="f" o:preferrelative="t" stroked="f" coordsize="21600,21600">
            <v:path/>
            <v:fill on="f" focussize="0,0"/>
            <v:stroke on="f" joinstyle="miter"/>
            <v:imagedata r:id="rId23" o:title=""/>
            <o:lock v:ext="edit" aspectratio="t"/>
            <w10:wrap type="none"/>
            <w10:anchorlock/>
          </v:shape>
          <o:OLEObject Type="Embed" ProgID="Equation.DSMT4" ShapeID="_x0000_i1032" DrawAspect="Content" ObjectID="_1468075732" r:id="rId22">
            <o:LockedField>false</o:LockedField>
          </o:OLEObject>
        </w:object>
      </w:r>
      <w:r>
        <w:rPr>
          <w:rFonts w:hint="eastAsia"/>
        </w:rPr>
        <w:t>表示第</w:t>
      </w:r>
      <w:r>
        <w:rPr>
          <w:position w:val="-6"/>
        </w:rPr>
        <w:object>
          <v:shape id="_x0000_i1033" o:spt="75" type="#_x0000_t75" style="height:13.15pt;width:8.75pt;" o:ole="t" filled="f" o:preferrelative="t" stroked="f" coordsize="21600,21600">
            <v:path/>
            <v:fill on="f" focussize="0,0"/>
            <v:stroke on="f" joinstyle="miter"/>
            <v:imagedata r:id="rId25" o:title=""/>
            <o:lock v:ext="edit" aspectratio="t"/>
            <w10:wrap type="none"/>
            <w10:anchorlock/>
          </v:shape>
          <o:OLEObject Type="Embed" ProgID="Equation.DSMT4" ShapeID="_x0000_i1033" DrawAspect="Content" ObjectID="_1468075733" r:id="rId24">
            <o:LockedField>false</o:LockedField>
          </o:OLEObject>
        </w:object>
      </w:r>
      <w:r>
        <w:rPr>
          <w:rFonts w:hint="eastAsia"/>
        </w:rPr>
        <w:t>层节点</w:t>
      </w:r>
      <w:r>
        <w:rPr>
          <w:position w:val="-6"/>
        </w:rPr>
        <w:object>
          <v:shape id="_x0000_i1034" o:spt="75" type="#_x0000_t75" style="height:10pt;width:8.15pt;" o:ole="t" filled="f" o:preferrelative="t" stroked="f" coordsize="21600,21600">
            <v:path/>
            <v:fill on="f" focussize="0,0"/>
            <v:stroke on="f" joinstyle="miter"/>
            <v:imagedata r:id="rId27" o:title=""/>
            <o:lock v:ext="edit" aspectratio="t"/>
            <w10:wrap type="none"/>
            <w10:anchorlock/>
          </v:shape>
          <o:OLEObject Type="Embed" ProgID="Equation.DSMT4" ShapeID="_x0000_i1034" DrawAspect="Content" ObjectID="_1468075734" r:id="rId26">
            <o:LockedField>false</o:LockedField>
          </o:OLEObject>
        </w:object>
      </w:r>
      <w:r>
        <w:rPr>
          <w:rFonts w:hint="eastAsia"/>
        </w:rPr>
        <w:t>的特征表示，</w:t>
      </w:r>
      <w:r>
        <w:rPr>
          <w:position w:val="-10"/>
        </w:rPr>
        <w:object>
          <v:shape id="_x0000_i1035" o:spt="75" type="#_x0000_t75" style="height:15.05pt;width:15.05pt;" o:ole="t" filled="f" o:preferrelative="t" stroked="f" coordsize="21600,21600">
            <v:path/>
            <v:fill on="f" focussize="0,0"/>
            <v:stroke on="f" joinstyle="miter"/>
            <v:imagedata r:id="rId29" o:title=""/>
            <o:lock v:ext="edit" aspectratio="t"/>
            <w10:wrap type="none"/>
            <w10:anchorlock/>
          </v:shape>
          <o:OLEObject Type="Embed" ProgID="Equation.DSMT4" ShapeID="_x0000_i1035" DrawAspect="Content" ObjectID="_1468075735" r:id="rId28">
            <o:LockedField>false</o:LockedField>
          </o:OLEObject>
        </w:object>
      </w:r>
      <w:r>
        <w:rPr>
          <w:rFonts w:hint="eastAsia"/>
        </w:rPr>
        <w:t>为边属性，</w:t>
      </w:r>
      <w:r>
        <w:rPr>
          <w:position w:val="-10"/>
        </w:rPr>
        <w:object>
          <v:shape id="_x0000_i1036" o:spt="75" type="#_x0000_t75" style="height:15.05pt;width:35.05pt;" o:ole="t" filled="f" o:preferrelative="t" stroked="f" coordsize="21600,21600">
            <v:path/>
            <v:fill on="f" focussize="0,0"/>
            <v:stroke on="f" joinstyle="miter"/>
            <v:imagedata r:id="rId31" o:title=""/>
            <o:lock v:ext="edit" aspectratio="t"/>
            <w10:wrap type="none"/>
            <w10:anchorlock/>
          </v:shape>
          <o:OLEObject Type="Embed" ProgID="Equation.DSMT4" ShapeID="_x0000_i1036" DrawAspect="Content" ObjectID="_1468075736" r:id="rId30">
            <o:LockedField>false</o:LockedField>
          </o:OLEObject>
        </w:object>
      </w:r>
      <w:r>
        <w:rPr>
          <w:rFonts w:hint="eastAsia"/>
        </w:rPr>
        <w:t>为消息函数。多跳机制允许节点捕捉远程结构关系，尤其在大图层中表现出更强的上下文建模能力。</w:t>
      </w:r>
    </w:p>
    <w:p w14:paraId="52502109">
      <w:pPr>
        <w:pStyle w:val="32"/>
      </w:pPr>
      <w:r>
        <w:rPr>
          <w:rFonts w:hint="eastAsia"/>
        </w:rPr>
        <w:t>为增强模型的热点区域识别敏感性，在各分支中引入通道注意力门控机制，实现对不同通道特征的加权控制。具体地，设输入特征图为</w:t>
      </w:r>
      <w:r>
        <w:rPr>
          <w:position w:val="-4"/>
        </w:rPr>
        <w:object>
          <v:shape id="_x0000_i1037" o:spt="75" type="#_x0000_t75" style="height:13.75pt;width:55.1pt;" o:ole="t" filled="f" o:preferrelative="t" stroked="f" coordsize="21600,21600">
            <v:path/>
            <v:fill on="f" focussize="0,0"/>
            <v:stroke on="f" joinstyle="miter"/>
            <v:imagedata r:id="rId33" o:title=""/>
            <o:lock v:ext="edit" aspectratio="t"/>
            <w10:wrap type="none"/>
            <w10:anchorlock/>
          </v:shape>
          <o:OLEObject Type="Embed" ProgID="Equation.DSMT4" ShapeID="_x0000_i1037" DrawAspect="Content" ObjectID="_1468075737" r:id="rId32">
            <o:LockedField>false</o:LockedField>
          </o:OLEObject>
        </w:object>
      </w:r>
      <w:r>
        <w:rPr>
          <w:rFonts w:hint="eastAsia"/>
        </w:rPr>
        <w:t>，其中</w:t>
      </w:r>
      <w:r>
        <w:rPr>
          <w:position w:val="-6"/>
        </w:rPr>
        <w:object>
          <v:shape id="_x0000_i1038" o:spt="75" type="#_x0000_t75" style="height:11.9pt;width:11.25pt;" o:ole="t" filled="f" o:preferrelative="t" stroked="f" coordsize="21600,21600">
            <v:path/>
            <v:fill on="f" focussize="0,0"/>
            <v:stroke on="f" joinstyle="miter"/>
            <v:imagedata r:id="rId35" o:title=""/>
            <o:lock v:ext="edit" aspectratio="t"/>
            <w10:wrap type="none"/>
            <w10:anchorlock/>
          </v:shape>
          <o:OLEObject Type="Embed" ProgID="Equation.DSMT4" ShapeID="_x0000_i1038" DrawAspect="Content" ObjectID="_1468075738" r:id="rId34">
            <o:LockedField>false</o:LockedField>
          </o:OLEObject>
        </w:object>
      </w:r>
      <w:r>
        <w:rPr>
          <w:rFonts w:hint="eastAsia"/>
        </w:rPr>
        <w:t>为通道数，</w:t>
      </w:r>
      <w:r>
        <w:rPr>
          <w:position w:val="-4"/>
        </w:rPr>
        <w:object>
          <v:shape id="_x0000_i1039" o:spt="75" type="#_x0000_t75" style="height:11.25pt;width:13.15pt;" o:ole="t" filled="f" o:preferrelative="t" stroked="f" coordsize="21600,21600">
            <v:path/>
            <v:fill on="f" focussize="0,0"/>
            <v:stroke on="f" joinstyle="miter"/>
            <v:imagedata r:id="rId37" o:title=""/>
            <o:lock v:ext="edit" aspectratio="t"/>
            <w10:wrap type="none"/>
            <w10:anchorlock/>
          </v:shape>
          <o:OLEObject Type="Embed" ProgID="Equation.DSMT4" ShapeID="_x0000_i1039" DrawAspect="Content" ObjectID="_1468075739" r:id="rId36">
            <o:LockedField>false</o:LockedField>
          </o:OLEObject>
        </w:object>
      </w:r>
      <w:r>
        <w:rPr>
          <w:rFonts w:hint="eastAsia"/>
        </w:rPr>
        <w:t>、</w:t>
      </w:r>
      <w:r>
        <w:rPr>
          <w:position w:val="-6"/>
        </w:rPr>
        <w:object>
          <v:shape id="_x0000_i1040" o:spt="75" type="#_x0000_t75" style="height:11.9pt;width:13.15pt;" o:ole="t" filled="f" o:preferrelative="t" stroked="f" coordsize="21600,21600">
            <v:path/>
            <v:fill on="f" focussize="0,0"/>
            <v:stroke on="f" joinstyle="miter"/>
            <v:imagedata r:id="rId39" o:title=""/>
            <o:lock v:ext="edit" aspectratio="t"/>
            <w10:wrap type="none"/>
            <w10:anchorlock/>
          </v:shape>
          <o:OLEObject Type="Embed" ProgID="Equation.DSMT4" ShapeID="_x0000_i1040" DrawAspect="Content" ObjectID="_1468075740" r:id="rId38">
            <o:LockedField>false</o:LockedField>
          </o:OLEObject>
        </w:object>
      </w:r>
      <w:r>
        <w:rPr>
          <w:rFonts w:hint="eastAsia"/>
        </w:rPr>
        <w:t>为空间维度，通道注意力权重通过如下方式计算：</w:t>
      </w:r>
    </w:p>
    <w:p w14:paraId="77092630">
      <w:pPr>
        <w:pStyle w:val="38"/>
        <w:rPr>
          <w:rFonts w:hint="eastAsia"/>
        </w:rPr>
      </w:pPr>
      <w:r>
        <w:tab/>
      </w:r>
      <w:r>
        <w:rPr>
          <w:position w:val="-14"/>
        </w:rPr>
        <w:object>
          <v:shape id="_x0000_i1041" o:spt="75" type="#_x0000_t75" style="height:18.8pt;width:110.2pt;" o:ole="t" filled="f" o:preferrelative="t" stroked="f" coordsize="21600,21600">
            <v:path/>
            <v:fill on="f" focussize="0,0"/>
            <v:stroke on="f" joinstyle="miter"/>
            <v:imagedata r:id="rId41" o:title=""/>
            <o:lock v:ext="edit" aspectratio="t"/>
            <w10:wrap type="none"/>
            <w10:anchorlock/>
          </v:shape>
          <o:OLEObject Type="Embed" ProgID="Equation.DSMT4" ShapeID="_x0000_i1041" DrawAspect="Content" ObjectID="_1468075741" r:id="rId40">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 xml:space="preserve">（</w:instrText>
      </w:r>
      <w:r>
        <w:fldChar w:fldCharType="begin"/>
      </w:r>
      <w:r>
        <w:instrText xml:space="preserve"> SEQ MTEqn \c \* Arabic \* MERGEFORMAT </w:instrText>
      </w:r>
      <w:r>
        <w:fldChar w:fldCharType="separate"/>
      </w:r>
      <w:r>
        <w:instrText xml:space="preserve">3</w:instrText>
      </w:r>
      <w:r>
        <w:fldChar w:fldCharType="end"/>
      </w:r>
      <w:r>
        <w:rPr>
          <w:rFonts w:hint="eastAsia"/>
        </w:rPr>
        <w:instrText xml:space="preserve">）</w:instrText>
      </w:r>
      <w:r>
        <w:fldChar w:fldCharType="end"/>
      </w:r>
    </w:p>
    <w:p w14:paraId="7D933713">
      <w:pPr>
        <w:pStyle w:val="32"/>
      </w:pPr>
      <w:r>
        <w:rPr>
          <w:rFonts w:hint="eastAsia"/>
        </w:rPr>
        <w:t>其中</w:t>
      </w:r>
      <w:r>
        <w:rPr>
          <w:position w:val="-10"/>
        </w:rPr>
        <w:object>
          <v:shape id="_x0000_i1042" o:spt="75" type="#_x0000_t75" style="height:15.05pt;width:15.05pt;" o:ole="t" filled="f" o:preferrelative="t" stroked="f" coordsize="21600,21600">
            <v:path/>
            <v:fill on="f" focussize="0,0"/>
            <v:stroke on="f" joinstyle="miter"/>
            <v:imagedata r:id="rId43" o:title=""/>
            <o:lock v:ext="edit" aspectratio="t"/>
            <w10:wrap type="none"/>
            <w10:anchorlock/>
          </v:shape>
          <o:OLEObject Type="Embed" ProgID="Equation.DSMT4" ShapeID="_x0000_i1042" DrawAspect="Content" ObjectID="_1468075742" r:id="rId42">
            <o:LockedField>false</o:LockedField>
          </o:OLEObject>
        </w:object>
      </w:r>
      <w:r>
        <w:rPr>
          <w:rFonts w:hint="eastAsia"/>
        </w:rPr>
        <w:t>表示第</w:t>
      </w:r>
      <w:r>
        <w:rPr>
          <w:position w:val="-6"/>
        </w:rPr>
        <w:object>
          <v:shape id="_x0000_i1043" o:spt="75" type="#_x0000_t75" style="height:10pt;width:8.15pt;" o:ole="t" filled="f" o:preferrelative="t" stroked="f" coordsize="21600,21600">
            <v:path/>
            <v:fill on="f" focussize="0,0"/>
            <v:stroke on="f" joinstyle="miter"/>
            <v:imagedata r:id="rId45" o:title=""/>
            <o:lock v:ext="edit" aspectratio="t"/>
            <w10:wrap type="none"/>
            <w10:anchorlock/>
          </v:shape>
          <o:OLEObject Type="Embed" ProgID="Equation.DSMT4" ShapeID="_x0000_i1043" DrawAspect="Content" ObjectID="_1468075743" r:id="rId44">
            <o:LockedField>false</o:LockedField>
          </o:OLEObject>
        </w:object>
      </w:r>
      <w:r>
        <w:rPr>
          <w:rFonts w:hint="eastAsia"/>
        </w:rPr>
        <w:t>个通道的特征图，</w:t>
      </w:r>
      <w:r>
        <w:rPr>
          <w:position w:val="-10"/>
        </w:rPr>
        <w:object>
          <v:shape id="_x0000_i1044" o:spt="75" type="#_x0000_t75" style="height:15.05pt;width:31.95pt;" o:ole="t" filled="f" o:preferrelative="t" stroked="f" coordsize="21600,21600">
            <v:path/>
            <v:fill on="f" focussize="0,0"/>
            <v:stroke on="f" joinstyle="miter"/>
            <v:imagedata r:id="rId47" o:title=""/>
            <o:lock v:ext="edit" aspectratio="t"/>
            <w10:wrap type="none"/>
            <w10:anchorlock/>
          </v:shape>
          <o:OLEObject Type="Embed" ProgID="Equation.DSMT4" ShapeID="_x0000_i1044" DrawAspect="Content" ObjectID="_1468075744" r:id="rId46">
            <o:LockedField>false</o:LockedField>
          </o:OLEObject>
        </w:object>
      </w:r>
      <w:r>
        <w:rPr>
          <w:rFonts w:hint="eastAsia"/>
        </w:rPr>
        <w:t>表示全局平均池化操作，</w:t>
      </w:r>
      <w:r>
        <w:rPr>
          <w:position w:val="-10"/>
        </w:rPr>
        <w:object>
          <v:shape id="_x0000_i1045" o:spt="75" type="#_x0000_t75" style="height:15.05pt;width:33.2pt;" o:ole="t" filled="f" o:preferrelative="t" stroked="f" coordsize="21600,21600">
            <v:path/>
            <v:fill on="f" focussize="0,0"/>
            <v:stroke on="f" joinstyle="miter"/>
            <v:imagedata r:id="rId49" o:title=""/>
            <o:lock v:ext="edit" aspectratio="t"/>
            <w10:wrap type="none"/>
            <w10:anchorlock/>
          </v:shape>
          <o:OLEObject Type="Embed" ProgID="Equation.DSMT4" ShapeID="_x0000_i1045" DrawAspect="Content" ObjectID="_1468075745" r:id="rId48">
            <o:LockedField>false</o:LockedField>
          </o:OLEObject>
        </w:object>
      </w:r>
      <w:r>
        <w:rPr>
          <w:rFonts w:hint="eastAsia"/>
        </w:rPr>
        <w:t>为包含一层或多层全连接的通道映射函数，</w:t>
      </w:r>
      <w:r>
        <w:rPr>
          <w:position w:val="-10"/>
        </w:rPr>
        <w:object>
          <v:shape id="_x0000_i1046" o:spt="75" type="#_x0000_t75" style="height:15.05pt;width:18.8pt;" o:ole="t" filled="f" o:preferrelative="t" stroked="f" coordsize="21600,21600">
            <v:path/>
            <v:fill on="f" focussize="0,0"/>
            <v:stroke on="f" joinstyle="miter"/>
            <v:imagedata r:id="rId51" o:title=""/>
            <o:lock v:ext="edit" aspectratio="t"/>
            <w10:wrap type="none"/>
            <w10:anchorlock/>
          </v:shape>
          <o:OLEObject Type="Embed" ProgID="Equation.DSMT4" ShapeID="_x0000_i1046" DrawAspect="Content" ObjectID="_1468075746" r:id="rId50">
            <o:LockedField>false</o:LockedField>
          </o:OLEObject>
        </w:object>
      </w:r>
      <w:r>
        <w:rPr>
          <w:rFonts w:hint="eastAsia"/>
        </w:rPr>
        <w:t xml:space="preserve">为Sigmoid激活函数。最终输出为每个通道特征与对应权重相乘，即 </w:t>
      </w:r>
      <w:r>
        <w:rPr>
          <w:position w:val="-12"/>
        </w:rPr>
        <w:object>
          <v:shape id="_x0000_i1047" o:spt="75" type="#_x0000_t75" style="height:18.8pt;width:62pt;" o:ole="t" filled="f" o:preferrelative="t" stroked="f" coordsize="21600,21600">
            <v:path/>
            <v:fill on="f" focussize="0,0"/>
            <v:stroke on="f" joinstyle="miter"/>
            <v:imagedata r:id="rId53" o:title=""/>
            <o:lock v:ext="edit" aspectratio="t"/>
            <w10:wrap type="none"/>
            <w10:anchorlock/>
          </v:shape>
          <o:OLEObject Type="Embed" ProgID="Equation.DSMT4" ShapeID="_x0000_i1047" DrawAspect="Content" ObjectID="_1468075747" r:id="rId52">
            <o:LockedField>false</o:LockedField>
          </o:OLEObject>
        </w:object>
      </w:r>
      <w:r>
        <w:rPr>
          <w:rFonts w:hint="eastAsia"/>
        </w:rPr>
        <w:t>，实现对不同通道特征响应强度的动态调节。该机制对边界结构与中心结构形成动态关注，有效缓解热点与非热点模式特征不均衡的问题。另外，在子图分支中，信息从局部拓扑传递至图级表示；而在大图分支中，节点为子图结构，信息在区域间传递，实现从细节至全局的结构集成。最终，四路图表示经过拼接后输入多层感知器分类器输出预测值。</w:t>
      </w:r>
    </w:p>
    <w:p w14:paraId="14DAFF2C">
      <w:pPr>
        <w:pStyle w:val="32"/>
        <w:spacing w:line="240" w:lineRule="auto"/>
        <w:ind w:firstLine="0" w:firstLineChars="0"/>
        <w:jc w:val="center"/>
      </w:pPr>
      <w:r>
        <w:rPr>
          <w:rFonts w:hint="eastAsia"/>
        </w:rPr>
        <w:t>总体而言，该模型整体在结构层次性、远程依赖建模能力及注意力分配机制方面均优于传统图神经网络方案，充分挖掘图族结构的表达潜力，显著提升了热点识别的准确性与鲁棒性。</w:t>
      </w:r>
      <w:r>
        <w:drawing>
          <wp:inline distT="0" distB="0" distL="0" distR="0">
            <wp:extent cx="5772785" cy="1712595"/>
            <wp:effectExtent l="0" t="0" r="0" b="1905"/>
            <wp:docPr id="17034585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458585" name="图片 1"/>
                    <pic:cNvPicPr>
                      <a:picLocks noChangeAspect="1"/>
                    </pic:cNvPicPr>
                  </pic:nvPicPr>
                  <pic:blipFill>
                    <a:blip r:embed="rId54" cstate="hqprint"/>
                    <a:stretch>
                      <a:fillRect/>
                    </a:stretch>
                  </pic:blipFill>
                  <pic:spPr>
                    <a:xfrm>
                      <a:off x="0" y="0"/>
                      <a:ext cx="5842557" cy="1733445"/>
                    </a:xfrm>
                    <a:prstGeom prst="rect">
                      <a:avLst/>
                    </a:prstGeom>
                  </pic:spPr>
                </pic:pic>
              </a:graphicData>
            </a:graphic>
          </wp:inline>
        </w:drawing>
      </w:r>
    </w:p>
    <w:p w14:paraId="307BF68E">
      <w:pPr>
        <w:pStyle w:val="32"/>
        <w:spacing w:line="240" w:lineRule="auto"/>
        <w:ind w:firstLine="0" w:firstLineChars="0"/>
        <w:jc w:val="center"/>
        <w:rPr>
          <w:kern w:val="0"/>
          <w:sz w:val="18"/>
          <w:szCs w:val="18"/>
        </w:rPr>
      </w:pPr>
      <w:r>
        <w:rPr>
          <w:rFonts w:hint="eastAsia"/>
          <w:kern w:val="0"/>
          <w:sz w:val="18"/>
          <w:szCs w:val="18"/>
        </w:rPr>
        <w:t>图4 改进模型总体框架图</w:t>
      </w:r>
    </w:p>
    <w:p w14:paraId="1EAE6893">
      <w:pPr>
        <w:pStyle w:val="32"/>
        <w:spacing w:line="240" w:lineRule="auto"/>
        <w:ind w:firstLine="0" w:firstLineChars="0"/>
        <w:jc w:val="center"/>
      </w:pPr>
      <w:r>
        <w:drawing>
          <wp:inline distT="0" distB="0" distL="0" distR="0">
            <wp:extent cx="5927090" cy="2204085"/>
            <wp:effectExtent l="0" t="0" r="0" b="5715"/>
            <wp:docPr id="1520056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05678" name="图片 1"/>
                    <pic:cNvPicPr>
                      <a:picLocks noChangeAspect="1"/>
                    </pic:cNvPicPr>
                  </pic:nvPicPr>
                  <pic:blipFill>
                    <a:blip r:embed="rId55" cstate="hqprint"/>
                    <a:stretch>
                      <a:fillRect/>
                    </a:stretch>
                  </pic:blipFill>
                  <pic:spPr>
                    <a:xfrm>
                      <a:off x="0" y="0"/>
                      <a:ext cx="5991427" cy="2227845"/>
                    </a:xfrm>
                    <a:prstGeom prst="rect">
                      <a:avLst/>
                    </a:prstGeom>
                  </pic:spPr>
                </pic:pic>
              </a:graphicData>
            </a:graphic>
          </wp:inline>
        </w:drawing>
      </w:r>
    </w:p>
    <w:p w14:paraId="23EE91B7">
      <w:pPr>
        <w:pStyle w:val="32"/>
        <w:spacing w:line="240" w:lineRule="auto"/>
        <w:ind w:firstLine="0" w:firstLineChars="0"/>
        <w:jc w:val="center"/>
        <w:rPr>
          <w:kern w:val="0"/>
          <w:sz w:val="18"/>
          <w:szCs w:val="18"/>
        </w:rPr>
      </w:pPr>
      <w:r>
        <w:rPr>
          <w:rFonts w:hint="eastAsia"/>
          <w:kern w:val="0"/>
          <w:sz w:val="18"/>
          <w:szCs w:val="18"/>
        </w:rPr>
        <w:t>图5 消息传递与特征融合模块框架图</w:t>
      </w:r>
    </w:p>
    <w:p w14:paraId="7F0FFE2B">
      <w:pPr>
        <w:pStyle w:val="30"/>
      </w:pPr>
      <w:r>
        <w:rPr>
          <w:rFonts w:hint="eastAsia"/>
        </w:rPr>
        <w:t>4实验与分析</w:t>
      </w:r>
    </w:p>
    <w:p w14:paraId="731C668A">
      <w:pPr>
        <w:pStyle w:val="32"/>
      </w:pPr>
      <w:r>
        <w:rPr>
          <w:rFonts w:hint="eastAsia"/>
        </w:rPr>
        <w:t>本研究在竞赛数据集ICCAD'12</w:t>
      </w:r>
      <w:r>
        <w:rPr>
          <w:rFonts w:hint="eastAsia"/>
          <w:vertAlign w:val="superscript"/>
        </w:rPr>
        <w:t>[5]</w:t>
      </w:r>
      <w:r>
        <w:rPr>
          <w:rFonts w:hint="eastAsia"/>
        </w:rPr>
        <w:t>与ICCAD'19-1</w:t>
      </w:r>
      <w:r>
        <w:rPr>
          <w:rFonts w:hint="eastAsia"/>
          <w:vertAlign w:val="superscript"/>
        </w:rPr>
        <w:t>[6]</w:t>
      </w:r>
      <w:r>
        <w:rPr>
          <w:rFonts w:hint="eastAsia"/>
        </w:rPr>
        <w:t>上对所提出模型进行评估。评估指标包括准确率、召回率和误报率，分别衡量模型整体判断能力、对热点样本的识别能力以及错误预测比例。实验平台为 NVIDIA A100 GPU（显存40GB），训练环境基于 Python 3.12 与 PyTorch 2.5.1。</w:t>
      </w:r>
    </w:p>
    <w:p w14:paraId="61C931FD">
      <w:pPr>
        <w:pStyle w:val="3"/>
        <w:tabs>
          <w:tab w:val="left" w:pos="1080"/>
          <w:tab w:val="left" w:pos="1260"/>
        </w:tabs>
        <w:adjustRightInd w:val="0"/>
        <w:snapToGrid w:val="0"/>
        <w:spacing w:line="340" w:lineRule="exact"/>
        <w:ind w:firstLine="422" w:firstLineChars="200"/>
        <w:outlineLvl w:val="2"/>
        <w:rPr>
          <w:rFonts w:hint="eastAsia" w:eastAsia="黑体"/>
          <w:b/>
          <w:bCs/>
          <w:sz w:val="21"/>
          <w:szCs w:val="21"/>
        </w:rPr>
      </w:pPr>
      <w:r>
        <w:rPr>
          <w:rFonts w:hint="eastAsia" w:eastAsia="黑体"/>
          <w:b/>
          <w:bCs/>
          <w:sz w:val="21"/>
          <w:szCs w:val="21"/>
        </w:rPr>
        <w:t>4.1 性能对比实验与分析</w:t>
      </w:r>
    </w:p>
    <w:p w14:paraId="587C5E2A">
      <w:pPr>
        <w:pStyle w:val="32"/>
        <w:rPr>
          <w:rFonts w:hint="eastAsia"/>
        </w:rPr>
      </w:pPr>
      <w:r>
        <w:rPr>
          <w:rFonts w:hint="eastAsia"/>
        </w:rPr>
        <w:t>本文对基准与改进模型的性能对比实验分别以在不同数据集的纵向对比、与近三年主流方法的横向对比呈现。纵向对比结果如表1所示。</w:t>
      </w:r>
      <w:r>
        <w:t>在 ICCAD’12 数据集上，基准模型与改进模型均达到较高准确率</w:t>
      </w:r>
      <w:r>
        <w:rPr>
          <w:rFonts w:hint="eastAsia"/>
        </w:rPr>
        <w:t>，</w:t>
      </w:r>
      <w:r>
        <w:t>但后者在召回率与鲁棒性方面略有提升。在更具挑战性的 ICCAD’19-1 数据集中，改进模型表现出显著优势</w:t>
      </w:r>
      <w:r>
        <w:rPr>
          <w:rFonts w:hint="eastAsia"/>
        </w:rPr>
        <w:t>。尽管图神经网络模型的参数量达到 28M，相较基准模型的 2.3M 显著增大，但其性能增益对系统硬件具有可接受的推理时延（约 2s）。横向对比结果如表2所示。与近三年主流方法横向比较，本文改进模型在召回率与误报率方面均实现最优，验证了其在真实工业版图场景下的显著检测优势。</w:t>
      </w:r>
    </w:p>
    <w:p w14:paraId="2B44387E">
      <w:pPr>
        <w:widowControl w:val="0"/>
        <w:jc w:val="center"/>
        <w:textAlignment w:val="auto"/>
        <w:rPr>
          <w:rFonts w:hint="eastAsia" w:ascii="黑体" w:hAnsi="黑体" w:eastAsia="黑体"/>
          <w:sz w:val="18"/>
          <w:szCs w:val="20"/>
        </w:rPr>
      </w:pPr>
      <w:r>
        <w:rPr>
          <w:rFonts w:hint="eastAsia" w:ascii="黑体" w:hAnsi="黑体" w:eastAsia="黑体"/>
          <w:sz w:val="18"/>
          <w:szCs w:val="20"/>
        </w:rPr>
        <w:t>表</w:t>
      </w:r>
      <w:r>
        <w:rPr>
          <w:rFonts w:eastAsia="黑体"/>
          <w:sz w:val="18"/>
          <w:szCs w:val="20"/>
        </w:rPr>
        <w:t>1</w:t>
      </w:r>
      <w:r>
        <w:rPr>
          <w:rFonts w:hint="eastAsia" w:ascii="黑体" w:hAnsi="黑体" w:eastAsia="黑体"/>
          <w:sz w:val="18"/>
          <w:szCs w:val="20"/>
        </w:rPr>
        <w:t xml:space="preserve">  本文模型在不同数据集下的纵向性能对比</w:t>
      </w:r>
    </w:p>
    <w:tbl>
      <w:tblPr>
        <w:tblStyle w:val="1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2"/>
        <w:gridCol w:w="1437"/>
        <w:gridCol w:w="1236"/>
        <w:gridCol w:w="1236"/>
        <w:gridCol w:w="1169"/>
        <w:gridCol w:w="2964"/>
      </w:tblGrid>
      <w:tr w14:paraId="343E66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920" w:type="pct"/>
            <w:tcBorders>
              <w:top w:val="single" w:color="auto" w:sz="12" w:space="0"/>
              <w:bottom w:val="single" w:color="auto" w:sz="4" w:space="0"/>
            </w:tcBorders>
            <w:vAlign w:val="center"/>
          </w:tcPr>
          <w:p w14:paraId="15F95444">
            <w:pPr>
              <w:pStyle w:val="32"/>
              <w:spacing w:line="240" w:lineRule="auto"/>
              <w:ind w:firstLine="0" w:firstLineChars="0"/>
              <w:jc w:val="center"/>
              <w:rPr>
                <w:sz w:val="15"/>
                <w:szCs w:val="15"/>
              </w:rPr>
            </w:pPr>
            <w:r>
              <w:rPr>
                <w:rFonts w:hint="eastAsia"/>
                <w:sz w:val="15"/>
                <w:szCs w:val="15"/>
              </w:rPr>
              <w:t>数据集</w:t>
            </w:r>
          </w:p>
        </w:tc>
        <w:tc>
          <w:tcPr>
            <w:tcW w:w="729" w:type="pct"/>
            <w:tcBorders>
              <w:top w:val="single" w:color="auto" w:sz="12" w:space="0"/>
              <w:bottom w:val="single" w:color="auto" w:sz="4" w:space="0"/>
            </w:tcBorders>
            <w:vAlign w:val="center"/>
          </w:tcPr>
          <w:p w14:paraId="19227BBD">
            <w:pPr>
              <w:pStyle w:val="32"/>
              <w:spacing w:line="240" w:lineRule="auto"/>
              <w:ind w:firstLine="0" w:firstLineChars="0"/>
              <w:jc w:val="center"/>
              <w:rPr>
                <w:sz w:val="15"/>
                <w:szCs w:val="15"/>
              </w:rPr>
            </w:pPr>
            <w:r>
              <w:rPr>
                <w:rFonts w:hint="eastAsia"/>
                <w:sz w:val="15"/>
                <w:szCs w:val="15"/>
              </w:rPr>
              <w:t>模型</w:t>
            </w:r>
          </w:p>
        </w:tc>
        <w:tc>
          <w:tcPr>
            <w:tcW w:w="627" w:type="pct"/>
            <w:tcBorders>
              <w:top w:val="single" w:color="auto" w:sz="12" w:space="0"/>
              <w:bottom w:val="single" w:color="auto" w:sz="4" w:space="0"/>
            </w:tcBorders>
            <w:vAlign w:val="center"/>
          </w:tcPr>
          <w:p w14:paraId="5AF1BCA1">
            <w:pPr>
              <w:pStyle w:val="32"/>
              <w:spacing w:line="240" w:lineRule="auto"/>
              <w:ind w:firstLine="0" w:firstLineChars="0"/>
              <w:jc w:val="center"/>
              <w:rPr>
                <w:sz w:val="15"/>
                <w:szCs w:val="15"/>
              </w:rPr>
            </w:pPr>
            <w:r>
              <w:rPr>
                <w:rFonts w:hint="eastAsia"/>
                <w:sz w:val="15"/>
                <w:szCs w:val="15"/>
              </w:rPr>
              <w:t>准确率</w:t>
            </w:r>
          </w:p>
        </w:tc>
        <w:tc>
          <w:tcPr>
            <w:tcW w:w="627" w:type="pct"/>
            <w:tcBorders>
              <w:top w:val="single" w:color="auto" w:sz="12" w:space="0"/>
              <w:bottom w:val="single" w:color="auto" w:sz="4" w:space="0"/>
            </w:tcBorders>
            <w:vAlign w:val="center"/>
          </w:tcPr>
          <w:p w14:paraId="06DE4475">
            <w:pPr>
              <w:pStyle w:val="32"/>
              <w:spacing w:line="240" w:lineRule="auto"/>
              <w:ind w:firstLine="0" w:firstLineChars="0"/>
              <w:jc w:val="center"/>
              <w:rPr>
                <w:sz w:val="15"/>
                <w:szCs w:val="15"/>
              </w:rPr>
            </w:pPr>
            <w:r>
              <w:rPr>
                <w:rFonts w:hint="eastAsia"/>
                <w:sz w:val="15"/>
                <w:szCs w:val="15"/>
              </w:rPr>
              <w:t>召回率</w:t>
            </w:r>
          </w:p>
        </w:tc>
        <w:tc>
          <w:tcPr>
            <w:tcW w:w="593" w:type="pct"/>
            <w:tcBorders>
              <w:top w:val="single" w:color="auto" w:sz="12" w:space="0"/>
              <w:bottom w:val="single" w:color="auto" w:sz="4" w:space="0"/>
            </w:tcBorders>
            <w:vAlign w:val="center"/>
          </w:tcPr>
          <w:p w14:paraId="17F4F96C">
            <w:pPr>
              <w:pStyle w:val="32"/>
              <w:spacing w:line="240" w:lineRule="auto"/>
              <w:ind w:firstLine="0" w:firstLineChars="0"/>
              <w:jc w:val="center"/>
              <w:rPr>
                <w:sz w:val="15"/>
                <w:szCs w:val="15"/>
              </w:rPr>
            </w:pPr>
            <w:r>
              <w:rPr>
                <w:rFonts w:hint="eastAsia"/>
                <w:sz w:val="15"/>
                <w:szCs w:val="15"/>
              </w:rPr>
              <w:t>误报率</w:t>
            </w:r>
          </w:p>
        </w:tc>
        <w:tc>
          <w:tcPr>
            <w:tcW w:w="1504" w:type="pct"/>
            <w:tcBorders>
              <w:top w:val="single" w:color="auto" w:sz="12" w:space="0"/>
              <w:bottom w:val="single" w:color="auto" w:sz="4" w:space="0"/>
            </w:tcBorders>
            <w:vAlign w:val="center"/>
          </w:tcPr>
          <w:p w14:paraId="2C117190">
            <w:pPr>
              <w:pStyle w:val="32"/>
              <w:spacing w:line="240" w:lineRule="auto"/>
              <w:ind w:firstLine="0" w:firstLineChars="0"/>
              <w:jc w:val="center"/>
              <w:rPr>
                <w:sz w:val="15"/>
                <w:szCs w:val="15"/>
              </w:rPr>
            </w:pPr>
            <w:r>
              <w:rPr>
                <w:rFonts w:hint="eastAsia"/>
                <w:sz w:val="15"/>
                <w:szCs w:val="15"/>
              </w:rPr>
              <w:t>推理时间</w:t>
            </w:r>
            <w:r>
              <w:rPr>
                <w:sz w:val="15"/>
                <w:szCs w:val="15"/>
              </w:rPr>
              <w:t>(</w:t>
            </w:r>
            <w:r>
              <w:rPr>
                <w:rFonts w:hint="eastAsia"/>
                <w:sz w:val="15"/>
                <w:szCs w:val="15"/>
              </w:rPr>
              <w:t>每</w:t>
            </w:r>
            <w:r>
              <w:rPr>
                <w:sz w:val="15"/>
                <w:szCs w:val="15"/>
              </w:rPr>
              <w:t>64</w:t>
            </w:r>
            <w:r>
              <w:rPr>
                <w:rFonts w:hint="eastAsia"/>
                <w:sz w:val="15"/>
                <w:szCs w:val="15"/>
              </w:rPr>
              <w:t>样本）</w:t>
            </w:r>
          </w:p>
        </w:tc>
      </w:tr>
      <w:tr w14:paraId="246C2E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920" w:type="pct"/>
            <w:vMerge w:val="restart"/>
            <w:tcBorders>
              <w:top w:val="single" w:color="auto" w:sz="4" w:space="0"/>
            </w:tcBorders>
            <w:vAlign w:val="center"/>
          </w:tcPr>
          <w:p w14:paraId="58E27D0D">
            <w:pPr>
              <w:pStyle w:val="32"/>
              <w:spacing w:line="240" w:lineRule="auto"/>
              <w:ind w:firstLine="0" w:firstLineChars="0"/>
              <w:jc w:val="center"/>
              <w:rPr>
                <w:sz w:val="15"/>
                <w:szCs w:val="15"/>
              </w:rPr>
            </w:pPr>
            <w:r>
              <w:rPr>
                <w:sz w:val="15"/>
                <w:szCs w:val="15"/>
              </w:rPr>
              <w:t>ICCAD’12</w:t>
            </w:r>
          </w:p>
        </w:tc>
        <w:tc>
          <w:tcPr>
            <w:tcW w:w="729" w:type="pct"/>
            <w:tcBorders>
              <w:top w:val="single" w:color="auto" w:sz="4" w:space="0"/>
            </w:tcBorders>
            <w:vAlign w:val="center"/>
          </w:tcPr>
          <w:p w14:paraId="03E4381D">
            <w:pPr>
              <w:pStyle w:val="32"/>
              <w:spacing w:line="240" w:lineRule="auto"/>
              <w:ind w:firstLine="0" w:firstLineChars="0"/>
              <w:jc w:val="center"/>
              <w:rPr>
                <w:sz w:val="15"/>
                <w:szCs w:val="15"/>
              </w:rPr>
            </w:pPr>
            <w:r>
              <w:rPr>
                <w:rFonts w:hint="eastAsia"/>
                <w:sz w:val="15"/>
                <w:szCs w:val="15"/>
              </w:rPr>
              <w:t>基准模型</w:t>
            </w:r>
          </w:p>
        </w:tc>
        <w:tc>
          <w:tcPr>
            <w:tcW w:w="627" w:type="pct"/>
            <w:tcBorders>
              <w:top w:val="single" w:color="auto" w:sz="4" w:space="0"/>
            </w:tcBorders>
            <w:vAlign w:val="center"/>
          </w:tcPr>
          <w:p w14:paraId="65496296">
            <w:pPr>
              <w:pStyle w:val="32"/>
              <w:spacing w:line="240" w:lineRule="auto"/>
              <w:ind w:firstLine="0" w:firstLineChars="0"/>
              <w:jc w:val="center"/>
              <w:rPr>
                <w:sz w:val="15"/>
                <w:szCs w:val="15"/>
              </w:rPr>
            </w:pPr>
            <w:r>
              <w:rPr>
                <w:sz w:val="15"/>
                <w:szCs w:val="15"/>
              </w:rPr>
              <w:t>96.80%</w:t>
            </w:r>
          </w:p>
        </w:tc>
        <w:tc>
          <w:tcPr>
            <w:tcW w:w="627" w:type="pct"/>
            <w:tcBorders>
              <w:top w:val="single" w:color="auto" w:sz="4" w:space="0"/>
            </w:tcBorders>
            <w:vAlign w:val="center"/>
          </w:tcPr>
          <w:p w14:paraId="4B57FB38">
            <w:pPr>
              <w:pStyle w:val="32"/>
              <w:spacing w:line="240" w:lineRule="auto"/>
              <w:ind w:firstLine="0" w:firstLineChars="0"/>
              <w:jc w:val="center"/>
              <w:rPr>
                <w:sz w:val="15"/>
                <w:szCs w:val="15"/>
              </w:rPr>
            </w:pPr>
            <w:r>
              <w:rPr>
                <w:sz w:val="15"/>
                <w:szCs w:val="15"/>
              </w:rPr>
              <w:t>88.96%</w:t>
            </w:r>
          </w:p>
        </w:tc>
        <w:tc>
          <w:tcPr>
            <w:tcW w:w="593" w:type="pct"/>
            <w:tcBorders>
              <w:top w:val="single" w:color="auto" w:sz="4" w:space="0"/>
            </w:tcBorders>
            <w:vAlign w:val="center"/>
          </w:tcPr>
          <w:p w14:paraId="094D6E4F">
            <w:pPr>
              <w:pStyle w:val="32"/>
              <w:spacing w:line="240" w:lineRule="auto"/>
              <w:ind w:firstLine="0" w:firstLineChars="0"/>
              <w:jc w:val="center"/>
              <w:rPr>
                <w:sz w:val="15"/>
                <w:szCs w:val="15"/>
              </w:rPr>
            </w:pPr>
            <w:r>
              <w:rPr>
                <w:sz w:val="15"/>
                <w:szCs w:val="15"/>
              </w:rPr>
              <w:t>0.18%</w:t>
            </w:r>
          </w:p>
        </w:tc>
        <w:tc>
          <w:tcPr>
            <w:tcW w:w="1504" w:type="pct"/>
            <w:tcBorders>
              <w:top w:val="single" w:color="auto" w:sz="4" w:space="0"/>
            </w:tcBorders>
            <w:vAlign w:val="center"/>
          </w:tcPr>
          <w:p w14:paraId="7A8D93CE">
            <w:pPr>
              <w:pStyle w:val="32"/>
              <w:spacing w:line="240" w:lineRule="auto"/>
              <w:ind w:firstLine="0" w:firstLineChars="0"/>
              <w:jc w:val="center"/>
              <w:rPr>
                <w:sz w:val="15"/>
                <w:szCs w:val="15"/>
              </w:rPr>
            </w:pPr>
            <w:r>
              <w:rPr>
                <w:sz w:val="15"/>
                <w:szCs w:val="15"/>
              </w:rPr>
              <w:t>0.0196s</w:t>
            </w:r>
          </w:p>
        </w:tc>
      </w:tr>
      <w:tr w14:paraId="56E687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920" w:type="pct"/>
            <w:vMerge w:val="continue"/>
            <w:vAlign w:val="center"/>
          </w:tcPr>
          <w:p w14:paraId="6532C88F">
            <w:pPr>
              <w:pStyle w:val="32"/>
              <w:spacing w:line="240" w:lineRule="auto"/>
              <w:ind w:firstLine="300"/>
              <w:jc w:val="center"/>
              <w:rPr>
                <w:sz w:val="15"/>
                <w:szCs w:val="15"/>
              </w:rPr>
            </w:pPr>
          </w:p>
        </w:tc>
        <w:tc>
          <w:tcPr>
            <w:tcW w:w="729" w:type="pct"/>
            <w:vAlign w:val="center"/>
          </w:tcPr>
          <w:p w14:paraId="6844F99A">
            <w:pPr>
              <w:pStyle w:val="32"/>
              <w:spacing w:line="240" w:lineRule="auto"/>
              <w:ind w:firstLine="0" w:firstLineChars="0"/>
              <w:jc w:val="center"/>
              <w:rPr>
                <w:sz w:val="15"/>
                <w:szCs w:val="15"/>
              </w:rPr>
            </w:pPr>
            <w:r>
              <w:rPr>
                <w:rFonts w:hint="eastAsia"/>
                <w:sz w:val="15"/>
                <w:szCs w:val="15"/>
              </w:rPr>
              <w:t>改进模型</w:t>
            </w:r>
          </w:p>
        </w:tc>
        <w:tc>
          <w:tcPr>
            <w:tcW w:w="627" w:type="pct"/>
            <w:vAlign w:val="center"/>
          </w:tcPr>
          <w:p w14:paraId="3928791D">
            <w:pPr>
              <w:pStyle w:val="32"/>
              <w:spacing w:line="240" w:lineRule="auto"/>
              <w:ind w:firstLine="0" w:firstLineChars="0"/>
              <w:jc w:val="center"/>
              <w:rPr>
                <w:sz w:val="15"/>
                <w:szCs w:val="15"/>
              </w:rPr>
            </w:pPr>
            <w:r>
              <w:rPr>
                <w:sz w:val="15"/>
                <w:szCs w:val="15"/>
              </w:rPr>
              <w:t>96.81%</w:t>
            </w:r>
          </w:p>
        </w:tc>
        <w:tc>
          <w:tcPr>
            <w:tcW w:w="627" w:type="pct"/>
            <w:vAlign w:val="center"/>
          </w:tcPr>
          <w:p w14:paraId="60BB2427">
            <w:pPr>
              <w:pStyle w:val="32"/>
              <w:spacing w:line="240" w:lineRule="auto"/>
              <w:ind w:firstLine="0" w:firstLineChars="0"/>
              <w:jc w:val="center"/>
              <w:rPr>
                <w:sz w:val="15"/>
                <w:szCs w:val="15"/>
              </w:rPr>
            </w:pPr>
            <w:r>
              <w:rPr>
                <w:sz w:val="15"/>
                <w:szCs w:val="15"/>
              </w:rPr>
              <w:t>91.47%</w:t>
            </w:r>
          </w:p>
        </w:tc>
        <w:tc>
          <w:tcPr>
            <w:tcW w:w="593" w:type="pct"/>
            <w:vAlign w:val="center"/>
          </w:tcPr>
          <w:p w14:paraId="0666C51D">
            <w:pPr>
              <w:pStyle w:val="32"/>
              <w:spacing w:line="240" w:lineRule="auto"/>
              <w:ind w:firstLine="0" w:firstLineChars="0"/>
              <w:jc w:val="center"/>
              <w:rPr>
                <w:sz w:val="15"/>
                <w:szCs w:val="15"/>
              </w:rPr>
            </w:pPr>
            <w:r>
              <w:rPr>
                <w:sz w:val="15"/>
                <w:szCs w:val="15"/>
              </w:rPr>
              <w:t>2.27%</w:t>
            </w:r>
          </w:p>
        </w:tc>
        <w:tc>
          <w:tcPr>
            <w:tcW w:w="1504" w:type="pct"/>
            <w:vAlign w:val="center"/>
          </w:tcPr>
          <w:p w14:paraId="2FA48DF4">
            <w:pPr>
              <w:pStyle w:val="32"/>
              <w:spacing w:line="240" w:lineRule="auto"/>
              <w:ind w:firstLine="0" w:firstLineChars="0"/>
              <w:jc w:val="center"/>
              <w:rPr>
                <w:sz w:val="15"/>
                <w:szCs w:val="15"/>
              </w:rPr>
            </w:pPr>
            <w:r>
              <w:rPr>
                <w:sz w:val="15"/>
                <w:szCs w:val="15"/>
              </w:rPr>
              <w:t>1.9640s</w:t>
            </w:r>
          </w:p>
        </w:tc>
      </w:tr>
      <w:tr w14:paraId="4995CF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920" w:type="pct"/>
            <w:vMerge w:val="restart"/>
            <w:tcBorders>
              <w:bottom w:val="single" w:color="auto" w:sz="12" w:space="0"/>
            </w:tcBorders>
            <w:vAlign w:val="center"/>
          </w:tcPr>
          <w:p w14:paraId="767B99FA">
            <w:pPr>
              <w:pStyle w:val="32"/>
              <w:spacing w:line="240" w:lineRule="auto"/>
              <w:ind w:firstLine="0" w:firstLineChars="0"/>
              <w:jc w:val="center"/>
              <w:rPr>
                <w:rFonts w:hint="eastAsia"/>
                <w:sz w:val="15"/>
                <w:szCs w:val="15"/>
              </w:rPr>
            </w:pPr>
            <w:r>
              <w:rPr>
                <w:b/>
                <w:bCs/>
                <w:sz w:val="15"/>
                <w:szCs w:val="15"/>
              </w:rPr>
              <w:t>ICCAD’19-1</w:t>
            </w:r>
          </w:p>
        </w:tc>
        <w:tc>
          <w:tcPr>
            <w:tcW w:w="729" w:type="pct"/>
            <w:vAlign w:val="center"/>
          </w:tcPr>
          <w:p w14:paraId="7ECEFC95">
            <w:pPr>
              <w:pStyle w:val="32"/>
              <w:spacing w:line="240" w:lineRule="auto"/>
              <w:ind w:firstLine="0" w:firstLineChars="0"/>
              <w:jc w:val="center"/>
              <w:rPr>
                <w:sz w:val="15"/>
                <w:szCs w:val="15"/>
              </w:rPr>
            </w:pPr>
            <w:r>
              <w:rPr>
                <w:rFonts w:hint="eastAsia"/>
                <w:sz w:val="15"/>
                <w:szCs w:val="15"/>
              </w:rPr>
              <w:t>基准模型</w:t>
            </w:r>
          </w:p>
        </w:tc>
        <w:tc>
          <w:tcPr>
            <w:tcW w:w="627" w:type="pct"/>
            <w:vAlign w:val="center"/>
          </w:tcPr>
          <w:p w14:paraId="65BCEE91">
            <w:pPr>
              <w:pStyle w:val="32"/>
              <w:spacing w:line="240" w:lineRule="auto"/>
              <w:ind w:firstLine="0" w:firstLineChars="0"/>
              <w:jc w:val="center"/>
              <w:rPr>
                <w:sz w:val="15"/>
                <w:szCs w:val="15"/>
              </w:rPr>
            </w:pPr>
            <w:r>
              <w:rPr>
                <w:sz w:val="15"/>
                <w:szCs w:val="15"/>
              </w:rPr>
              <w:t>69.30%</w:t>
            </w:r>
          </w:p>
        </w:tc>
        <w:tc>
          <w:tcPr>
            <w:tcW w:w="627" w:type="pct"/>
            <w:vAlign w:val="center"/>
          </w:tcPr>
          <w:p w14:paraId="1C19160E">
            <w:pPr>
              <w:pStyle w:val="32"/>
              <w:spacing w:line="240" w:lineRule="auto"/>
              <w:ind w:firstLine="0" w:firstLineChars="0"/>
              <w:jc w:val="center"/>
              <w:rPr>
                <w:sz w:val="15"/>
                <w:szCs w:val="15"/>
              </w:rPr>
            </w:pPr>
            <w:r>
              <w:rPr>
                <w:sz w:val="15"/>
                <w:szCs w:val="15"/>
              </w:rPr>
              <w:t>52.83%</w:t>
            </w:r>
          </w:p>
        </w:tc>
        <w:tc>
          <w:tcPr>
            <w:tcW w:w="593" w:type="pct"/>
            <w:vAlign w:val="center"/>
          </w:tcPr>
          <w:p w14:paraId="096FE7B6">
            <w:pPr>
              <w:pStyle w:val="32"/>
              <w:spacing w:line="240" w:lineRule="auto"/>
              <w:ind w:firstLine="0" w:firstLineChars="0"/>
              <w:jc w:val="center"/>
              <w:rPr>
                <w:sz w:val="15"/>
                <w:szCs w:val="15"/>
              </w:rPr>
            </w:pPr>
            <w:r>
              <w:rPr>
                <w:sz w:val="15"/>
                <w:szCs w:val="15"/>
              </w:rPr>
              <w:t>7.12%</w:t>
            </w:r>
          </w:p>
        </w:tc>
        <w:tc>
          <w:tcPr>
            <w:tcW w:w="1504" w:type="pct"/>
            <w:vAlign w:val="center"/>
          </w:tcPr>
          <w:p w14:paraId="2518F5AE">
            <w:pPr>
              <w:pStyle w:val="32"/>
              <w:spacing w:line="240" w:lineRule="auto"/>
              <w:ind w:firstLine="0" w:firstLineChars="0"/>
              <w:jc w:val="center"/>
              <w:rPr>
                <w:sz w:val="15"/>
                <w:szCs w:val="15"/>
              </w:rPr>
            </w:pPr>
            <w:r>
              <w:rPr>
                <w:sz w:val="15"/>
                <w:szCs w:val="15"/>
              </w:rPr>
              <w:t>0.0089s</w:t>
            </w:r>
          </w:p>
        </w:tc>
      </w:tr>
      <w:tr w14:paraId="48BD0B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920" w:type="pct"/>
            <w:vMerge w:val="continue"/>
            <w:tcBorders>
              <w:bottom w:val="single" w:color="auto" w:sz="12" w:space="0"/>
            </w:tcBorders>
            <w:vAlign w:val="center"/>
          </w:tcPr>
          <w:p w14:paraId="13428F4B">
            <w:pPr>
              <w:pStyle w:val="32"/>
              <w:spacing w:line="240" w:lineRule="auto"/>
              <w:ind w:firstLine="300"/>
              <w:jc w:val="center"/>
              <w:rPr>
                <w:sz w:val="15"/>
                <w:szCs w:val="15"/>
              </w:rPr>
            </w:pPr>
          </w:p>
        </w:tc>
        <w:tc>
          <w:tcPr>
            <w:tcW w:w="729" w:type="pct"/>
            <w:tcBorders>
              <w:bottom w:val="single" w:color="auto" w:sz="12" w:space="0"/>
            </w:tcBorders>
            <w:vAlign w:val="center"/>
          </w:tcPr>
          <w:p w14:paraId="7B7FE0CC">
            <w:pPr>
              <w:pStyle w:val="32"/>
              <w:spacing w:line="240" w:lineRule="auto"/>
              <w:ind w:firstLine="0" w:firstLineChars="0"/>
              <w:jc w:val="center"/>
              <w:rPr>
                <w:sz w:val="15"/>
                <w:szCs w:val="15"/>
              </w:rPr>
            </w:pPr>
            <w:r>
              <w:rPr>
                <w:rFonts w:hint="eastAsia"/>
                <w:b/>
                <w:bCs/>
                <w:sz w:val="15"/>
                <w:szCs w:val="15"/>
              </w:rPr>
              <w:t>改进模型</w:t>
            </w:r>
          </w:p>
        </w:tc>
        <w:tc>
          <w:tcPr>
            <w:tcW w:w="627" w:type="pct"/>
            <w:tcBorders>
              <w:bottom w:val="single" w:color="auto" w:sz="12" w:space="0"/>
            </w:tcBorders>
            <w:vAlign w:val="center"/>
          </w:tcPr>
          <w:p w14:paraId="73DFE6EB">
            <w:pPr>
              <w:pStyle w:val="32"/>
              <w:spacing w:line="240" w:lineRule="auto"/>
              <w:ind w:firstLine="0" w:firstLineChars="0"/>
              <w:jc w:val="center"/>
              <w:rPr>
                <w:sz w:val="15"/>
                <w:szCs w:val="15"/>
              </w:rPr>
            </w:pPr>
            <w:r>
              <w:rPr>
                <w:b/>
                <w:bCs/>
                <w:sz w:val="15"/>
                <w:szCs w:val="15"/>
              </w:rPr>
              <w:t>98.87%</w:t>
            </w:r>
          </w:p>
        </w:tc>
        <w:tc>
          <w:tcPr>
            <w:tcW w:w="627" w:type="pct"/>
            <w:tcBorders>
              <w:bottom w:val="single" w:color="auto" w:sz="12" w:space="0"/>
            </w:tcBorders>
            <w:vAlign w:val="center"/>
          </w:tcPr>
          <w:p w14:paraId="6FAACC77">
            <w:pPr>
              <w:pStyle w:val="32"/>
              <w:spacing w:line="240" w:lineRule="auto"/>
              <w:ind w:firstLine="0" w:firstLineChars="0"/>
              <w:jc w:val="center"/>
              <w:rPr>
                <w:sz w:val="15"/>
                <w:szCs w:val="15"/>
              </w:rPr>
            </w:pPr>
            <w:r>
              <w:rPr>
                <w:b/>
                <w:bCs/>
                <w:sz w:val="15"/>
                <w:szCs w:val="15"/>
              </w:rPr>
              <w:t>99.91%</w:t>
            </w:r>
          </w:p>
        </w:tc>
        <w:tc>
          <w:tcPr>
            <w:tcW w:w="593" w:type="pct"/>
            <w:tcBorders>
              <w:bottom w:val="single" w:color="auto" w:sz="12" w:space="0"/>
            </w:tcBorders>
            <w:vAlign w:val="center"/>
          </w:tcPr>
          <w:p w14:paraId="0672DE41">
            <w:pPr>
              <w:pStyle w:val="32"/>
              <w:spacing w:line="240" w:lineRule="auto"/>
              <w:ind w:firstLine="0" w:firstLineChars="0"/>
              <w:jc w:val="center"/>
              <w:rPr>
                <w:sz w:val="15"/>
                <w:szCs w:val="15"/>
              </w:rPr>
            </w:pPr>
            <w:r>
              <w:rPr>
                <w:b/>
                <w:bCs/>
                <w:sz w:val="15"/>
                <w:szCs w:val="15"/>
              </w:rPr>
              <w:t>1.12%</w:t>
            </w:r>
          </w:p>
        </w:tc>
        <w:tc>
          <w:tcPr>
            <w:tcW w:w="1504" w:type="pct"/>
            <w:tcBorders>
              <w:bottom w:val="single" w:color="auto" w:sz="12" w:space="0"/>
            </w:tcBorders>
            <w:vAlign w:val="center"/>
          </w:tcPr>
          <w:p w14:paraId="7FC5222D">
            <w:pPr>
              <w:pStyle w:val="32"/>
              <w:spacing w:line="240" w:lineRule="auto"/>
              <w:ind w:firstLine="0" w:firstLineChars="0"/>
              <w:jc w:val="center"/>
              <w:rPr>
                <w:sz w:val="15"/>
                <w:szCs w:val="15"/>
              </w:rPr>
            </w:pPr>
            <w:r>
              <w:rPr>
                <w:sz w:val="15"/>
                <w:szCs w:val="15"/>
              </w:rPr>
              <w:t>2.1245s</w:t>
            </w:r>
          </w:p>
        </w:tc>
      </w:tr>
    </w:tbl>
    <w:p w14:paraId="3A136759">
      <w:pPr>
        <w:widowControl w:val="0"/>
        <w:jc w:val="center"/>
        <w:textAlignment w:val="auto"/>
        <w:rPr>
          <w:rFonts w:hint="eastAsia" w:ascii="黑体" w:hAnsi="黑体" w:eastAsia="黑体"/>
          <w:sz w:val="18"/>
          <w:szCs w:val="20"/>
        </w:rPr>
      </w:pPr>
      <w:r>
        <w:rPr>
          <w:rFonts w:hint="eastAsia" w:ascii="黑体" w:hAnsi="黑体" w:eastAsia="黑体"/>
          <w:sz w:val="18"/>
          <w:szCs w:val="20"/>
        </w:rPr>
        <w:t>表</w:t>
      </w:r>
      <w:r>
        <w:rPr>
          <w:rFonts w:hint="eastAsia" w:eastAsia="黑体"/>
          <w:sz w:val="18"/>
          <w:szCs w:val="20"/>
        </w:rPr>
        <w:t>2</w:t>
      </w:r>
      <w:r>
        <w:rPr>
          <w:rFonts w:hint="eastAsia" w:ascii="黑体" w:hAnsi="黑体" w:eastAsia="黑体"/>
          <w:sz w:val="18"/>
          <w:szCs w:val="20"/>
        </w:rPr>
        <w:t xml:space="preserve"> 本文模型与近三年主流方法的横向性能对比</w:t>
      </w:r>
    </w:p>
    <w:tbl>
      <w:tblPr>
        <w:tblStyle w:val="1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80"/>
        <w:gridCol w:w="3735"/>
        <w:gridCol w:w="1614"/>
        <w:gridCol w:w="1525"/>
      </w:tblGrid>
      <w:tr w14:paraId="125850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512" w:type="pct"/>
            <w:tcBorders>
              <w:top w:val="single" w:color="auto" w:sz="12" w:space="0"/>
              <w:bottom w:val="single" w:color="auto" w:sz="4" w:space="0"/>
            </w:tcBorders>
            <w:vAlign w:val="center"/>
          </w:tcPr>
          <w:p w14:paraId="545BF280">
            <w:pPr>
              <w:pStyle w:val="32"/>
              <w:spacing w:line="240" w:lineRule="auto"/>
              <w:ind w:firstLine="0" w:firstLineChars="0"/>
              <w:jc w:val="center"/>
              <w:rPr>
                <w:sz w:val="15"/>
                <w:szCs w:val="15"/>
              </w:rPr>
            </w:pPr>
            <w:r>
              <w:rPr>
                <w:rFonts w:hint="eastAsia"/>
                <w:sz w:val="15"/>
                <w:szCs w:val="15"/>
              </w:rPr>
              <w:t>模型</w:t>
            </w:r>
          </w:p>
        </w:tc>
        <w:tc>
          <w:tcPr>
            <w:tcW w:w="1895" w:type="pct"/>
            <w:tcBorders>
              <w:top w:val="single" w:color="auto" w:sz="12" w:space="0"/>
              <w:bottom w:val="single" w:color="auto" w:sz="4" w:space="0"/>
            </w:tcBorders>
            <w:vAlign w:val="center"/>
          </w:tcPr>
          <w:p w14:paraId="6672FEA0">
            <w:pPr>
              <w:pStyle w:val="32"/>
              <w:spacing w:line="240" w:lineRule="auto"/>
              <w:ind w:firstLine="0" w:firstLineChars="0"/>
              <w:jc w:val="center"/>
              <w:rPr>
                <w:sz w:val="15"/>
                <w:szCs w:val="15"/>
              </w:rPr>
            </w:pPr>
            <w:r>
              <w:rPr>
                <w:rFonts w:hint="eastAsia"/>
                <w:sz w:val="15"/>
                <w:szCs w:val="15"/>
              </w:rPr>
              <w:t>原理</w:t>
            </w:r>
          </w:p>
        </w:tc>
        <w:tc>
          <w:tcPr>
            <w:tcW w:w="819" w:type="pct"/>
            <w:tcBorders>
              <w:top w:val="single" w:color="auto" w:sz="12" w:space="0"/>
              <w:bottom w:val="single" w:color="auto" w:sz="4" w:space="0"/>
            </w:tcBorders>
            <w:vAlign w:val="center"/>
          </w:tcPr>
          <w:p w14:paraId="649F3011">
            <w:pPr>
              <w:pStyle w:val="32"/>
              <w:spacing w:line="240" w:lineRule="auto"/>
              <w:ind w:firstLine="0" w:firstLineChars="0"/>
              <w:jc w:val="center"/>
              <w:rPr>
                <w:sz w:val="15"/>
                <w:szCs w:val="15"/>
              </w:rPr>
            </w:pPr>
            <w:r>
              <w:rPr>
                <w:rFonts w:hint="eastAsia"/>
                <w:sz w:val="15"/>
                <w:szCs w:val="15"/>
              </w:rPr>
              <w:t>召回率</w:t>
            </w:r>
          </w:p>
        </w:tc>
        <w:tc>
          <w:tcPr>
            <w:tcW w:w="774" w:type="pct"/>
            <w:tcBorders>
              <w:top w:val="single" w:color="auto" w:sz="12" w:space="0"/>
              <w:bottom w:val="single" w:color="auto" w:sz="4" w:space="0"/>
            </w:tcBorders>
            <w:vAlign w:val="center"/>
          </w:tcPr>
          <w:p w14:paraId="4A03E440">
            <w:pPr>
              <w:pStyle w:val="32"/>
              <w:spacing w:line="240" w:lineRule="auto"/>
              <w:ind w:firstLine="0" w:firstLineChars="0"/>
              <w:jc w:val="center"/>
              <w:rPr>
                <w:sz w:val="15"/>
                <w:szCs w:val="15"/>
              </w:rPr>
            </w:pPr>
            <w:r>
              <w:rPr>
                <w:rFonts w:hint="eastAsia"/>
                <w:sz w:val="15"/>
                <w:szCs w:val="15"/>
              </w:rPr>
              <w:t>误报率</w:t>
            </w:r>
          </w:p>
        </w:tc>
      </w:tr>
      <w:tr w14:paraId="3D90CB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512" w:type="pct"/>
            <w:tcBorders>
              <w:top w:val="single" w:color="auto" w:sz="4" w:space="0"/>
            </w:tcBorders>
            <w:vAlign w:val="center"/>
          </w:tcPr>
          <w:p w14:paraId="6117213D">
            <w:pPr>
              <w:pStyle w:val="32"/>
              <w:spacing w:line="240" w:lineRule="auto"/>
              <w:ind w:firstLine="0" w:firstLineChars="0"/>
              <w:jc w:val="center"/>
              <w:rPr>
                <w:sz w:val="15"/>
                <w:szCs w:val="15"/>
              </w:rPr>
            </w:pPr>
            <w:r>
              <w:rPr>
                <w:rFonts w:hint="eastAsia"/>
                <w:b/>
                <w:bCs/>
                <w:sz w:val="15"/>
                <w:szCs w:val="15"/>
              </w:rPr>
              <w:t>本文改进模型</w:t>
            </w:r>
          </w:p>
        </w:tc>
        <w:tc>
          <w:tcPr>
            <w:tcW w:w="1895" w:type="pct"/>
            <w:tcBorders>
              <w:top w:val="single" w:color="auto" w:sz="4" w:space="0"/>
            </w:tcBorders>
            <w:vAlign w:val="center"/>
          </w:tcPr>
          <w:p w14:paraId="4F631034">
            <w:pPr>
              <w:pStyle w:val="32"/>
              <w:spacing w:line="240" w:lineRule="auto"/>
              <w:ind w:firstLine="0" w:firstLineChars="0"/>
              <w:jc w:val="center"/>
              <w:rPr>
                <w:sz w:val="15"/>
                <w:szCs w:val="15"/>
              </w:rPr>
            </w:pPr>
            <w:r>
              <w:rPr>
                <w:b/>
                <w:bCs/>
                <w:sz w:val="15"/>
                <w:szCs w:val="15"/>
              </w:rPr>
              <w:t xml:space="preserve">GNN + </w:t>
            </w:r>
            <w:r>
              <w:rPr>
                <w:rFonts w:hint="eastAsia"/>
                <w:b/>
                <w:bCs/>
                <w:sz w:val="15"/>
                <w:szCs w:val="15"/>
              </w:rPr>
              <w:t>图族结构</w:t>
            </w:r>
          </w:p>
        </w:tc>
        <w:tc>
          <w:tcPr>
            <w:tcW w:w="819" w:type="pct"/>
            <w:tcBorders>
              <w:top w:val="single" w:color="auto" w:sz="4" w:space="0"/>
            </w:tcBorders>
            <w:vAlign w:val="center"/>
          </w:tcPr>
          <w:p w14:paraId="26717C13">
            <w:pPr>
              <w:pStyle w:val="32"/>
              <w:spacing w:line="240" w:lineRule="auto"/>
              <w:ind w:firstLine="0" w:firstLineChars="0"/>
              <w:jc w:val="center"/>
              <w:rPr>
                <w:sz w:val="15"/>
                <w:szCs w:val="15"/>
              </w:rPr>
            </w:pPr>
            <w:r>
              <w:rPr>
                <w:b/>
                <w:bCs/>
                <w:sz w:val="15"/>
                <w:szCs w:val="15"/>
              </w:rPr>
              <w:t>99.91%</w:t>
            </w:r>
          </w:p>
        </w:tc>
        <w:tc>
          <w:tcPr>
            <w:tcW w:w="774" w:type="pct"/>
            <w:tcBorders>
              <w:top w:val="single" w:color="auto" w:sz="4" w:space="0"/>
            </w:tcBorders>
            <w:vAlign w:val="center"/>
          </w:tcPr>
          <w:p w14:paraId="6AB1AEEE">
            <w:pPr>
              <w:pStyle w:val="32"/>
              <w:spacing w:line="240" w:lineRule="auto"/>
              <w:ind w:firstLine="0" w:firstLineChars="0"/>
              <w:jc w:val="center"/>
              <w:rPr>
                <w:sz w:val="15"/>
                <w:szCs w:val="15"/>
              </w:rPr>
            </w:pPr>
            <w:r>
              <w:rPr>
                <w:b/>
                <w:bCs/>
                <w:sz w:val="15"/>
                <w:szCs w:val="15"/>
              </w:rPr>
              <w:t>1.12%</w:t>
            </w:r>
          </w:p>
        </w:tc>
      </w:tr>
      <w:tr w14:paraId="7F0B12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512" w:type="pct"/>
            <w:vAlign w:val="center"/>
          </w:tcPr>
          <w:p w14:paraId="76EE4F1F">
            <w:pPr>
              <w:pStyle w:val="32"/>
              <w:spacing w:line="240" w:lineRule="auto"/>
              <w:ind w:firstLine="0" w:firstLineChars="0"/>
              <w:jc w:val="center"/>
              <w:rPr>
                <w:rFonts w:hint="eastAsia"/>
                <w:sz w:val="15"/>
                <w:szCs w:val="15"/>
                <w:vertAlign w:val="superscript"/>
              </w:rPr>
            </w:pPr>
            <w:r>
              <w:rPr>
                <w:sz w:val="15"/>
                <w:szCs w:val="15"/>
              </w:rPr>
              <w:t>TCAD’25</w:t>
            </w:r>
            <w:r>
              <w:rPr>
                <w:rFonts w:hint="eastAsia"/>
                <w:sz w:val="15"/>
                <w:szCs w:val="15"/>
                <w:vertAlign w:val="superscript"/>
              </w:rPr>
              <w:t>[7]</w:t>
            </w:r>
          </w:p>
        </w:tc>
        <w:tc>
          <w:tcPr>
            <w:tcW w:w="1895" w:type="pct"/>
            <w:vAlign w:val="center"/>
          </w:tcPr>
          <w:p w14:paraId="2F5E4A87">
            <w:pPr>
              <w:pStyle w:val="32"/>
              <w:spacing w:line="240" w:lineRule="auto"/>
              <w:ind w:firstLine="0" w:firstLineChars="0"/>
              <w:jc w:val="center"/>
              <w:rPr>
                <w:sz w:val="15"/>
                <w:szCs w:val="15"/>
              </w:rPr>
            </w:pPr>
            <w:r>
              <w:rPr>
                <w:sz w:val="15"/>
                <w:szCs w:val="15"/>
              </w:rPr>
              <w:t xml:space="preserve">GNN + </w:t>
            </w:r>
            <w:r>
              <w:rPr>
                <w:rFonts w:hint="eastAsia"/>
                <w:sz w:val="15"/>
                <w:szCs w:val="15"/>
              </w:rPr>
              <w:t>单层次图</w:t>
            </w:r>
          </w:p>
        </w:tc>
        <w:tc>
          <w:tcPr>
            <w:tcW w:w="819" w:type="pct"/>
            <w:vAlign w:val="center"/>
          </w:tcPr>
          <w:p w14:paraId="4F5DF708">
            <w:pPr>
              <w:pStyle w:val="32"/>
              <w:spacing w:line="240" w:lineRule="auto"/>
              <w:ind w:firstLine="0" w:firstLineChars="0"/>
              <w:jc w:val="center"/>
              <w:rPr>
                <w:sz w:val="15"/>
                <w:szCs w:val="15"/>
              </w:rPr>
            </w:pPr>
            <w:r>
              <w:rPr>
                <w:sz w:val="15"/>
                <w:szCs w:val="15"/>
              </w:rPr>
              <w:t>91.30%</w:t>
            </w:r>
          </w:p>
        </w:tc>
        <w:tc>
          <w:tcPr>
            <w:tcW w:w="774" w:type="pct"/>
            <w:vAlign w:val="center"/>
          </w:tcPr>
          <w:p w14:paraId="62DACD83">
            <w:pPr>
              <w:pStyle w:val="32"/>
              <w:spacing w:line="240" w:lineRule="auto"/>
              <w:ind w:firstLine="0" w:firstLineChars="0"/>
              <w:jc w:val="center"/>
              <w:rPr>
                <w:sz w:val="15"/>
                <w:szCs w:val="15"/>
              </w:rPr>
            </w:pPr>
            <w:r>
              <w:rPr>
                <w:sz w:val="15"/>
                <w:szCs w:val="15"/>
              </w:rPr>
              <w:t>8.40%</w:t>
            </w:r>
          </w:p>
        </w:tc>
      </w:tr>
      <w:tr w14:paraId="1B8D26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512" w:type="pct"/>
            <w:vAlign w:val="center"/>
          </w:tcPr>
          <w:p w14:paraId="66C23E6B">
            <w:pPr>
              <w:pStyle w:val="32"/>
              <w:spacing w:line="240" w:lineRule="auto"/>
              <w:ind w:firstLine="0" w:firstLineChars="0"/>
              <w:jc w:val="center"/>
              <w:rPr>
                <w:rFonts w:hint="eastAsia"/>
                <w:sz w:val="15"/>
                <w:szCs w:val="15"/>
                <w:vertAlign w:val="superscript"/>
              </w:rPr>
            </w:pPr>
            <w:r>
              <w:rPr>
                <w:sz w:val="15"/>
                <w:szCs w:val="15"/>
              </w:rPr>
              <w:t>TODAES’22</w:t>
            </w:r>
            <w:r>
              <w:rPr>
                <w:rFonts w:hint="eastAsia"/>
                <w:sz w:val="15"/>
                <w:szCs w:val="15"/>
                <w:vertAlign w:val="superscript"/>
              </w:rPr>
              <w:t>[8]</w:t>
            </w:r>
          </w:p>
        </w:tc>
        <w:tc>
          <w:tcPr>
            <w:tcW w:w="1895" w:type="pct"/>
            <w:vAlign w:val="center"/>
          </w:tcPr>
          <w:p w14:paraId="44E17A18">
            <w:pPr>
              <w:pStyle w:val="32"/>
              <w:spacing w:line="240" w:lineRule="auto"/>
              <w:ind w:firstLine="0" w:firstLineChars="0"/>
              <w:jc w:val="center"/>
              <w:rPr>
                <w:sz w:val="15"/>
                <w:szCs w:val="15"/>
              </w:rPr>
            </w:pPr>
            <w:r>
              <w:rPr>
                <w:sz w:val="15"/>
                <w:szCs w:val="15"/>
              </w:rPr>
              <w:t xml:space="preserve">CNN + </w:t>
            </w:r>
            <w:r>
              <w:rPr>
                <w:rFonts w:hint="eastAsia"/>
                <w:sz w:val="15"/>
                <w:szCs w:val="15"/>
              </w:rPr>
              <w:t>贝叶斯优化</w:t>
            </w:r>
          </w:p>
        </w:tc>
        <w:tc>
          <w:tcPr>
            <w:tcW w:w="819" w:type="pct"/>
            <w:vAlign w:val="center"/>
          </w:tcPr>
          <w:p w14:paraId="1915C1CA">
            <w:pPr>
              <w:pStyle w:val="32"/>
              <w:spacing w:line="240" w:lineRule="auto"/>
              <w:ind w:firstLine="0" w:firstLineChars="0"/>
              <w:jc w:val="center"/>
              <w:rPr>
                <w:sz w:val="15"/>
                <w:szCs w:val="15"/>
              </w:rPr>
            </w:pPr>
            <w:r>
              <w:rPr>
                <w:sz w:val="15"/>
                <w:szCs w:val="15"/>
              </w:rPr>
              <w:t>76.00%</w:t>
            </w:r>
          </w:p>
        </w:tc>
        <w:tc>
          <w:tcPr>
            <w:tcW w:w="774" w:type="pct"/>
            <w:vAlign w:val="center"/>
          </w:tcPr>
          <w:p w14:paraId="72B81867">
            <w:pPr>
              <w:pStyle w:val="32"/>
              <w:spacing w:line="240" w:lineRule="auto"/>
              <w:ind w:firstLine="0" w:firstLineChars="0"/>
              <w:jc w:val="center"/>
              <w:rPr>
                <w:sz w:val="15"/>
                <w:szCs w:val="15"/>
              </w:rPr>
            </w:pPr>
            <w:r>
              <w:rPr>
                <w:sz w:val="15"/>
                <w:szCs w:val="15"/>
              </w:rPr>
              <w:t>2.60%</w:t>
            </w:r>
          </w:p>
        </w:tc>
      </w:tr>
      <w:tr w14:paraId="759D6F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512" w:type="pct"/>
            <w:vAlign w:val="center"/>
          </w:tcPr>
          <w:p w14:paraId="10FF32E5">
            <w:pPr>
              <w:pStyle w:val="32"/>
              <w:spacing w:line="240" w:lineRule="auto"/>
              <w:ind w:firstLine="0" w:firstLineChars="0"/>
              <w:jc w:val="center"/>
              <w:rPr>
                <w:rFonts w:hint="eastAsia"/>
                <w:sz w:val="15"/>
                <w:szCs w:val="15"/>
                <w:vertAlign w:val="superscript"/>
              </w:rPr>
            </w:pPr>
            <w:r>
              <w:rPr>
                <w:sz w:val="15"/>
                <w:szCs w:val="15"/>
              </w:rPr>
              <w:t>GLSVLSI’24</w:t>
            </w:r>
            <w:r>
              <w:rPr>
                <w:rFonts w:hint="eastAsia"/>
                <w:sz w:val="15"/>
                <w:szCs w:val="15"/>
                <w:vertAlign w:val="superscript"/>
              </w:rPr>
              <w:t>[9]</w:t>
            </w:r>
          </w:p>
        </w:tc>
        <w:tc>
          <w:tcPr>
            <w:tcW w:w="1895" w:type="pct"/>
            <w:vAlign w:val="center"/>
          </w:tcPr>
          <w:p w14:paraId="29502FCB">
            <w:pPr>
              <w:pStyle w:val="32"/>
              <w:spacing w:line="240" w:lineRule="auto"/>
              <w:ind w:firstLine="0" w:firstLineChars="0"/>
              <w:jc w:val="center"/>
              <w:rPr>
                <w:sz w:val="15"/>
                <w:szCs w:val="15"/>
              </w:rPr>
            </w:pPr>
            <w:r>
              <w:rPr>
                <w:sz w:val="15"/>
                <w:szCs w:val="15"/>
              </w:rPr>
              <w:t xml:space="preserve">CNN + </w:t>
            </w:r>
            <w:r>
              <w:rPr>
                <w:rFonts w:hint="eastAsia"/>
                <w:sz w:val="15"/>
                <w:szCs w:val="15"/>
              </w:rPr>
              <w:t>特征融合学习</w:t>
            </w:r>
          </w:p>
        </w:tc>
        <w:tc>
          <w:tcPr>
            <w:tcW w:w="819" w:type="pct"/>
            <w:vAlign w:val="center"/>
          </w:tcPr>
          <w:p w14:paraId="044645DB">
            <w:pPr>
              <w:pStyle w:val="32"/>
              <w:spacing w:line="240" w:lineRule="auto"/>
              <w:ind w:firstLine="0" w:firstLineChars="0"/>
              <w:jc w:val="center"/>
              <w:rPr>
                <w:sz w:val="15"/>
                <w:szCs w:val="15"/>
              </w:rPr>
            </w:pPr>
            <w:r>
              <w:rPr>
                <w:sz w:val="15"/>
                <w:szCs w:val="15"/>
              </w:rPr>
              <w:t>62.30%</w:t>
            </w:r>
          </w:p>
        </w:tc>
        <w:tc>
          <w:tcPr>
            <w:tcW w:w="774" w:type="pct"/>
            <w:vAlign w:val="center"/>
          </w:tcPr>
          <w:p w14:paraId="16F2A480">
            <w:pPr>
              <w:pStyle w:val="32"/>
              <w:spacing w:line="240" w:lineRule="auto"/>
              <w:ind w:firstLine="0" w:firstLineChars="0"/>
              <w:jc w:val="center"/>
              <w:rPr>
                <w:sz w:val="15"/>
                <w:szCs w:val="15"/>
              </w:rPr>
            </w:pPr>
            <w:r>
              <w:rPr>
                <w:sz w:val="15"/>
                <w:szCs w:val="15"/>
              </w:rPr>
              <w:t>3.70%</w:t>
            </w:r>
          </w:p>
        </w:tc>
      </w:tr>
      <w:tr w14:paraId="73557D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512" w:type="pct"/>
            <w:tcBorders>
              <w:bottom w:val="single" w:color="auto" w:sz="12" w:space="0"/>
            </w:tcBorders>
            <w:vAlign w:val="center"/>
          </w:tcPr>
          <w:p w14:paraId="33DDD3D7">
            <w:pPr>
              <w:pStyle w:val="32"/>
              <w:spacing w:line="240" w:lineRule="auto"/>
              <w:ind w:firstLine="0" w:firstLineChars="0"/>
              <w:jc w:val="center"/>
              <w:rPr>
                <w:sz w:val="15"/>
                <w:szCs w:val="15"/>
              </w:rPr>
            </w:pPr>
            <w:r>
              <w:rPr>
                <w:rFonts w:hint="eastAsia"/>
                <w:sz w:val="15"/>
                <w:szCs w:val="15"/>
              </w:rPr>
              <w:t>本文基准模型</w:t>
            </w:r>
          </w:p>
        </w:tc>
        <w:tc>
          <w:tcPr>
            <w:tcW w:w="1895" w:type="pct"/>
            <w:tcBorders>
              <w:bottom w:val="single" w:color="auto" w:sz="12" w:space="0"/>
            </w:tcBorders>
            <w:vAlign w:val="center"/>
          </w:tcPr>
          <w:p w14:paraId="6014A90F">
            <w:pPr>
              <w:pStyle w:val="32"/>
              <w:spacing w:line="240" w:lineRule="auto"/>
              <w:ind w:firstLine="0" w:firstLineChars="0"/>
              <w:jc w:val="center"/>
              <w:rPr>
                <w:sz w:val="15"/>
                <w:szCs w:val="15"/>
              </w:rPr>
            </w:pPr>
            <w:r>
              <w:rPr>
                <w:sz w:val="15"/>
                <w:szCs w:val="15"/>
              </w:rPr>
              <w:t xml:space="preserve">CNN + </w:t>
            </w:r>
            <w:r>
              <w:rPr>
                <w:rFonts w:hint="eastAsia"/>
                <w:sz w:val="15"/>
                <w:szCs w:val="15"/>
              </w:rPr>
              <w:t>度量学习</w:t>
            </w:r>
          </w:p>
        </w:tc>
        <w:tc>
          <w:tcPr>
            <w:tcW w:w="819" w:type="pct"/>
            <w:tcBorders>
              <w:bottom w:val="single" w:color="auto" w:sz="12" w:space="0"/>
            </w:tcBorders>
            <w:vAlign w:val="center"/>
          </w:tcPr>
          <w:p w14:paraId="13A68902">
            <w:pPr>
              <w:pStyle w:val="32"/>
              <w:spacing w:line="240" w:lineRule="auto"/>
              <w:ind w:firstLine="0" w:firstLineChars="0"/>
              <w:jc w:val="center"/>
              <w:rPr>
                <w:sz w:val="15"/>
                <w:szCs w:val="15"/>
              </w:rPr>
            </w:pPr>
            <w:r>
              <w:rPr>
                <w:sz w:val="15"/>
                <w:szCs w:val="15"/>
              </w:rPr>
              <w:t>52.83%</w:t>
            </w:r>
          </w:p>
        </w:tc>
        <w:tc>
          <w:tcPr>
            <w:tcW w:w="774" w:type="pct"/>
            <w:tcBorders>
              <w:bottom w:val="single" w:color="auto" w:sz="12" w:space="0"/>
            </w:tcBorders>
            <w:vAlign w:val="center"/>
          </w:tcPr>
          <w:p w14:paraId="76E2BC0F">
            <w:pPr>
              <w:pStyle w:val="32"/>
              <w:spacing w:line="240" w:lineRule="auto"/>
              <w:ind w:firstLine="0" w:firstLineChars="0"/>
              <w:jc w:val="center"/>
              <w:rPr>
                <w:sz w:val="15"/>
                <w:szCs w:val="15"/>
              </w:rPr>
            </w:pPr>
            <w:r>
              <w:rPr>
                <w:sz w:val="15"/>
                <w:szCs w:val="15"/>
              </w:rPr>
              <w:t>7.12%</w:t>
            </w:r>
          </w:p>
        </w:tc>
      </w:tr>
    </w:tbl>
    <w:p w14:paraId="071DA5DD">
      <w:pPr>
        <w:pStyle w:val="3"/>
        <w:tabs>
          <w:tab w:val="left" w:pos="1080"/>
          <w:tab w:val="left" w:pos="1260"/>
        </w:tabs>
        <w:adjustRightInd w:val="0"/>
        <w:snapToGrid w:val="0"/>
        <w:spacing w:line="340" w:lineRule="exact"/>
        <w:ind w:firstLine="422" w:firstLineChars="200"/>
        <w:outlineLvl w:val="2"/>
        <w:rPr>
          <w:rFonts w:hint="eastAsia" w:eastAsia="黑体"/>
          <w:b/>
          <w:bCs/>
          <w:sz w:val="21"/>
          <w:szCs w:val="21"/>
        </w:rPr>
      </w:pPr>
      <w:r>
        <w:rPr>
          <w:rFonts w:hint="eastAsia" w:eastAsia="黑体"/>
          <w:b/>
          <w:bCs/>
          <w:sz w:val="21"/>
          <w:szCs w:val="21"/>
        </w:rPr>
        <w:t>4.2 消融实验与分析</w:t>
      </w:r>
    </w:p>
    <w:p w14:paraId="63D8B3C6">
      <w:pPr>
        <w:pStyle w:val="32"/>
        <w:rPr>
          <w:rFonts w:hint="eastAsia"/>
        </w:rPr>
      </w:pPr>
      <w:r>
        <w:rPr>
          <w:rFonts w:hint="eastAsia"/>
        </w:rPr>
        <w:t>消融实验通过移除或简化两个模型的不同结构或模块，评价模型性能影响。对基准模型的消融实验表明：移除注意力模块后准确率降至 48.78%，召回率仅为 0.53%，显示其在聚焦热点特征中的关键作用；而简化分类器结构对整体性能影响较小。对改进模型的消融实验显示：去除大图层 GNN 分支将误报率提高至 24.86%，表明宏观上下文建模在降低误判中的核心地位；移除内环子图分支导致召回率降至 14.72%，说明该部分在热点区域识别中的重要性；消息传递深度从三跳降为一跳时，召回率下降至 35.64%，反映远程依赖信息对识别性能的贡献。</w:t>
      </w:r>
    </w:p>
    <w:p w14:paraId="5C302248">
      <w:pPr>
        <w:tabs>
          <w:tab w:val="left" w:pos="1080"/>
          <w:tab w:val="left" w:pos="1260"/>
        </w:tabs>
        <w:spacing w:line="340" w:lineRule="exact"/>
        <w:ind w:firstLine="422" w:firstLineChars="200"/>
        <w:jc w:val="center"/>
        <w:rPr>
          <w:rFonts w:eastAsia="黑体"/>
          <w:b/>
          <w:bCs/>
        </w:rPr>
      </w:pPr>
      <w:r>
        <w:rPr>
          <w:rFonts w:eastAsia="黑体"/>
          <w:b/>
          <w:bCs/>
        </w:rPr>
        <w:t>参考文献</w:t>
      </w:r>
    </w:p>
    <w:p w14:paraId="62B4F353">
      <w:pPr>
        <w:tabs>
          <w:tab w:val="left" w:pos="1080"/>
          <w:tab w:val="left" w:pos="1260"/>
        </w:tabs>
        <w:rPr>
          <w:rFonts w:eastAsia="楷体"/>
          <w:sz w:val="18"/>
          <w:szCs w:val="18"/>
        </w:rPr>
      </w:pPr>
      <w:r>
        <w:rPr>
          <w:rFonts w:hint="eastAsia" w:eastAsia="楷体"/>
          <w:sz w:val="18"/>
          <w:szCs w:val="18"/>
        </w:rPr>
        <w:t xml:space="preserve">1 </w:t>
      </w:r>
      <w:r>
        <w:rPr>
          <w:rFonts w:eastAsia="楷体"/>
          <w:sz w:val="18"/>
          <w:szCs w:val="18"/>
        </w:rPr>
        <w:t>Yu Y T, Jiang H R, Zhang Y, et al. U.S. Patent No. 9,594,867: Integrated layout method for polygon via shapes[P]. 2017-03-14.</w:t>
      </w:r>
    </w:p>
    <w:p w14:paraId="6AC48113">
      <w:pPr>
        <w:tabs>
          <w:tab w:val="left" w:pos="1080"/>
          <w:tab w:val="left" w:pos="1260"/>
        </w:tabs>
        <w:rPr>
          <w:rFonts w:hint="eastAsia" w:eastAsia="楷体"/>
          <w:sz w:val="18"/>
          <w:szCs w:val="18"/>
        </w:rPr>
      </w:pPr>
      <w:r>
        <w:rPr>
          <w:rFonts w:hint="eastAsia" w:eastAsia="楷体"/>
          <w:sz w:val="18"/>
          <w:szCs w:val="18"/>
        </w:rPr>
        <w:t xml:space="preserve">2 </w:t>
      </w:r>
      <w:r>
        <w:rPr>
          <w:rFonts w:eastAsia="楷体"/>
          <w:sz w:val="18"/>
          <w:szCs w:val="18"/>
        </w:rPr>
        <w:t>Szegedy C, Vanhoucke V, Ioffe S, Shlens J, Wojna Z. Rethinking the inception architecture for computer vision[C]. Proceedings of the IEEE Conference on Computer Vision and Pattern Recognition (CVPR). IEEE, 2016: 2818–2826.</w:t>
      </w:r>
    </w:p>
    <w:p w14:paraId="1B83B17D">
      <w:pPr>
        <w:tabs>
          <w:tab w:val="left" w:pos="1080"/>
          <w:tab w:val="left" w:pos="1260"/>
        </w:tabs>
        <w:rPr>
          <w:rFonts w:eastAsia="楷体"/>
          <w:sz w:val="18"/>
          <w:szCs w:val="18"/>
        </w:rPr>
      </w:pPr>
      <w:r>
        <w:rPr>
          <w:rFonts w:hint="eastAsia" w:eastAsia="楷体"/>
          <w:sz w:val="18"/>
          <w:szCs w:val="18"/>
        </w:rPr>
        <w:t xml:space="preserve">3 </w:t>
      </w:r>
      <w:r>
        <w:rPr>
          <w:rFonts w:eastAsia="楷体"/>
          <w:sz w:val="18"/>
          <w:szCs w:val="18"/>
        </w:rPr>
        <w:t>Woo S, Park J, Lee J-Y, Kweon I S. CBAM: Convolutional block attention module[C]. Proceedings of the European Conference on Computer Vision (ECCV). Springer, 2018: 3–19.</w:t>
      </w:r>
    </w:p>
    <w:p w14:paraId="2383C7DA">
      <w:pPr>
        <w:tabs>
          <w:tab w:val="left" w:pos="1080"/>
          <w:tab w:val="left" w:pos="1260"/>
        </w:tabs>
        <w:rPr>
          <w:rFonts w:eastAsia="楷体"/>
          <w:sz w:val="18"/>
          <w:szCs w:val="18"/>
        </w:rPr>
      </w:pPr>
      <w:r>
        <w:rPr>
          <w:rFonts w:hint="eastAsia" w:eastAsia="楷体"/>
          <w:sz w:val="18"/>
          <w:szCs w:val="18"/>
        </w:rPr>
        <w:t xml:space="preserve">4 </w:t>
      </w:r>
      <w:r>
        <w:rPr>
          <w:rFonts w:eastAsia="楷体"/>
          <w:sz w:val="18"/>
          <w:szCs w:val="18"/>
        </w:rPr>
        <w:t>Sun S, Jiang Y, Yang F, Yu B, Zeng X. Efficient hotspot detection via graph neural network[C]. 2022 Design, Automation &amp; Test in Europe Conference &amp; Exhibition (DATE). Antwerp, Belgium: IEEE, 2022: 1233-1238.</w:t>
      </w:r>
    </w:p>
    <w:p w14:paraId="50DCC443">
      <w:pPr>
        <w:tabs>
          <w:tab w:val="left" w:pos="1080"/>
          <w:tab w:val="left" w:pos="1260"/>
        </w:tabs>
        <w:rPr>
          <w:rFonts w:eastAsia="楷体"/>
          <w:b/>
          <w:bCs/>
          <w:sz w:val="18"/>
          <w:szCs w:val="18"/>
        </w:rPr>
      </w:pPr>
      <w:r>
        <w:rPr>
          <w:rFonts w:hint="eastAsia" w:eastAsia="楷体"/>
          <w:sz w:val="18"/>
          <w:szCs w:val="18"/>
        </w:rPr>
        <w:t xml:space="preserve">5 </w:t>
      </w:r>
      <w:r>
        <w:rPr>
          <w:rFonts w:eastAsia="楷体"/>
          <w:sz w:val="18"/>
          <w:szCs w:val="18"/>
        </w:rPr>
        <w:t>Torres J A. ICCAD-2012 CAD contest in fuzzy pattern matching for physical verification and benchmark suite[C]</w:t>
      </w:r>
      <w:r>
        <w:rPr>
          <w:rFonts w:hint="eastAsia" w:eastAsia="楷体"/>
          <w:sz w:val="18"/>
          <w:szCs w:val="18"/>
        </w:rPr>
        <w:t xml:space="preserve">. </w:t>
      </w:r>
      <w:r>
        <w:rPr>
          <w:rFonts w:eastAsia="楷体"/>
          <w:sz w:val="18"/>
          <w:szCs w:val="18"/>
        </w:rPr>
        <w:t>Proceedings of the International Conference on Computer-Aided Design (ICCAD</w:t>
      </w:r>
      <w:r>
        <w:rPr>
          <w:rFonts w:hint="eastAsia" w:eastAsia="楷体"/>
          <w:sz w:val="18"/>
          <w:szCs w:val="18"/>
        </w:rPr>
        <w:t>'</w:t>
      </w:r>
      <w:r>
        <w:rPr>
          <w:rFonts w:eastAsia="楷体"/>
          <w:sz w:val="18"/>
          <w:szCs w:val="18"/>
        </w:rPr>
        <w:t>12). New York: ACM, 2012: 349–35</w:t>
      </w:r>
      <w:r>
        <w:rPr>
          <w:rFonts w:hint="eastAsia" w:eastAsia="楷体"/>
          <w:sz w:val="18"/>
          <w:szCs w:val="18"/>
        </w:rPr>
        <w:t>8</w:t>
      </w:r>
      <w:r>
        <w:rPr>
          <w:rFonts w:eastAsia="楷体"/>
          <w:sz w:val="18"/>
          <w:szCs w:val="18"/>
        </w:rPr>
        <w:t>.</w:t>
      </w:r>
    </w:p>
    <w:p w14:paraId="0B30934F">
      <w:pPr>
        <w:tabs>
          <w:tab w:val="left" w:pos="1080"/>
          <w:tab w:val="left" w:pos="1260"/>
        </w:tabs>
        <w:rPr>
          <w:rFonts w:eastAsia="楷体"/>
          <w:sz w:val="18"/>
          <w:szCs w:val="18"/>
        </w:rPr>
      </w:pPr>
      <w:r>
        <w:rPr>
          <w:rFonts w:hint="eastAsia" w:eastAsia="楷体"/>
          <w:sz w:val="18"/>
          <w:szCs w:val="18"/>
        </w:rPr>
        <w:t xml:space="preserve">6 </w:t>
      </w:r>
      <w:r>
        <w:rPr>
          <w:rFonts w:eastAsia="楷体"/>
          <w:sz w:val="18"/>
          <w:szCs w:val="18"/>
        </w:rPr>
        <w:t>Reddy G R, Madkour K, Makris Y. Machine learning-based hotspot detection: fallacies, pitfalls and marching orders[C]</w:t>
      </w:r>
      <w:r>
        <w:rPr>
          <w:rFonts w:hint="eastAsia" w:eastAsia="楷体"/>
          <w:sz w:val="18"/>
          <w:szCs w:val="18"/>
        </w:rPr>
        <w:t xml:space="preserve">. </w:t>
      </w:r>
      <w:r>
        <w:rPr>
          <w:rFonts w:eastAsia="楷体"/>
          <w:sz w:val="18"/>
          <w:szCs w:val="18"/>
        </w:rPr>
        <w:t>Proceedings of the 2019 IEEE/ACM International Conference on Computer-Aided Design (ICCAD). IEEE, 2019: 1–8.</w:t>
      </w:r>
    </w:p>
    <w:p w14:paraId="43969AFA">
      <w:pPr>
        <w:tabs>
          <w:tab w:val="left" w:pos="1080"/>
          <w:tab w:val="left" w:pos="1260"/>
        </w:tabs>
        <w:rPr>
          <w:rFonts w:eastAsia="楷体"/>
          <w:sz w:val="18"/>
          <w:szCs w:val="18"/>
        </w:rPr>
      </w:pPr>
      <w:r>
        <w:rPr>
          <w:rFonts w:hint="eastAsia" w:eastAsia="楷体"/>
          <w:sz w:val="18"/>
          <w:szCs w:val="18"/>
        </w:rPr>
        <w:t xml:space="preserve">7 </w:t>
      </w:r>
      <w:r>
        <w:rPr>
          <w:rFonts w:eastAsia="楷体"/>
          <w:sz w:val="18"/>
          <w:szCs w:val="18"/>
        </w:rPr>
        <w:t>Yan H, et al. A lightweight heterogeneous graph embedding framework for hotspot detection[J]. IEEE Transactions on Computer-Aided Design of Integrated Circuits and Systems, 2025, 1-7.</w:t>
      </w:r>
    </w:p>
    <w:p w14:paraId="70B1CE95">
      <w:pPr>
        <w:tabs>
          <w:tab w:val="left" w:pos="1080"/>
          <w:tab w:val="left" w:pos="1260"/>
        </w:tabs>
        <w:rPr>
          <w:rFonts w:eastAsia="楷体"/>
          <w:sz w:val="18"/>
          <w:szCs w:val="18"/>
        </w:rPr>
      </w:pPr>
      <w:r>
        <w:rPr>
          <w:rFonts w:hint="eastAsia" w:eastAsia="楷体"/>
          <w:sz w:val="18"/>
          <w:szCs w:val="18"/>
        </w:rPr>
        <w:t xml:space="preserve">8 </w:t>
      </w:r>
      <w:r>
        <w:rPr>
          <w:rFonts w:eastAsia="楷体"/>
          <w:sz w:val="18"/>
          <w:szCs w:val="18"/>
        </w:rPr>
        <w:t>Jiang Y, Yang F, Yu B, Zhou D, Zeng X. Efficient layout hotspot detection via neural architecture search[J]. ACM Transactions on Design Automation of Electronic Systems, 2022, 27(6): 1–16.</w:t>
      </w:r>
    </w:p>
    <w:p w14:paraId="3EF939E4">
      <w:pPr>
        <w:tabs>
          <w:tab w:val="left" w:pos="1080"/>
          <w:tab w:val="left" w:pos="1260"/>
        </w:tabs>
        <w:rPr>
          <w:rFonts w:hint="eastAsia" w:eastAsia="楷体"/>
          <w:sz w:val="18"/>
          <w:szCs w:val="18"/>
        </w:rPr>
      </w:pPr>
      <w:r>
        <w:rPr>
          <w:rFonts w:hint="eastAsia" w:eastAsia="楷体"/>
          <w:sz w:val="18"/>
          <w:szCs w:val="18"/>
        </w:rPr>
        <w:t xml:space="preserve">9 </w:t>
      </w:r>
      <w:r>
        <w:rPr>
          <w:rFonts w:eastAsia="楷体"/>
          <w:sz w:val="18"/>
          <w:szCs w:val="18"/>
        </w:rPr>
        <w:t>Wang C, Fang Y, Zhang S. Feature fusion based hotspot detection with R-EfficientNet[C]. Proceedings of the Great Lakes Symposium on VLSI 2024 (GLSVLSI ‘24). New York: ACM, 2024: 446–451.</w:t>
      </w:r>
    </w:p>
    <w:p w14:paraId="6AF3BA9C">
      <w:pPr>
        <w:pStyle w:val="27"/>
        <w:rPr>
          <w:rFonts w:hint="eastAsia" w:eastAsiaTheme="minorEastAsia"/>
        </w:rPr>
      </w:pPr>
      <w:r>
        <w:rPr>
          <w:rFonts w:hint="eastAsia" w:eastAsiaTheme="minorEastAsia"/>
        </w:rPr>
        <w:t>Research on lithography hotspot detection algorithm based on deep learning</w:t>
      </w:r>
    </w:p>
    <w:p w14:paraId="234AEFE2">
      <w:pPr>
        <w:tabs>
          <w:tab w:val="left" w:pos="1080"/>
          <w:tab w:val="left" w:pos="1260"/>
        </w:tabs>
        <w:adjustRightInd w:val="0"/>
        <w:snapToGrid w:val="0"/>
        <w:ind w:firstLine="480" w:firstLineChars="200"/>
        <w:jc w:val="center"/>
        <w:rPr>
          <w:sz w:val="24"/>
        </w:rPr>
      </w:pPr>
      <w:r>
        <w:rPr>
          <w:rFonts w:hint="eastAsia"/>
          <w:sz w:val="24"/>
          <w:lang w:val="en-US" w:eastAsia="zh-CN"/>
        </w:rPr>
        <w:t>&lt;Student Name&gt;</w:t>
      </w:r>
      <w:r>
        <w:rPr>
          <w:sz w:val="24"/>
        </w:rPr>
        <w:t xml:space="preserve"> </w:t>
      </w:r>
    </w:p>
    <w:p w14:paraId="0CE1693A">
      <w:pPr>
        <w:rPr>
          <w:rFonts w:hint="eastAsia"/>
          <w:szCs w:val="21"/>
        </w:rPr>
      </w:pPr>
      <w:r>
        <w:rPr>
          <w:rStyle w:val="15"/>
          <w:sz w:val="21"/>
          <w:szCs w:val="21"/>
        </w:rPr>
        <w:t xml:space="preserve">Abstract: </w:t>
      </w:r>
      <w:r>
        <w:rPr>
          <w:szCs w:val="21"/>
        </w:rPr>
        <w:t>Lithography hotspots have become a major bottleneck affecting chip yield as integrated circuit manufacturing continues to advance. To address the limitations of conventional modeling approaches in capturing both detailed attribute features and global spatial dependencies, this study proposed a deep learning-based multi-scale graph modeling method. Two detection models were designed: a baseline using image-based metric learning, and an improved model utilizing a graph neural network with a novel “graph family” structure. Experimental evaluations on the ICCAD’12 and ICCAD’19-1 benchmark datasets show that the improved model achieves a 42.6% increase in accuracy, an 89.1% improvement in recall, and an 84.3% reduction in false alarm rate, significantly outperforming recent mainstream methods such as TCAD’25 and GLSVLSI’24. Moreover, module-level ablation studies confirm the significant contribution of key components to the overall performance, further demonstrating the efficiency and practical value of the proposed method for lithography hotspot detection.</w:t>
      </w:r>
    </w:p>
    <w:p w14:paraId="0BDD3BB6">
      <w:pPr>
        <w:pStyle w:val="23"/>
        <w:tabs>
          <w:tab w:val="left" w:pos="1080"/>
          <w:tab w:val="left" w:pos="1260"/>
        </w:tabs>
        <w:jc w:val="both"/>
        <w:rPr>
          <w:rFonts w:hint="eastAsia"/>
          <w:w w:val="100"/>
        </w:rPr>
      </w:pPr>
      <w:r>
        <w:rPr>
          <w:rStyle w:val="15"/>
          <w:w w:val="100"/>
          <w:sz w:val="21"/>
          <w:szCs w:val="21"/>
        </w:rPr>
        <w:t>Key words：</w:t>
      </w:r>
      <w:r>
        <w:rPr>
          <w:w w:val="100"/>
        </w:rPr>
        <w:t>Lithography Hotspot Detection, Deep Learning, Graph Neural Network, Metric Learning, Multi-scale Graph Modeling</w:t>
      </w:r>
    </w:p>
    <w:sectPr>
      <w:pgSz w:w="11906" w:h="16838"/>
      <w:pgMar w:top="1134" w:right="1134" w:bottom="1134" w:left="1134" w:header="851" w:footer="850"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文鼎小标宋简">
    <w:altName w:val="微软雅黑"/>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等线 Light">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MingLiU">
    <w:altName w:val="思源黑體 TW Medium"/>
    <w:panose1 w:val="02010609000101010101"/>
    <w:charset w:val="88"/>
    <w:family w:val="modern"/>
    <w:pitch w:val="default"/>
    <w:sig w:usb0="00000000" w:usb1="00000000" w:usb2="00000016" w:usb3="00000000" w:csb0="00100001" w:csb1="00000000"/>
  </w:font>
  <w:font w:name="細明體">
    <w:altName w:val="Segoe Print"/>
    <w:panose1 w:val="00000000000000000000"/>
    <w:charset w:val="00"/>
    <w:family w:val="auto"/>
    <w:pitch w:val="default"/>
    <w:sig w:usb0="00000000" w:usb1="00000000" w:usb2="00000000" w:usb3="00000000" w:csb0="00000000" w:csb1="00000000"/>
  </w:font>
  <w:font w:name="方正小标宋简体">
    <w:altName w:val="微软雅黑"/>
    <w:panose1 w:val="00000000000000000000"/>
    <w:charset w:val="86"/>
    <w:family w:val="auto"/>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7AC64299">
      <w:pPr>
        <w:pStyle w:val="7"/>
      </w:pPr>
      <w:r>
        <w:rPr>
          <w:rStyle w:val="12"/>
        </w:rPr>
        <w:sym w:font="Symbol" w:char="F02A"/>
      </w:r>
      <w:r>
        <w:rPr>
          <w:rFonts w:hint="eastAsia" w:cs="宋体"/>
          <w:sz w:val="15"/>
          <w:szCs w:val="15"/>
          <w:lang w:val="en-US" w:eastAsia="zh-CN"/>
        </w:rPr>
        <w:t>***</w:t>
      </w:r>
      <w:r>
        <w:rPr>
          <w:rFonts w:hint="eastAsia" w:cs="宋体"/>
          <w:sz w:val="15"/>
          <w:szCs w:val="15"/>
        </w:rPr>
        <w:t>（</w:t>
      </w:r>
      <w:r>
        <w:rPr>
          <w:rFonts w:hint="eastAsia"/>
          <w:sz w:val="15"/>
          <w:szCs w:val="15"/>
          <w:lang w:val="en-US" w:eastAsia="zh-CN"/>
        </w:rPr>
        <w:t>***</w:t>
      </w:r>
      <w:r>
        <w:rPr>
          <w:sz w:val="15"/>
          <w:szCs w:val="15"/>
        </w:rPr>
        <w:t>—</w:t>
      </w:r>
      <w:r>
        <w:rPr>
          <w:rFonts w:hint="eastAsia" w:cs="宋体"/>
          <w:sz w:val="15"/>
          <w:szCs w:val="15"/>
        </w:rPr>
        <w:t>），男，自动化专业</w:t>
      </w:r>
      <w:bookmarkStart w:id="0" w:name="_GoBack"/>
      <w:bookmarkEnd w:id="0"/>
      <w:r>
        <w:rPr>
          <w:sz w:val="15"/>
          <w:szCs w:val="15"/>
        </w:rPr>
        <w:t>202</w:t>
      </w:r>
      <w:r>
        <w:rPr>
          <w:rFonts w:hint="eastAsia"/>
          <w:sz w:val="15"/>
          <w:szCs w:val="15"/>
        </w:rPr>
        <w:t>5</w:t>
      </w:r>
      <w:r>
        <w:rPr>
          <w:rFonts w:hint="eastAsia" w:cs="宋体"/>
          <w:sz w:val="15"/>
          <w:szCs w:val="15"/>
        </w:rPr>
        <w:t>届毕业生，工学学士</w:t>
      </w:r>
      <w:r>
        <w:rPr>
          <w:rFonts w:hint="eastAsia" w:cs="宋体"/>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footnotePr>
    <w:footnote w:id="2"/>
    <w:footnote w:id="3"/>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0DC3"/>
    <w:rsid w:val="00002BA9"/>
    <w:rsid w:val="00027B61"/>
    <w:rsid w:val="00040317"/>
    <w:rsid w:val="00066985"/>
    <w:rsid w:val="000731C9"/>
    <w:rsid w:val="00074394"/>
    <w:rsid w:val="000E2104"/>
    <w:rsid w:val="000E3B78"/>
    <w:rsid w:val="0013522A"/>
    <w:rsid w:val="001605C0"/>
    <w:rsid w:val="00186F89"/>
    <w:rsid w:val="001E7EBF"/>
    <w:rsid w:val="001F5F3F"/>
    <w:rsid w:val="001F7A86"/>
    <w:rsid w:val="00200A6C"/>
    <w:rsid w:val="0022660C"/>
    <w:rsid w:val="002A7574"/>
    <w:rsid w:val="002C27AB"/>
    <w:rsid w:val="002E1CB3"/>
    <w:rsid w:val="002F59F1"/>
    <w:rsid w:val="00300195"/>
    <w:rsid w:val="00307AF2"/>
    <w:rsid w:val="00311C2C"/>
    <w:rsid w:val="003507A8"/>
    <w:rsid w:val="003902AD"/>
    <w:rsid w:val="00392A37"/>
    <w:rsid w:val="003C3D5D"/>
    <w:rsid w:val="003D4DE6"/>
    <w:rsid w:val="003E2F69"/>
    <w:rsid w:val="003F56E0"/>
    <w:rsid w:val="00455B84"/>
    <w:rsid w:val="00495914"/>
    <w:rsid w:val="004C0BE5"/>
    <w:rsid w:val="00544C79"/>
    <w:rsid w:val="00562F54"/>
    <w:rsid w:val="00571035"/>
    <w:rsid w:val="0067243C"/>
    <w:rsid w:val="006A7776"/>
    <w:rsid w:val="006E26B1"/>
    <w:rsid w:val="0071234F"/>
    <w:rsid w:val="00721421"/>
    <w:rsid w:val="00745270"/>
    <w:rsid w:val="007501C2"/>
    <w:rsid w:val="007814A0"/>
    <w:rsid w:val="00806C91"/>
    <w:rsid w:val="008D07F3"/>
    <w:rsid w:val="0090592D"/>
    <w:rsid w:val="009178FB"/>
    <w:rsid w:val="00940DC3"/>
    <w:rsid w:val="0094726C"/>
    <w:rsid w:val="009721E5"/>
    <w:rsid w:val="009D7705"/>
    <w:rsid w:val="00A0640D"/>
    <w:rsid w:val="00A67783"/>
    <w:rsid w:val="00A86D1E"/>
    <w:rsid w:val="00AC4B43"/>
    <w:rsid w:val="00AC571F"/>
    <w:rsid w:val="00AD4156"/>
    <w:rsid w:val="00AE325F"/>
    <w:rsid w:val="00AF342F"/>
    <w:rsid w:val="00AF4CA4"/>
    <w:rsid w:val="00BD0939"/>
    <w:rsid w:val="00BF35BB"/>
    <w:rsid w:val="00C176FD"/>
    <w:rsid w:val="00C712B6"/>
    <w:rsid w:val="00C96628"/>
    <w:rsid w:val="00D21BB8"/>
    <w:rsid w:val="00D86357"/>
    <w:rsid w:val="00DE62ED"/>
    <w:rsid w:val="00E0725A"/>
    <w:rsid w:val="00E25624"/>
    <w:rsid w:val="00E42D23"/>
    <w:rsid w:val="00FA735A"/>
    <w:rsid w:val="00FE7972"/>
    <w:rsid w:val="54EE04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qFormat="1" w:unhideWhenUsed="0" w:uiPriority="0" w:semiHidden="0"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semiHidden="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both"/>
      <w:textAlignment w:val="baseline"/>
    </w:pPr>
    <w:rPr>
      <w:rFonts w:ascii="Times New Roman" w:hAnsi="Times New Roman" w:eastAsia="宋体" w:cs="Times New Roman"/>
      <w:kern w:val="2"/>
      <w:sz w:val="21"/>
      <w:szCs w:val="24"/>
      <w:lang w:val="en-US" w:eastAsia="zh-CN" w:bidi="ar-SA"/>
    </w:rPr>
  </w:style>
  <w:style w:type="paragraph" w:styleId="2">
    <w:name w:val="heading 1"/>
    <w:basedOn w:val="1"/>
    <w:next w:val="1"/>
    <w:link w:val="17"/>
    <w:qFormat/>
    <w:uiPriority w:val="0"/>
    <w:pPr>
      <w:keepNext/>
      <w:keepLines/>
      <w:widowControl w:val="0"/>
      <w:spacing w:line="640" w:lineRule="exact"/>
      <w:jc w:val="center"/>
      <w:textAlignment w:val="auto"/>
      <w:outlineLvl w:val="0"/>
    </w:pPr>
    <w:rPr>
      <w:rFonts w:ascii="Calibri" w:hAnsi="Calibri" w:eastAsia="黑体"/>
      <w:bCs/>
      <w:kern w:val="44"/>
      <w:sz w:val="32"/>
      <w:szCs w:val="44"/>
      <w:lang w:val="zh-CN"/>
    </w:rPr>
  </w:style>
  <w:style w:type="character" w:default="1" w:styleId="11">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Normal Indent"/>
    <w:basedOn w:val="1"/>
    <w:link w:val="33"/>
    <w:qFormat/>
    <w:uiPriority w:val="0"/>
    <w:pPr>
      <w:ind w:firstLine="420"/>
    </w:pPr>
    <w:rPr>
      <w:sz w:val="18"/>
      <w:szCs w:val="18"/>
    </w:rPr>
  </w:style>
  <w:style w:type="paragraph" w:styleId="4">
    <w:name w:val="Balloon Text"/>
    <w:basedOn w:val="1"/>
    <w:link w:val="14"/>
    <w:qFormat/>
    <w:uiPriority w:val="0"/>
    <w:rPr>
      <w:rFonts w:ascii="Calibri" w:hAnsi="Calibri"/>
      <w:sz w:val="18"/>
      <w:szCs w:val="18"/>
    </w:rPr>
  </w:style>
  <w:style w:type="paragraph" w:styleId="5">
    <w:name w:val="footer"/>
    <w:basedOn w:val="1"/>
    <w:link w:val="36"/>
    <w:unhideWhenUsed/>
    <w:qFormat/>
    <w:uiPriority w:val="99"/>
    <w:pPr>
      <w:tabs>
        <w:tab w:val="center" w:pos="4153"/>
        <w:tab w:val="right" w:pos="8306"/>
      </w:tabs>
      <w:snapToGrid w:val="0"/>
      <w:jc w:val="left"/>
    </w:pPr>
    <w:rPr>
      <w:sz w:val="18"/>
      <w:szCs w:val="18"/>
    </w:rPr>
  </w:style>
  <w:style w:type="paragraph" w:styleId="6">
    <w:name w:val="header"/>
    <w:basedOn w:val="1"/>
    <w:link w:val="35"/>
    <w:unhideWhenUsed/>
    <w:qFormat/>
    <w:uiPriority w:val="99"/>
    <w:pPr>
      <w:tabs>
        <w:tab w:val="center" w:pos="4153"/>
        <w:tab w:val="right" w:pos="8306"/>
      </w:tabs>
      <w:snapToGrid w:val="0"/>
      <w:jc w:val="center"/>
    </w:pPr>
    <w:rPr>
      <w:sz w:val="18"/>
      <w:szCs w:val="18"/>
    </w:rPr>
  </w:style>
  <w:style w:type="paragraph" w:styleId="7">
    <w:name w:val="footnote text"/>
    <w:basedOn w:val="1"/>
    <w:link w:val="19"/>
    <w:qFormat/>
    <w:uiPriority w:val="0"/>
    <w:pPr>
      <w:snapToGrid w:val="0"/>
      <w:jc w:val="left"/>
    </w:pPr>
    <w:rPr>
      <w:sz w:val="18"/>
      <w:szCs w:val="18"/>
    </w:rPr>
  </w:style>
  <w:style w:type="paragraph" w:styleId="8">
    <w:name w:val="Title"/>
    <w:basedOn w:val="1"/>
    <w:next w:val="1"/>
    <w:link w:val="16"/>
    <w:qFormat/>
    <w:uiPriority w:val="0"/>
    <w:pPr>
      <w:widowControl w:val="0"/>
      <w:spacing w:line="640" w:lineRule="exact"/>
      <w:jc w:val="center"/>
      <w:textAlignment w:val="auto"/>
      <w:outlineLvl w:val="0"/>
    </w:pPr>
    <w:rPr>
      <w:rFonts w:ascii="Cambria" w:hAnsi="Cambria" w:eastAsia="文鼎小标宋简" w:cstheme="minorBidi"/>
      <w:bCs/>
      <w:sz w:val="44"/>
      <w:szCs w:val="32"/>
    </w:rPr>
  </w:style>
  <w:style w:type="table" w:styleId="10">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footnote reference"/>
    <w:qFormat/>
    <w:uiPriority w:val="0"/>
    <w:rPr>
      <w:vertAlign w:val="superscript"/>
    </w:rPr>
  </w:style>
  <w:style w:type="character" w:customStyle="1" w:styleId="13">
    <w:name w:val="标题 1 字符"/>
    <w:basedOn w:val="11"/>
    <w:qFormat/>
    <w:uiPriority w:val="9"/>
    <w:rPr>
      <w:rFonts w:ascii="Times New Roman" w:hAnsi="Times New Roman" w:eastAsia="宋体" w:cs="Times New Roman"/>
      <w:b/>
      <w:bCs/>
      <w:kern w:val="44"/>
      <w:sz w:val="44"/>
      <w:szCs w:val="44"/>
    </w:rPr>
  </w:style>
  <w:style w:type="character" w:customStyle="1" w:styleId="14">
    <w:name w:val="批注框文本 字符1"/>
    <w:link w:val="4"/>
    <w:qFormat/>
    <w:uiPriority w:val="0"/>
    <w:rPr>
      <w:rFonts w:ascii="Calibri" w:hAnsi="Calibri" w:eastAsia="宋体" w:cs="Times New Roman"/>
      <w:sz w:val="18"/>
      <w:szCs w:val="18"/>
    </w:rPr>
  </w:style>
  <w:style w:type="character" w:customStyle="1" w:styleId="15">
    <w:name w:val="样式 样式8 + 加粗 Char Char Char Char"/>
    <w:qFormat/>
    <w:uiPriority w:val="0"/>
    <w:rPr>
      <w:rFonts w:eastAsia="宋体"/>
      <w:b/>
      <w:bCs/>
      <w:kern w:val="2"/>
      <w:sz w:val="24"/>
      <w:szCs w:val="24"/>
      <w:lang w:val="en-US" w:eastAsia="zh-CN"/>
    </w:rPr>
  </w:style>
  <w:style w:type="character" w:customStyle="1" w:styleId="16">
    <w:name w:val="标题 字符1"/>
    <w:link w:val="8"/>
    <w:qFormat/>
    <w:uiPriority w:val="0"/>
    <w:rPr>
      <w:rFonts w:ascii="Cambria" w:hAnsi="Cambria" w:eastAsia="文鼎小标宋简"/>
      <w:bCs/>
      <w:sz w:val="44"/>
      <w:szCs w:val="32"/>
    </w:rPr>
  </w:style>
  <w:style w:type="character" w:customStyle="1" w:styleId="17">
    <w:name w:val="标题 1 字符1"/>
    <w:link w:val="2"/>
    <w:qFormat/>
    <w:uiPriority w:val="0"/>
    <w:rPr>
      <w:rFonts w:ascii="Calibri" w:hAnsi="Calibri" w:eastAsia="黑体" w:cs="Times New Roman"/>
      <w:bCs/>
      <w:kern w:val="44"/>
      <w:sz w:val="32"/>
      <w:szCs w:val="44"/>
      <w:lang w:val="zh-CN" w:eastAsia="zh-CN"/>
    </w:rPr>
  </w:style>
  <w:style w:type="character" w:customStyle="1" w:styleId="18">
    <w:name w:val="标题 字符"/>
    <w:basedOn w:val="11"/>
    <w:qFormat/>
    <w:uiPriority w:val="10"/>
    <w:rPr>
      <w:rFonts w:asciiTheme="majorHAnsi" w:hAnsiTheme="majorHAnsi" w:eastAsiaTheme="majorEastAsia" w:cstheme="majorBidi"/>
      <w:b/>
      <w:bCs/>
      <w:sz w:val="32"/>
      <w:szCs w:val="32"/>
    </w:rPr>
  </w:style>
  <w:style w:type="character" w:customStyle="1" w:styleId="19">
    <w:name w:val="脚注文本 字符"/>
    <w:basedOn w:val="11"/>
    <w:link w:val="7"/>
    <w:qFormat/>
    <w:uiPriority w:val="0"/>
    <w:rPr>
      <w:rFonts w:ascii="Times New Roman" w:hAnsi="Times New Roman" w:eastAsia="宋体" w:cs="Times New Roman"/>
      <w:sz w:val="18"/>
      <w:szCs w:val="18"/>
    </w:rPr>
  </w:style>
  <w:style w:type="character" w:customStyle="1" w:styleId="20">
    <w:name w:val="批注框文本 字符"/>
    <w:basedOn w:val="11"/>
    <w:semiHidden/>
    <w:qFormat/>
    <w:uiPriority w:val="99"/>
    <w:rPr>
      <w:rFonts w:ascii="Times New Roman" w:hAnsi="Times New Roman" w:eastAsia="宋体" w:cs="Times New Roman"/>
      <w:sz w:val="18"/>
      <w:szCs w:val="18"/>
    </w:rPr>
  </w:style>
  <w:style w:type="paragraph" w:customStyle="1" w:styleId="21">
    <w:name w:val="样式 样式 标题 + 段前: 自动 段后: 自动 行距: 固定值 18 磅 + 段前: 7.8 磅 段后: 7.8 磅"/>
    <w:basedOn w:val="1"/>
    <w:qFormat/>
    <w:uiPriority w:val="0"/>
    <w:pPr>
      <w:tabs>
        <w:tab w:val="left" w:pos="3960"/>
      </w:tabs>
      <w:suppressAutoHyphens/>
      <w:adjustRightInd w:val="0"/>
      <w:snapToGrid w:val="0"/>
      <w:spacing w:line="310" w:lineRule="exact"/>
      <w:outlineLvl w:val="0"/>
    </w:pPr>
    <w:rPr>
      <w:rFonts w:ascii="Arial" w:hAnsi="Arial" w:cs="Arial"/>
      <w:kern w:val="0"/>
      <w:szCs w:val="21"/>
    </w:rPr>
  </w:style>
  <w:style w:type="paragraph" w:customStyle="1" w:styleId="22">
    <w:name w:val="样式37"/>
    <w:basedOn w:val="23"/>
    <w:qFormat/>
    <w:uiPriority w:val="0"/>
  </w:style>
  <w:style w:type="paragraph" w:customStyle="1" w:styleId="23">
    <w:name w:val="样式8"/>
    <w:basedOn w:val="1"/>
    <w:qFormat/>
    <w:uiPriority w:val="0"/>
    <w:pPr>
      <w:jc w:val="center"/>
    </w:pPr>
    <w:rPr>
      <w:w w:val="80"/>
      <w:sz w:val="18"/>
      <w:szCs w:val="18"/>
    </w:rPr>
  </w:style>
  <w:style w:type="paragraph" w:customStyle="1" w:styleId="24">
    <w:name w:val="样式 居中 首行缩进:  0.85 厘米 行距: 1.5 倍行距"/>
    <w:basedOn w:val="1"/>
    <w:qFormat/>
    <w:uiPriority w:val="0"/>
    <w:pPr>
      <w:spacing w:line="360" w:lineRule="auto"/>
      <w:jc w:val="center"/>
    </w:pPr>
    <w:rPr>
      <w:sz w:val="18"/>
      <w:szCs w:val="18"/>
    </w:rPr>
  </w:style>
  <w:style w:type="paragraph" w:customStyle="1" w:styleId="25">
    <w:name w:val="样式7"/>
    <w:basedOn w:val="1"/>
    <w:qFormat/>
    <w:uiPriority w:val="0"/>
    <w:pPr>
      <w:adjustRightInd w:val="0"/>
      <w:snapToGrid w:val="0"/>
      <w:spacing w:line="340" w:lineRule="exact"/>
      <w:jc w:val="center"/>
    </w:pPr>
    <w:rPr>
      <w:rFonts w:ascii="黑体" w:eastAsia="黑体" w:cs="黑体"/>
      <w:sz w:val="24"/>
    </w:rPr>
  </w:style>
  <w:style w:type="paragraph" w:customStyle="1" w:styleId="26">
    <w:name w:val="样式6"/>
    <w:basedOn w:val="1"/>
    <w:qFormat/>
    <w:uiPriority w:val="0"/>
    <w:pPr>
      <w:tabs>
        <w:tab w:val="left" w:pos="1080"/>
        <w:tab w:val="left" w:pos="1260"/>
      </w:tabs>
      <w:adjustRightInd w:val="0"/>
      <w:spacing w:line="340" w:lineRule="exact"/>
      <w:ind w:right="-27" w:rightChars="-13" w:firstLine="420" w:firstLineChars="200"/>
    </w:pPr>
    <w:rPr>
      <w:color w:val="000000"/>
      <w:szCs w:val="21"/>
    </w:rPr>
  </w:style>
  <w:style w:type="paragraph" w:customStyle="1" w:styleId="27">
    <w:name w:val="样式10"/>
    <w:basedOn w:val="1"/>
    <w:qFormat/>
    <w:uiPriority w:val="0"/>
    <w:pPr>
      <w:tabs>
        <w:tab w:val="left" w:pos="1080"/>
        <w:tab w:val="left" w:pos="1260"/>
      </w:tabs>
      <w:adjustRightInd w:val="0"/>
      <w:snapToGrid w:val="0"/>
      <w:jc w:val="center"/>
    </w:pPr>
    <w:rPr>
      <w:rFonts w:eastAsia="MingLiU"/>
      <w:b/>
      <w:bCs/>
      <w:sz w:val="28"/>
      <w:szCs w:val="28"/>
    </w:rPr>
  </w:style>
  <w:style w:type="paragraph" w:customStyle="1" w:styleId="28">
    <w:name w:val="小作文标题"/>
    <w:basedOn w:val="8"/>
    <w:link w:val="29"/>
    <w:qFormat/>
    <w:uiPriority w:val="0"/>
    <w:pPr>
      <w:tabs>
        <w:tab w:val="left" w:pos="1080"/>
        <w:tab w:val="left" w:pos="1260"/>
        <w:tab w:val="left" w:pos="3960"/>
      </w:tabs>
      <w:spacing w:before="600" w:after="200"/>
    </w:pPr>
    <w:rPr>
      <w:rFonts w:ascii="宋体" w:hAnsi="宋体" w:eastAsia="宋体"/>
    </w:rPr>
  </w:style>
  <w:style w:type="character" w:customStyle="1" w:styleId="29">
    <w:name w:val="小作文标题 字符"/>
    <w:basedOn w:val="16"/>
    <w:link w:val="28"/>
    <w:qFormat/>
    <w:uiPriority w:val="0"/>
    <w:rPr>
      <w:rFonts w:ascii="宋体" w:hAnsi="宋体" w:eastAsia="宋体"/>
      <w:kern w:val="2"/>
      <w:sz w:val="44"/>
      <w:szCs w:val="32"/>
    </w:rPr>
  </w:style>
  <w:style w:type="paragraph" w:customStyle="1" w:styleId="30">
    <w:name w:val="小作文二级标题"/>
    <w:basedOn w:val="2"/>
    <w:link w:val="31"/>
    <w:qFormat/>
    <w:uiPriority w:val="0"/>
    <w:pPr>
      <w:tabs>
        <w:tab w:val="left" w:pos="1080"/>
        <w:tab w:val="left" w:pos="1260"/>
      </w:tabs>
      <w:spacing w:before="156" w:beforeLines="50" w:after="156" w:afterLines="50" w:line="240" w:lineRule="exact"/>
      <w:ind w:firstLine="480" w:firstLineChars="200"/>
      <w:jc w:val="both"/>
    </w:pPr>
    <w:rPr>
      <w:rFonts w:ascii="Times New Roman" w:hAnsi="Times New Roman"/>
      <w:sz w:val="24"/>
      <w:szCs w:val="24"/>
    </w:rPr>
  </w:style>
  <w:style w:type="character" w:customStyle="1" w:styleId="31">
    <w:name w:val="小作文二级标题 字符"/>
    <w:basedOn w:val="17"/>
    <w:link w:val="30"/>
    <w:qFormat/>
    <w:uiPriority w:val="0"/>
    <w:rPr>
      <w:rFonts w:ascii="Times New Roman" w:hAnsi="Times New Roman" w:eastAsia="黑体" w:cs="Times New Roman"/>
      <w:kern w:val="44"/>
      <w:sz w:val="24"/>
      <w:szCs w:val="24"/>
      <w:lang w:val="zh-CN" w:eastAsia="zh-CN"/>
    </w:rPr>
  </w:style>
  <w:style w:type="paragraph" w:customStyle="1" w:styleId="32">
    <w:name w:val="小作文正文"/>
    <w:basedOn w:val="3"/>
    <w:link w:val="34"/>
    <w:qFormat/>
    <w:uiPriority w:val="0"/>
    <w:pPr>
      <w:tabs>
        <w:tab w:val="left" w:pos="1080"/>
        <w:tab w:val="left" w:pos="1260"/>
      </w:tabs>
      <w:snapToGrid w:val="0"/>
      <w:spacing w:line="340" w:lineRule="exact"/>
      <w:ind w:firstLineChars="200"/>
    </w:pPr>
    <w:rPr>
      <w:sz w:val="21"/>
      <w:szCs w:val="21"/>
    </w:rPr>
  </w:style>
  <w:style w:type="character" w:customStyle="1" w:styleId="33">
    <w:name w:val="正文缩进 字符"/>
    <w:basedOn w:val="11"/>
    <w:link w:val="3"/>
    <w:qFormat/>
    <w:uiPriority w:val="0"/>
    <w:rPr>
      <w:rFonts w:ascii="Times New Roman" w:hAnsi="Times New Roman" w:eastAsia="宋体" w:cs="Times New Roman"/>
      <w:kern w:val="2"/>
      <w:sz w:val="18"/>
      <w:szCs w:val="18"/>
    </w:rPr>
  </w:style>
  <w:style w:type="character" w:customStyle="1" w:styleId="34">
    <w:name w:val="小作文正文 字符"/>
    <w:basedOn w:val="33"/>
    <w:link w:val="32"/>
    <w:qFormat/>
    <w:uiPriority w:val="0"/>
    <w:rPr>
      <w:rFonts w:ascii="Times New Roman" w:hAnsi="Times New Roman" w:eastAsia="宋体" w:cs="Times New Roman"/>
      <w:kern w:val="2"/>
      <w:sz w:val="21"/>
      <w:szCs w:val="21"/>
    </w:rPr>
  </w:style>
  <w:style w:type="character" w:customStyle="1" w:styleId="35">
    <w:name w:val="页眉 字符"/>
    <w:basedOn w:val="11"/>
    <w:link w:val="6"/>
    <w:qFormat/>
    <w:uiPriority w:val="99"/>
    <w:rPr>
      <w:rFonts w:ascii="Times New Roman" w:hAnsi="Times New Roman" w:eastAsia="宋体" w:cs="Times New Roman"/>
      <w:kern w:val="2"/>
      <w:sz w:val="18"/>
      <w:szCs w:val="18"/>
    </w:rPr>
  </w:style>
  <w:style w:type="character" w:customStyle="1" w:styleId="36">
    <w:name w:val="页脚 字符"/>
    <w:basedOn w:val="11"/>
    <w:link w:val="5"/>
    <w:qFormat/>
    <w:uiPriority w:val="99"/>
    <w:rPr>
      <w:rFonts w:ascii="Times New Roman" w:hAnsi="Times New Roman" w:eastAsia="宋体" w:cs="Times New Roman"/>
      <w:kern w:val="2"/>
      <w:sz w:val="18"/>
      <w:szCs w:val="18"/>
    </w:rPr>
  </w:style>
  <w:style w:type="character" w:customStyle="1" w:styleId="37">
    <w:name w:val="MTEquationSection"/>
    <w:basedOn w:val="11"/>
    <w:qFormat/>
    <w:uiPriority w:val="0"/>
    <w:rPr>
      <w:rFonts w:eastAsia="方正小标宋简体"/>
      <w:vanish/>
      <w:color w:val="FF0000"/>
      <w:sz w:val="44"/>
      <w:szCs w:val="44"/>
    </w:rPr>
  </w:style>
  <w:style w:type="paragraph" w:customStyle="1" w:styleId="38">
    <w:name w:val="MTDisplayEquation"/>
    <w:basedOn w:val="32"/>
    <w:next w:val="1"/>
    <w:link w:val="39"/>
    <w:qFormat/>
    <w:uiPriority w:val="0"/>
    <w:pPr>
      <w:tabs>
        <w:tab w:val="center" w:pos="4820"/>
        <w:tab w:val="right" w:pos="9640"/>
        <w:tab w:val="clear" w:pos="1080"/>
        <w:tab w:val="clear" w:pos="1260"/>
      </w:tabs>
    </w:pPr>
  </w:style>
  <w:style w:type="character" w:customStyle="1" w:styleId="39">
    <w:name w:val="MTDisplayEquation 字符"/>
    <w:basedOn w:val="34"/>
    <w:link w:val="38"/>
    <w:qFormat/>
    <w:uiPriority w:val="0"/>
    <w:rPr>
      <w:rFonts w:ascii="Times New Roman" w:hAnsi="Times New Roman" w:eastAsia="宋体" w:cs="Times New Roman"/>
      <w:kern w:val="2"/>
      <w:sz w:val="21"/>
      <w:szCs w:val="21"/>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2.bin"/><Relationship Id="rId8" Type="http://schemas.openxmlformats.org/officeDocument/2006/relationships/image" Target="media/image3.wmf"/><Relationship Id="rId7" Type="http://schemas.openxmlformats.org/officeDocument/2006/relationships/oleObject" Target="embeddings/oleObject1.bin"/><Relationship Id="rId6" Type="http://schemas.openxmlformats.org/officeDocument/2006/relationships/image" Target="media/image2.png"/><Relationship Id="rId57" Type="http://schemas.openxmlformats.org/officeDocument/2006/relationships/fontTable" Target="fontTable.xml"/><Relationship Id="rId56" Type="http://schemas.openxmlformats.org/officeDocument/2006/relationships/customXml" Target="../customXml/item1.xml"/><Relationship Id="rId55" Type="http://schemas.openxmlformats.org/officeDocument/2006/relationships/image" Target="media/image28.png"/><Relationship Id="rId54" Type="http://schemas.openxmlformats.org/officeDocument/2006/relationships/image" Target="media/image27.png"/><Relationship Id="rId53" Type="http://schemas.openxmlformats.org/officeDocument/2006/relationships/image" Target="media/image26.wmf"/><Relationship Id="rId52" Type="http://schemas.openxmlformats.org/officeDocument/2006/relationships/oleObject" Target="embeddings/oleObject23.bin"/><Relationship Id="rId51" Type="http://schemas.openxmlformats.org/officeDocument/2006/relationships/image" Target="media/image25.wmf"/><Relationship Id="rId50" Type="http://schemas.openxmlformats.org/officeDocument/2006/relationships/oleObject" Target="embeddings/oleObject22.bin"/><Relationship Id="rId5" Type="http://schemas.openxmlformats.org/officeDocument/2006/relationships/image" Target="media/image1.png"/><Relationship Id="rId49" Type="http://schemas.openxmlformats.org/officeDocument/2006/relationships/image" Target="media/image24.wmf"/><Relationship Id="rId48" Type="http://schemas.openxmlformats.org/officeDocument/2006/relationships/oleObject" Target="embeddings/oleObject21.bin"/><Relationship Id="rId47" Type="http://schemas.openxmlformats.org/officeDocument/2006/relationships/image" Target="media/image23.wmf"/><Relationship Id="rId46" Type="http://schemas.openxmlformats.org/officeDocument/2006/relationships/oleObject" Target="embeddings/oleObject20.bin"/><Relationship Id="rId45" Type="http://schemas.openxmlformats.org/officeDocument/2006/relationships/image" Target="media/image22.wmf"/><Relationship Id="rId44" Type="http://schemas.openxmlformats.org/officeDocument/2006/relationships/oleObject" Target="embeddings/oleObject19.bin"/><Relationship Id="rId43" Type="http://schemas.openxmlformats.org/officeDocument/2006/relationships/image" Target="media/image21.wmf"/><Relationship Id="rId42" Type="http://schemas.openxmlformats.org/officeDocument/2006/relationships/oleObject" Target="embeddings/oleObject18.bin"/><Relationship Id="rId41" Type="http://schemas.openxmlformats.org/officeDocument/2006/relationships/image" Target="media/image20.wmf"/><Relationship Id="rId40" Type="http://schemas.openxmlformats.org/officeDocument/2006/relationships/oleObject" Target="embeddings/oleObject17.bin"/><Relationship Id="rId4" Type="http://schemas.openxmlformats.org/officeDocument/2006/relationships/theme" Target="theme/theme1.xml"/><Relationship Id="rId39" Type="http://schemas.openxmlformats.org/officeDocument/2006/relationships/image" Target="media/image19.wmf"/><Relationship Id="rId38" Type="http://schemas.openxmlformats.org/officeDocument/2006/relationships/oleObject" Target="embeddings/oleObject16.bin"/><Relationship Id="rId37" Type="http://schemas.openxmlformats.org/officeDocument/2006/relationships/image" Target="media/image18.wmf"/><Relationship Id="rId36" Type="http://schemas.openxmlformats.org/officeDocument/2006/relationships/oleObject" Target="embeddings/oleObject15.bin"/><Relationship Id="rId35" Type="http://schemas.openxmlformats.org/officeDocument/2006/relationships/image" Target="media/image17.wmf"/><Relationship Id="rId34" Type="http://schemas.openxmlformats.org/officeDocument/2006/relationships/oleObject" Target="embeddings/oleObject14.bin"/><Relationship Id="rId33" Type="http://schemas.openxmlformats.org/officeDocument/2006/relationships/image" Target="media/image16.wmf"/><Relationship Id="rId32" Type="http://schemas.openxmlformats.org/officeDocument/2006/relationships/oleObject" Target="embeddings/oleObject13.bin"/><Relationship Id="rId31" Type="http://schemas.openxmlformats.org/officeDocument/2006/relationships/image" Target="media/image15.wmf"/><Relationship Id="rId30" Type="http://schemas.openxmlformats.org/officeDocument/2006/relationships/oleObject" Target="embeddings/oleObject12.bin"/><Relationship Id="rId3" Type="http://schemas.openxmlformats.org/officeDocument/2006/relationships/footnotes" Target="footnotes.xml"/><Relationship Id="rId29" Type="http://schemas.openxmlformats.org/officeDocument/2006/relationships/image" Target="media/image14.wmf"/><Relationship Id="rId28" Type="http://schemas.openxmlformats.org/officeDocument/2006/relationships/oleObject" Target="embeddings/oleObject11.bin"/><Relationship Id="rId27" Type="http://schemas.openxmlformats.org/officeDocument/2006/relationships/image" Target="media/image13.wmf"/><Relationship Id="rId26" Type="http://schemas.openxmlformats.org/officeDocument/2006/relationships/oleObject" Target="embeddings/oleObject10.bin"/><Relationship Id="rId25" Type="http://schemas.openxmlformats.org/officeDocument/2006/relationships/image" Target="media/image12.wmf"/><Relationship Id="rId24" Type="http://schemas.openxmlformats.org/officeDocument/2006/relationships/oleObject" Target="embeddings/oleObject9.bin"/><Relationship Id="rId23" Type="http://schemas.openxmlformats.org/officeDocument/2006/relationships/image" Target="media/image11.wmf"/><Relationship Id="rId22" Type="http://schemas.openxmlformats.org/officeDocument/2006/relationships/oleObject" Target="embeddings/oleObject8.bin"/><Relationship Id="rId21" Type="http://schemas.openxmlformats.org/officeDocument/2006/relationships/image" Target="media/image10.wmf"/><Relationship Id="rId20" Type="http://schemas.openxmlformats.org/officeDocument/2006/relationships/oleObject" Target="embeddings/oleObject7.bin"/><Relationship Id="rId2" Type="http://schemas.openxmlformats.org/officeDocument/2006/relationships/settings" Target="settings.xml"/><Relationship Id="rId19" Type="http://schemas.openxmlformats.org/officeDocument/2006/relationships/image" Target="media/image9.wmf"/><Relationship Id="rId18" Type="http://schemas.openxmlformats.org/officeDocument/2006/relationships/oleObject" Target="embeddings/oleObject6.bin"/><Relationship Id="rId17" Type="http://schemas.openxmlformats.org/officeDocument/2006/relationships/image" Target="media/image8.png"/><Relationship Id="rId16" Type="http://schemas.openxmlformats.org/officeDocument/2006/relationships/image" Target="media/image7.wmf"/><Relationship Id="rId15" Type="http://schemas.openxmlformats.org/officeDocument/2006/relationships/oleObject" Target="embeddings/oleObject5.bin"/><Relationship Id="rId14" Type="http://schemas.openxmlformats.org/officeDocument/2006/relationships/image" Target="media/image6.wmf"/><Relationship Id="rId13" Type="http://schemas.openxmlformats.org/officeDocument/2006/relationships/oleObject" Target="embeddings/oleObject4.bin"/><Relationship Id="rId12" Type="http://schemas.openxmlformats.org/officeDocument/2006/relationships/image" Target="media/image5.wmf"/><Relationship Id="rId11" Type="http://schemas.openxmlformats.org/officeDocument/2006/relationships/oleObject" Target="embeddings/oleObject3.bin"/><Relationship Id="rId10" Type="http://schemas.openxmlformats.org/officeDocument/2006/relationships/image" Target="media/image4.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BC280C-2C2D-4C73-A3BF-1BA9B99EC28F}">
  <ds:schemaRefs/>
</ds:datastoreItem>
</file>

<file path=docProps/app.xml><?xml version="1.0" encoding="utf-8"?>
<Properties xmlns="http://schemas.openxmlformats.org/officeDocument/2006/extended-properties" xmlns:vt="http://schemas.openxmlformats.org/officeDocument/2006/docPropsVTypes">
  <Template>Normal.dotm</Template>
  <Pages>5</Pages>
  <Words>3605</Words>
  <Characters>6216</Characters>
  <Lines>304</Lines>
  <Paragraphs>324</Paragraphs>
  <TotalTime>1</TotalTime>
  <ScaleCrop>false</ScaleCrop>
  <LinksUpToDate>false</LinksUpToDate>
  <CharactersWithSpaces>6700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2025-05-29T04:41:00Z</dcterms:created>
  <dc:creator>徐 家</dc:creator>
  <cp:lastModifiedBy>梁珑曦</cp:lastModifiedBy>
  <cp:lastPrinted>2025-05-29T04:41:00Z</cp:lastPrinted>
  <dcterms:modified xsi:type="dcterms:W3CDTF">2026-03-28T09:15:21Z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45DB460E60FC4C21A5D3114867196EFE_13</vt:lpwstr>
  </property>
  <property fmtid="{D5CDD505-2E9C-101B-9397-08002B2CF9AE}" pid="4" name="MTEquationNumber2">
    <vt:lpwstr>（#E1）</vt:lpwstr>
  </property>
  <property fmtid="{D5CDD505-2E9C-101B-9397-08002B2CF9AE}" pid="5" name="MTCustomEquationNumber">
    <vt:lpwstr>1</vt:lpwstr>
  </property>
  <property fmtid="{D5CDD505-2E9C-101B-9397-08002B2CF9AE}" pid="6" name="MTEquationSection">
    <vt:lpwstr>1</vt:lpwstr>
  </property>
  <property fmtid="{D5CDD505-2E9C-101B-9397-08002B2CF9AE}" pid="7" name="MTWinEqns">
    <vt:bool>true</vt:bool>
  </property>
  <property fmtid="{D5CDD505-2E9C-101B-9397-08002B2CF9AE}" pid="8" name="KSOTemplateDocerSaveRecord">
    <vt:lpwstr>eyJoZGlkIjoiMDU3YzMzYzA3MDRhOWVlMmQ5NWFkMDg3N2NjYjY5OTQiLCJ1c2VySWQiOiIxNzQ1NDMwNjgwIn0=</vt:lpwstr>
  </property>
</Properties>
</file>