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55A63">
      <w:pPr>
        <w:keepNext/>
        <w:keepLines/>
        <w:tabs>
          <w:tab w:val="left" w:pos="1080"/>
          <w:tab w:val="left" w:pos="1260"/>
        </w:tabs>
        <w:adjustRightInd w:val="0"/>
        <w:snapToGrid w:val="0"/>
        <w:spacing w:after="100" w:afterAutospacing="1"/>
        <w:jc w:val="center"/>
        <w:outlineLvl w:val="0"/>
        <w:rPr>
          <w:rFonts w:ascii="Times New Roman" w:hAnsi="Times New Roman" w:eastAsia="宋体" w:cs="Times New Roman"/>
          <w:b/>
          <w:bCs/>
          <w:kern w:val="44"/>
          <w:sz w:val="44"/>
          <w:szCs w:val="44"/>
          <w14:ligatures w14:val="none"/>
        </w:rPr>
      </w:pPr>
      <w:bookmarkStart w:id="0" w:name="_Toc96851751"/>
      <w:bookmarkStart w:id="1" w:name="_Toc93978953"/>
      <w:bookmarkStart w:id="2" w:name="_Toc129055837"/>
      <w:r>
        <w:rPr>
          <w:rFonts w:hint="eastAsia" w:ascii="Times New Roman" w:hAnsi="Times New Roman" w:eastAsia="宋体" w:cs="宋体"/>
          <w:b/>
          <w:bCs/>
          <w:color w:val="000000"/>
          <w:kern w:val="44"/>
          <w:sz w:val="36"/>
          <w:szCs w:val="36"/>
          <w14:ligatures w14:val="none"/>
        </w:rPr>
        <w:t>广东工业大学本科生毕业设计（论文）答辩记录</w:t>
      </w:r>
      <w:bookmarkEnd w:id="0"/>
      <w:bookmarkEnd w:id="1"/>
      <w:bookmarkEnd w:id="2"/>
    </w:p>
    <w:p w14:paraId="223986E5">
      <w:pPr>
        <w:tabs>
          <w:tab w:val="left" w:pos="1080"/>
          <w:tab w:val="left" w:pos="1260"/>
        </w:tabs>
        <w:spacing w:line="360" w:lineRule="auto"/>
        <w:rPr>
          <w:rFonts w:hint="eastAsia" w:ascii="仿宋体" w:hAnsi="仿宋体" w:eastAsia="仿宋体" w:cs="Times New Roman"/>
          <w:color w:val="000000"/>
          <w:sz w:val="24"/>
          <w:szCs w:val="24"/>
          <w14:ligatures w14:val="none"/>
        </w:rPr>
      </w:pPr>
      <w:r>
        <w:rPr>
          <w:rFonts w:hint="eastAsia" w:ascii="仿宋体" w:hAnsi="仿宋体" w:eastAsia="仿宋体" w:cs="仿宋体"/>
          <w:color w:val="000000"/>
          <w:sz w:val="24"/>
          <w:szCs w:val="24"/>
          <w14:ligatures w14:val="none"/>
        </w:rPr>
        <w:t>学院</w:t>
      </w:r>
      <w:r>
        <w:rPr>
          <w:rFonts w:ascii="仿宋体" w:hAnsi="仿宋体" w:eastAsia="仿宋体" w:cs="仿宋体"/>
          <w:color w:val="000000"/>
          <w:sz w:val="24"/>
          <w:szCs w:val="24"/>
          <w:u w:val="single"/>
          <w14:ligatures w14:val="none"/>
        </w:rPr>
        <w:t xml:space="preserve"> </w:t>
      </w:r>
      <w:r>
        <w:rPr>
          <w:rFonts w:hint="eastAsia" w:ascii="仿宋体" w:hAnsi="仿宋体" w:eastAsia="仿宋体" w:cs="仿宋体"/>
          <w:color w:val="000000"/>
          <w:sz w:val="24"/>
          <w:szCs w:val="24"/>
          <w:u w:val="single"/>
          <w14:ligatures w14:val="none"/>
        </w:rPr>
        <w:t>自动化学院</w:t>
      </w:r>
      <w:r>
        <w:rPr>
          <w:rFonts w:ascii="仿宋体" w:hAnsi="仿宋体" w:eastAsia="仿宋体" w:cs="仿宋体"/>
          <w:color w:val="000000"/>
          <w:sz w:val="24"/>
          <w:szCs w:val="24"/>
          <w:u w:val="single"/>
          <w14:ligatures w14:val="none"/>
        </w:rPr>
        <w:t xml:space="preserve"> </w:t>
      </w:r>
      <w:r>
        <w:rPr>
          <w:rFonts w:hint="eastAsia" w:ascii="仿宋体" w:hAnsi="仿宋体" w:eastAsia="仿宋体" w:cs="仿宋体"/>
          <w:color w:val="000000"/>
          <w:sz w:val="24"/>
          <w:szCs w:val="24"/>
          <w14:ligatures w14:val="none"/>
        </w:rPr>
        <w:t>专业</w:t>
      </w:r>
      <w:r>
        <w:rPr>
          <w:rFonts w:ascii="仿宋体" w:hAnsi="仿宋体" w:eastAsia="仿宋体" w:cs="仿宋体"/>
          <w:color w:val="000000"/>
          <w:sz w:val="24"/>
          <w:szCs w:val="24"/>
          <w:u w:val="single"/>
          <w14:ligatures w14:val="none"/>
        </w:rPr>
        <w:t xml:space="preserve">    </w:t>
      </w:r>
      <w:r>
        <w:rPr>
          <w:rFonts w:ascii="仿宋体" w:hAnsi="仿宋体" w:eastAsia="仿宋体" w:cs="仿宋体"/>
          <w:color w:val="000000"/>
          <w:sz w:val="24"/>
          <w:szCs w:val="24"/>
          <w14:ligatures w14:val="none"/>
        </w:rPr>
        <w:t xml:space="preserve"> </w:t>
      </w:r>
      <w:r>
        <w:rPr>
          <w:rFonts w:hint="eastAsia" w:ascii="仿宋体" w:hAnsi="仿宋体" w:eastAsia="仿宋体" w:cs="仿宋体"/>
          <w:color w:val="000000"/>
          <w:sz w:val="24"/>
          <w:szCs w:val="24"/>
          <w14:ligatures w14:val="none"/>
        </w:rPr>
        <w:t>答辩人</w:t>
      </w:r>
      <w:r>
        <w:rPr>
          <w:rFonts w:ascii="仿宋体" w:hAnsi="仿宋体" w:eastAsia="仿宋体" w:cs="仿宋体"/>
          <w:color w:val="000000"/>
          <w:sz w:val="24"/>
          <w:szCs w:val="24"/>
          <w14:ligatures w14:val="none"/>
        </w:rPr>
        <w:t xml:space="preserve"> </w:t>
      </w:r>
      <w:r>
        <w:rPr>
          <w:rFonts w:ascii="仿宋体" w:hAnsi="仿宋体" w:eastAsia="仿宋体" w:cs="仿宋体"/>
          <w:color w:val="000000"/>
          <w:sz w:val="24"/>
          <w:szCs w:val="24"/>
          <w:u w:val="single"/>
          <w14:ligatures w14:val="none"/>
        </w:rPr>
        <w:t xml:space="preserve">  </w:t>
      </w:r>
    </w:p>
    <w:p w14:paraId="36176A14">
      <w:pPr>
        <w:tabs>
          <w:tab w:val="left" w:pos="1080"/>
          <w:tab w:val="left" w:pos="1260"/>
        </w:tabs>
        <w:spacing w:line="360" w:lineRule="auto"/>
        <w:rPr>
          <w:rFonts w:hint="eastAsia" w:ascii="仿宋体" w:hAnsi="仿宋体" w:eastAsia="仿宋体" w:cs="仿宋体"/>
          <w:color w:val="000000"/>
          <w:sz w:val="24"/>
          <w:szCs w:val="24"/>
          <w14:ligatures w14:val="none"/>
        </w:rPr>
      </w:pPr>
      <w:r>
        <w:rPr>
          <w:rFonts w:hint="eastAsia" w:ascii="仿宋体" w:hAnsi="仿宋体" w:eastAsia="仿宋体" w:cs="仿宋体"/>
          <w:color w:val="000000"/>
          <w:sz w:val="24"/>
          <w:szCs w:val="24"/>
          <w14:ligatures w14:val="none"/>
        </w:rPr>
        <w:t>毕业设计（论文）题目</w:t>
      </w:r>
      <w:r>
        <w:rPr>
          <w:rFonts w:ascii="仿宋体" w:hAnsi="仿宋体" w:eastAsia="仿宋体" w:cs="仿宋体"/>
          <w:color w:val="000000"/>
          <w:sz w:val="24"/>
          <w:szCs w:val="24"/>
          <w:u w:val="single"/>
          <w14:ligatures w14:val="none"/>
        </w:rPr>
        <w:t xml:space="preserve"> </w:t>
      </w:r>
      <w:r>
        <w:rPr>
          <w:rFonts w:hint="eastAsia" w:ascii="仿宋体" w:hAnsi="仿宋体" w:eastAsia="仿宋体" w:cs="仿宋体"/>
          <w:color w:val="000000"/>
          <w:sz w:val="24"/>
          <w:szCs w:val="24"/>
          <w:u w:val="single"/>
          <w14:ligatures w14:val="none"/>
        </w:rPr>
        <w:t>基于深度学习的光刻热点检测算法研究</w:t>
      </w:r>
      <w:r>
        <w:rPr>
          <w:rFonts w:ascii="仿宋体" w:hAnsi="仿宋体" w:eastAsia="仿宋体" w:cs="仿宋体"/>
          <w:color w:val="000000"/>
          <w:sz w:val="24"/>
          <w:szCs w:val="24"/>
          <w:u w:val="single"/>
          <w14:ligatures w14:val="none"/>
        </w:rPr>
        <w:t xml:space="preserve"> </w:t>
      </w:r>
      <w:r>
        <w:rPr>
          <w:rFonts w:hint="eastAsia" w:ascii="仿宋体" w:hAnsi="仿宋体" w:eastAsia="仿宋体" w:cs="仿宋体"/>
          <w:color w:val="000000"/>
          <w:sz w:val="24"/>
          <w:szCs w:val="24"/>
          <w14:ligatures w14:val="none"/>
        </w:rPr>
        <w:t xml:space="preserve"> </w:t>
      </w:r>
    </w:p>
    <w:p w14:paraId="61A8554A">
      <w:pPr>
        <w:tabs>
          <w:tab w:val="left" w:pos="1080"/>
          <w:tab w:val="left" w:pos="1260"/>
        </w:tabs>
        <w:spacing w:line="360" w:lineRule="auto"/>
        <w:rPr>
          <w:rFonts w:hint="eastAsia" w:ascii="仿宋体" w:hAnsi="仿宋体" w:eastAsia="仿宋体" w:cs="Times New Roman"/>
          <w:color w:val="000000"/>
          <w:sz w:val="24"/>
          <w:szCs w:val="24"/>
          <w14:ligatures w14:val="none"/>
        </w:rPr>
      </w:pPr>
      <w:r>
        <w:rPr>
          <w:rFonts w:hint="eastAsia" w:ascii="仿宋体" w:hAnsi="仿宋体" w:eastAsia="仿宋体" w:cs="仿宋体"/>
          <w:color w:val="000000"/>
          <w:sz w:val="24"/>
          <w:szCs w:val="24"/>
          <w14:ligatures w14:val="none"/>
        </w:rPr>
        <w:t>记录人</w:t>
      </w:r>
      <w:r>
        <w:rPr>
          <w:rFonts w:ascii="仿宋体" w:hAnsi="仿宋体" w:eastAsia="仿宋体" w:cs="仿宋体"/>
          <w:color w:val="000000"/>
          <w:sz w:val="24"/>
          <w:szCs w:val="24"/>
          <w14:ligatures w14:val="none"/>
        </w:rPr>
        <w:t xml:space="preserve"> </w:t>
      </w:r>
      <w:r>
        <w:rPr>
          <w:rFonts w:ascii="仿宋体" w:hAnsi="仿宋体" w:eastAsia="仿宋体" w:cs="仿宋体"/>
          <w:color w:val="000000"/>
          <w:sz w:val="24"/>
          <w:szCs w:val="24"/>
          <w:u w:val="single"/>
          <w14:ligatures w14:val="none"/>
        </w:rPr>
        <w:t xml:space="preserve"> </w:t>
      </w:r>
      <w:r>
        <w:rPr>
          <w:rFonts w:hint="eastAsia" w:ascii="仿宋体" w:hAnsi="仿宋体" w:eastAsia="仿宋体" w:cs="仿宋体"/>
          <w:color w:val="000000"/>
          <w:sz w:val="24"/>
          <w:szCs w:val="24"/>
          <w:u w:val="single"/>
          <w14:ligatures w14:val="none"/>
        </w:rPr>
        <w:t>李忠娟</w:t>
      </w:r>
      <w:r>
        <w:rPr>
          <w:rFonts w:ascii="仿宋体" w:hAnsi="仿宋体" w:eastAsia="仿宋体" w:cs="仿宋体"/>
          <w:color w:val="000000"/>
          <w:sz w:val="24"/>
          <w:szCs w:val="24"/>
          <w:u w:val="single"/>
          <w14:ligatures w14:val="none"/>
        </w:rPr>
        <w:t xml:space="preserve">       </w:t>
      </w:r>
    </w:p>
    <w:p w14:paraId="5F7A96F9">
      <w:pPr>
        <w:tabs>
          <w:tab w:val="left" w:pos="1080"/>
          <w:tab w:val="left" w:pos="1260"/>
        </w:tabs>
        <w:spacing w:line="360" w:lineRule="auto"/>
        <w:ind w:firstLine="480" w:firstLineChars="200"/>
        <w:rPr>
          <w:rFonts w:ascii="Times New Roman" w:hAnsi="Times New Roman" w:eastAsia="仿宋体" w:cs="仿宋体"/>
          <w:color w:val="000000"/>
          <w:sz w:val="24"/>
          <w:szCs w:val="24"/>
          <w14:ligatures w14:val="none"/>
        </w:rPr>
      </w:pPr>
      <w:r>
        <w:rPr>
          <w:rFonts w:hint="eastAsia" w:ascii="仿宋体" w:hAnsi="仿宋体" w:eastAsia="仿宋体" w:cs="仿宋体"/>
          <w:color w:val="000000"/>
          <w:sz w:val="24"/>
          <w:szCs w:val="24"/>
          <w14:ligatures w14:val="none"/>
        </w:rPr>
        <w:t>答辩小组成</w:t>
      </w:r>
      <w:r>
        <w:rPr>
          <w:rFonts w:hint="eastAsia" w:ascii="Times New Roman" w:hAnsi="Times New Roman" w:eastAsia="仿宋体" w:cs="仿宋体"/>
          <w:color w:val="000000"/>
          <w:sz w:val="24"/>
          <w:szCs w:val="24"/>
          <w14:ligatures w14:val="none"/>
        </w:rPr>
        <w:t>员：高军礼，李忠娟，钟映春</w:t>
      </w:r>
      <w:bookmarkStart w:id="3" w:name="_GoBack"/>
      <w:bookmarkEnd w:id="3"/>
    </w:p>
    <w:p w14:paraId="0C243BA1">
      <w:pPr>
        <w:tabs>
          <w:tab w:val="left" w:pos="1080"/>
          <w:tab w:val="left" w:pos="1260"/>
        </w:tabs>
        <w:spacing w:line="360" w:lineRule="auto"/>
        <w:ind w:firstLine="480" w:firstLineChars="200"/>
        <w:rPr>
          <w:rFonts w:hint="eastAsia" w:ascii="Times New Roman" w:hAnsi="Times New Roman" w:eastAsia="仿宋体" w:cs="仿宋体"/>
          <w:color w:val="000000"/>
          <w:sz w:val="24"/>
          <w:szCs w:val="24"/>
          <w14:ligatures w14:val="none"/>
        </w:rPr>
      </w:pPr>
    </w:p>
    <w:p w14:paraId="7CFEB15C">
      <w:pPr>
        <w:tabs>
          <w:tab w:val="left" w:pos="1080"/>
          <w:tab w:val="left" w:pos="1260"/>
        </w:tabs>
        <w:adjustRightInd w:val="0"/>
        <w:snapToGrid w:val="0"/>
        <w:spacing w:line="300" w:lineRule="auto"/>
        <w:ind w:firstLine="420" w:firstLineChars="200"/>
        <w:rPr>
          <w:rFonts w:hint="eastAsia" w:ascii="仿宋体" w:hAnsi="仿宋体" w:eastAsia="仿宋体" w:cs="Times New Roman"/>
          <w:color w:val="000000"/>
          <w:szCs w:val="21"/>
          <w14:ligatures w14:val="none"/>
        </w:rPr>
      </w:pPr>
      <w:r>
        <w:rPr>
          <w:rFonts w:hint="eastAsia" w:ascii="Times New Roman" w:hAnsi="Times New Roman" w:eastAsia="仿宋体" w:cs="仿宋体"/>
          <w:color w:val="000000"/>
          <w:szCs w:val="21"/>
          <w14:ligatures w14:val="none"/>
        </w:rPr>
        <w:t>说明：</w:t>
      </w:r>
      <w:r>
        <w:rPr>
          <w:rFonts w:ascii="Times New Roman" w:hAnsi="Times New Roman" w:eastAsia="仿宋体" w:cs="Times New Roman"/>
          <w:color w:val="000000"/>
          <w:szCs w:val="21"/>
          <w14:ligatures w14:val="none"/>
        </w:rPr>
        <w:t>1</w:t>
      </w:r>
      <w:r>
        <w:rPr>
          <w:rFonts w:ascii="仿宋体" w:hAnsi="仿宋体" w:eastAsia="仿宋体" w:cs="仿宋体"/>
          <w:color w:val="000000"/>
          <w:szCs w:val="21"/>
          <w14:ligatures w14:val="none"/>
        </w:rPr>
        <w:t>.</w:t>
      </w:r>
      <w:r>
        <w:rPr>
          <w:rFonts w:hint="eastAsia" w:ascii="Times New Roman" w:hAnsi="Times New Roman" w:eastAsia="仿宋体" w:cs="仿宋体"/>
          <w:color w:val="000000"/>
          <w:szCs w:val="21"/>
          <w14:ligatures w14:val="none"/>
        </w:rPr>
        <w:t>主要记录</w:t>
      </w:r>
      <w:r>
        <w:rPr>
          <w:rFonts w:hint="eastAsia" w:ascii="仿宋体" w:hAnsi="仿宋体" w:eastAsia="仿宋体" w:cs="仿宋体"/>
          <w:color w:val="000000"/>
          <w:szCs w:val="21"/>
          <w14:ligatures w14:val="none"/>
        </w:rPr>
        <w:t>答辩</w:t>
      </w:r>
      <w:r>
        <w:rPr>
          <w:rFonts w:hint="eastAsia" w:ascii="Times New Roman" w:hAnsi="Times New Roman" w:eastAsia="仿宋体" w:cs="仿宋体"/>
          <w:color w:val="000000"/>
          <w:szCs w:val="21"/>
          <w14:ligatures w14:val="none"/>
        </w:rPr>
        <w:t>委员所提的问题及</w:t>
      </w:r>
      <w:r>
        <w:rPr>
          <w:rFonts w:hint="eastAsia" w:ascii="仿宋体" w:hAnsi="仿宋体" w:eastAsia="仿宋体" w:cs="仿宋体"/>
          <w:color w:val="000000"/>
          <w:szCs w:val="21"/>
          <w14:ligatures w14:val="none"/>
        </w:rPr>
        <w:t>答辩人对问题的回答。</w:t>
      </w:r>
    </w:p>
    <w:p w14:paraId="51E70DA2">
      <w:pPr>
        <w:tabs>
          <w:tab w:val="left" w:pos="1080"/>
          <w:tab w:val="left" w:pos="1260"/>
        </w:tabs>
        <w:adjustRightInd w:val="0"/>
        <w:snapToGrid w:val="0"/>
        <w:spacing w:line="300" w:lineRule="auto"/>
        <w:ind w:firstLine="1050" w:firstLineChars="500"/>
        <w:rPr>
          <w:rFonts w:hint="eastAsia" w:ascii="仿宋体" w:hAnsi="仿宋体" w:eastAsia="仿宋体" w:cs="Times New Roman"/>
          <w:color w:val="000000"/>
          <w:szCs w:val="21"/>
          <w14:ligatures w14:val="none"/>
        </w:rPr>
      </w:pPr>
      <w:r>
        <w:rPr>
          <w:rFonts w:ascii="仿宋体" w:hAnsi="仿宋体" w:eastAsia="仿宋体" w:cs="仿宋体"/>
          <w:color w:val="000000"/>
          <w:szCs w:val="21"/>
          <w14:ligatures w14:val="none"/>
        </w:rPr>
        <w:t>2.</w:t>
      </w:r>
      <w:r>
        <w:rPr>
          <w:rFonts w:hint="eastAsia" w:ascii="仿宋体" w:hAnsi="仿宋体" w:eastAsia="仿宋体" w:cs="仿宋体"/>
          <w:color w:val="000000"/>
          <w:szCs w:val="21"/>
          <w14:ligatures w14:val="none"/>
        </w:rPr>
        <w:t>本记录与学生的毕业设计（论文）资料一同装订。</w:t>
      </w:r>
    </w:p>
    <w:p w14:paraId="2802D965">
      <w:pPr>
        <w:tabs>
          <w:tab w:val="left" w:pos="1080"/>
          <w:tab w:val="left" w:pos="1260"/>
        </w:tabs>
        <w:spacing w:before="100" w:beforeAutospacing="1" w:after="100" w:afterAutospacing="1"/>
        <w:ind w:firstLine="643" w:firstLineChars="200"/>
        <w:jc w:val="center"/>
        <w:rPr>
          <w:rFonts w:hint="eastAsia" w:ascii="仿宋体" w:hAnsi="仿宋体" w:eastAsia="仿宋体" w:cs="仿宋体"/>
          <w:b/>
          <w:bCs/>
          <w:color w:val="000000"/>
          <w:sz w:val="32"/>
          <w:szCs w:val="32"/>
          <w14:ligatures w14:val="none"/>
        </w:rPr>
      </w:pPr>
      <w:r>
        <w:rPr>
          <w:rFonts w:hint="eastAsia" w:ascii="仿宋体" w:hAnsi="仿宋体" w:eastAsia="仿宋体" w:cs="仿宋体"/>
          <w:b/>
          <w:bCs/>
          <w:color w:val="000000"/>
          <w:sz w:val="32"/>
          <w:szCs w:val="32"/>
          <w14:ligatures w14:val="none"/>
        </w:rPr>
        <w:t>记</w:t>
      </w:r>
      <w:r>
        <w:rPr>
          <w:rFonts w:ascii="仿宋体" w:hAnsi="仿宋体" w:eastAsia="仿宋体" w:cs="仿宋体"/>
          <w:b/>
          <w:bCs/>
          <w:color w:val="000000"/>
          <w:sz w:val="32"/>
          <w:szCs w:val="32"/>
          <w14:ligatures w14:val="none"/>
        </w:rPr>
        <w:t xml:space="preserve">  </w:t>
      </w:r>
      <w:r>
        <w:rPr>
          <w:rFonts w:hint="eastAsia" w:ascii="仿宋体" w:hAnsi="仿宋体" w:eastAsia="仿宋体" w:cs="仿宋体"/>
          <w:b/>
          <w:bCs/>
          <w:color w:val="000000"/>
          <w:sz w:val="32"/>
          <w:szCs w:val="32"/>
          <w14:ligatures w14:val="none"/>
        </w:rPr>
        <w:t>录</w:t>
      </w:r>
      <w:r>
        <w:rPr>
          <w:rFonts w:ascii="仿宋体" w:hAnsi="仿宋体" w:eastAsia="仿宋体" w:cs="仿宋体"/>
          <w:b/>
          <w:bCs/>
          <w:color w:val="000000"/>
          <w:sz w:val="32"/>
          <w:szCs w:val="32"/>
          <w14:ligatures w14:val="none"/>
        </w:rPr>
        <w:t xml:space="preserve">  </w:t>
      </w:r>
      <w:r>
        <w:rPr>
          <w:rFonts w:hint="eastAsia" w:ascii="仿宋体" w:hAnsi="仿宋体" w:eastAsia="仿宋体" w:cs="仿宋体"/>
          <w:b/>
          <w:bCs/>
          <w:color w:val="000000"/>
          <w:sz w:val="32"/>
          <w:szCs w:val="32"/>
          <w14:ligatures w14:val="none"/>
        </w:rPr>
        <w:t>内</w:t>
      </w:r>
      <w:r>
        <w:rPr>
          <w:rFonts w:ascii="仿宋体" w:hAnsi="仿宋体" w:eastAsia="仿宋体" w:cs="仿宋体"/>
          <w:b/>
          <w:bCs/>
          <w:color w:val="000000"/>
          <w:sz w:val="32"/>
          <w:szCs w:val="32"/>
          <w14:ligatures w14:val="none"/>
        </w:rPr>
        <w:t xml:space="preserve">  </w:t>
      </w:r>
      <w:r>
        <w:rPr>
          <w:rFonts w:hint="eastAsia" w:ascii="仿宋体" w:hAnsi="仿宋体" w:eastAsia="仿宋体" w:cs="仿宋体"/>
          <w:b/>
          <w:bCs/>
          <w:color w:val="000000"/>
          <w:sz w:val="32"/>
          <w:szCs w:val="32"/>
          <w14:ligatures w14:val="none"/>
        </w:rPr>
        <w:t>容</w:t>
      </w:r>
    </w:p>
    <w:tbl>
      <w:tblPr>
        <w:tblStyle w:val="15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11B22FD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161" w:type="dxa"/>
            <w:tcBorders>
              <w:bottom w:val="single" w:color="auto" w:sz="4" w:space="0"/>
            </w:tcBorders>
            <w:vAlign w:val="center"/>
          </w:tcPr>
          <w:p w14:paraId="2A531A0D">
            <w:pPr>
              <w:tabs>
                <w:tab w:val="left" w:pos="1080"/>
                <w:tab w:val="left" w:pos="1260"/>
              </w:tabs>
              <w:rPr>
                <w:rFonts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  <w:t>问题</w:t>
            </w:r>
            <w:r>
              <w:rPr>
                <w:rFonts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  <w:t>1</w:t>
            </w:r>
            <w:r>
              <w:rPr>
                <w:rFonts w:hint="eastAsia"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  <w:t>：你提出的“图族结构”相比传统单图模型有哪些创新点？</w:t>
            </w:r>
          </w:p>
        </w:tc>
      </w:tr>
      <w:tr w14:paraId="19A0C42D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16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91A1B94">
            <w:pPr>
              <w:tabs>
                <w:tab w:val="left" w:pos="1080"/>
                <w:tab w:val="left" w:pos="1260"/>
              </w:tabs>
              <w:rPr>
                <w:rFonts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  <w:t>答：图族结构通过多子图与全局大图的组合，显著增强了模型对局部与宏观特</w:t>
            </w:r>
          </w:p>
        </w:tc>
      </w:tr>
      <w:tr w14:paraId="6088BA78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161" w:type="dxa"/>
            <w:tcBorders>
              <w:top w:val="single" w:color="auto" w:sz="4" w:space="0"/>
              <w:bottom w:val="single" w:color="auto" w:sz="4" w:space="0"/>
            </w:tcBorders>
          </w:tcPr>
          <w:p w14:paraId="4792A9CB">
            <w:pPr>
              <w:tabs>
                <w:tab w:val="left" w:pos="1080"/>
                <w:tab w:val="left" w:pos="1260"/>
              </w:tabs>
              <w:ind w:firstLine="480" w:firstLineChars="200"/>
              <w:rPr>
                <w:rFonts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  <w:t>征的联合建模能力，提升了检测精度。</w:t>
            </w:r>
          </w:p>
        </w:tc>
      </w:tr>
      <w:tr w14:paraId="0D4CEB79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161" w:type="dxa"/>
            <w:tcBorders>
              <w:top w:val="single" w:color="auto" w:sz="4" w:space="0"/>
              <w:bottom w:val="single" w:color="auto" w:sz="4" w:space="0"/>
            </w:tcBorders>
          </w:tcPr>
          <w:p w14:paraId="786672BE">
            <w:pPr>
              <w:tabs>
                <w:tab w:val="left" w:pos="1080"/>
                <w:tab w:val="left" w:pos="1260"/>
              </w:tabs>
              <w:rPr>
                <w:rFonts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  <w:t>问题</w:t>
            </w:r>
            <w:r>
              <w:rPr>
                <w:rFonts w:hint="eastAsia"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  <w:t>2</w:t>
            </w:r>
            <w:r>
              <w:rPr>
                <w:rFonts w:hint="eastAsia"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  <w:t>：</w:t>
            </w:r>
            <w:r>
              <w:rPr>
                <w:rFonts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  <w:t>你在基准模型中使用的三元组监督策略有什么优势？</w:t>
            </w:r>
          </w:p>
        </w:tc>
      </w:tr>
      <w:tr w14:paraId="177F2742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161" w:type="dxa"/>
            <w:tcBorders>
              <w:top w:val="single" w:color="auto" w:sz="4" w:space="0"/>
              <w:bottom w:val="single" w:color="auto" w:sz="4" w:space="0"/>
            </w:tcBorders>
          </w:tcPr>
          <w:p w14:paraId="5AF22B97">
            <w:pPr>
              <w:tabs>
                <w:tab w:val="left" w:pos="1080"/>
                <w:tab w:val="left" w:pos="1260"/>
              </w:tabs>
              <w:rPr>
                <w:rFonts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  <w:t>答：</w:t>
            </w:r>
            <w:r>
              <w:rPr>
                <w:rFonts w:hint="eastAsia"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  <w:t>三元组监督策略通过优化正负样本间的距离关系，提升了特征嵌入空间的</w:t>
            </w:r>
          </w:p>
        </w:tc>
      </w:tr>
      <w:tr w14:paraId="3C2F01D8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161" w:type="dxa"/>
            <w:tcBorders>
              <w:top w:val="single" w:color="auto" w:sz="4" w:space="0"/>
              <w:bottom w:val="single" w:color="auto" w:sz="4" w:space="0"/>
            </w:tcBorders>
          </w:tcPr>
          <w:p w14:paraId="0411DBEF">
            <w:pPr>
              <w:tabs>
                <w:tab w:val="left" w:pos="1080"/>
                <w:tab w:val="left" w:pos="1260"/>
              </w:tabs>
              <w:ind w:firstLine="480" w:firstLineChars="200"/>
              <w:rPr>
                <w:rFonts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  <w:t>判别性，有助于准确识别难区分的图案。</w:t>
            </w:r>
          </w:p>
        </w:tc>
      </w:tr>
      <w:tr w14:paraId="61672CCE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161" w:type="dxa"/>
            <w:tcBorders>
              <w:top w:val="single" w:color="auto" w:sz="4" w:space="0"/>
              <w:bottom w:val="single" w:color="auto" w:sz="4" w:space="0"/>
            </w:tcBorders>
          </w:tcPr>
          <w:p w14:paraId="726680C6">
            <w:pPr>
              <w:tabs>
                <w:tab w:val="left" w:pos="1080"/>
                <w:tab w:val="left" w:pos="1260"/>
              </w:tabs>
              <w:rPr>
                <w:rFonts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  <w:t>问题</w:t>
            </w:r>
            <w:r>
              <w:rPr>
                <w:rFonts w:hint="eastAsia"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  <w:t>3</w:t>
            </w:r>
            <w:r>
              <w:rPr>
                <w:rFonts w:hint="eastAsia"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  <w:t>：</w:t>
            </w:r>
            <w:r>
              <w:rPr>
                <w:rFonts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  <w:t>你的GNN模型中为何要设计三类子图（内环、中环、外环）？</w:t>
            </w:r>
          </w:p>
        </w:tc>
      </w:tr>
      <w:tr w14:paraId="73430695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161" w:type="dxa"/>
            <w:tcBorders>
              <w:top w:val="single" w:color="auto" w:sz="4" w:space="0"/>
              <w:bottom w:val="single" w:color="auto" w:sz="4" w:space="0"/>
            </w:tcBorders>
          </w:tcPr>
          <w:p w14:paraId="4E2EC4DC">
            <w:pPr>
              <w:tabs>
                <w:tab w:val="left" w:pos="1080"/>
                <w:tab w:val="left" w:pos="1260"/>
              </w:tabs>
              <w:rPr>
                <w:rFonts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  <w:t>答：</w:t>
            </w:r>
            <w:r>
              <w:rPr>
                <w:rFonts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  <w:t>这种层次化划分使得模型能够分别捕捉不同尺度上的局部结构特征，增强</w:t>
            </w:r>
          </w:p>
        </w:tc>
      </w:tr>
      <w:tr w14:paraId="293896DA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161" w:type="dxa"/>
            <w:tcBorders>
              <w:top w:val="single" w:color="auto" w:sz="4" w:space="0"/>
              <w:bottom w:val="single" w:color="auto" w:sz="4" w:space="0"/>
            </w:tcBorders>
          </w:tcPr>
          <w:p w14:paraId="6D607A16">
            <w:pPr>
              <w:tabs>
                <w:tab w:val="left" w:pos="1080"/>
                <w:tab w:val="left" w:pos="1260"/>
              </w:tabs>
              <w:ind w:firstLine="480" w:firstLineChars="200"/>
              <w:rPr>
                <w:rFonts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  <w:t>了整体空间感知能力。</w:t>
            </w:r>
          </w:p>
        </w:tc>
      </w:tr>
      <w:tr w14:paraId="4A7002B8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161" w:type="dxa"/>
            <w:tcBorders>
              <w:top w:val="single" w:color="auto" w:sz="4" w:space="0"/>
              <w:bottom w:val="single" w:color="auto" w:sz="4" w:space="0"/>
            </w:tcBorders>
          </w:tcPr>
          <w:p w14:paraId="7B000295">
            <w:pPr>
              <w:tabs>
                <w:tab w:val="left" w:pos="1080"/>
                <w:tab w:val="left" w:pos="1260"/>
              </w:tabs>
              <w:rPr>
                <w:rFonts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  <w:t>问题4：在消融实验中，移除大图层GNN参数后误报率上升，你如何解释？</w:t>
            </w:r>
          </w:p>
        </w:tc>
      </w:tr>
      <w:tr w14:paraId="182D7190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161" w:type="dxa"/>
            <w:tcBorders>
              <w:top w:val="single" w:color="auto" w:sz="4" w:space="0"/>
              <w:bottom w:val="single" w:color="auto" w:sz="4" w:space="0"/>
            </w:tcBorders>
          </w:tcPr>
          <w:p w14:paraId="46251899">
            <w:pPr>
              <w:tabs>
                <w:tab w:val="left" w:pos="1080"/>
                <w:tab w:val="left" w:pos="1260"/>
              </w:tabs>
              <w:rPr>
                <w:rFonts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  <w:t>答：</w:t>
            </w:r>
            <w:r>
              <w:rPr>
                <w:rFonts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  <w:t>因为大图层承担了全局上下文的建模任务，其缺失使模型无法有效辨别非</w:t>
            </w:r>
          </w:p>
        </w:tc>
      </w:tr>
      <w:tr w14:paraId="6551CEE5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161" w:type="dxa"/>
            <w:tcBorders>
              <w:top w:val="single" w:color="auto" w:sz="4" w:space="0"/>
              <w:bottom w:val="single" w:color="auto" w:sz="4" w:space="0"/>
            </w:tcBorders>
          </w:tcPr>
          <w:p w14:paraId="226A5BD5">
            <w:pPr>
              <w:tabs>
                <w:tab w:val="left" w:pos="1080"/>
                <w:tab w:val="left" w:pos="1260"/>
              </w:tabs>
              <w:ind w:firstLine="480" w:firstLineChars="200"/>
              <w:rPr>
                <w:rFonts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  <w:t>热点区域，导致误报率显著上升。</w:t>
            </w:r>
          </w:p>
        </w:tc>
      </w:tr>
      <w:tr w14:paraId="2502269C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161" w:type="dxa"/>
            <w:tcBorders>
              <w:top w:val="single" w:color="auto" w:sz="4" w:space="0"/>
              <w:bottom w:val="single" w:color="auto" w:sz="4" w:space="0"/>
            </w:tcBorders>
          </w:tcPr>
          <w:p w14:paraId="0E7B2333">
            <w:pPr>
              <w:tabs>
                <w:tab w:val="left" w:pos="1080"/>
                <w:tab w:val="left" w:pos="1260"/>
              </w:tabs>
              <w:rPr>
                <w:rFonts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  <w:t>问题5：你的模型在ICCAD’19-1数据集上取得高精度，说明了什么？</w:t>
            </w:r>
          </w:p>
        </w:tc>
      </w:tr>
      <w:tr w14:paraId="50E95D38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161" w:type="dxa"/>
            <w:tcBorders>
              <w:top w:val="single" w:color="auto" w:sz="4" w:space="0"/>
              <w:bottom w:val="single" w:color="auto" w:sz="4" w:space="0"/>
            </w:tcBorders>
          </w:tcPr>
          <w:p w14:paraId="5E8FE24C">
            <w:pPr>
              <w:tabs>
                <w:tab w:val="left" w:pos="1080"/>
                <w:tab w:val="left" w:pos="1260"/>
              </w:tabs>
              <w:rPr>
                <w:rFonts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  <w:t>答：</w:t>
            </w:r>
            <w:r>
              <w:rPr>
                <w:rFonts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  <w:t>这说明本研究的模型在面对高复杂度、低对比度的实际数据时依然保持鲁</w:t>
            </w:r>
          </w:p>
        </w:tc>
      </w:tr>
      <w:tr w14:paraId="4B94F6BF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161" w:type="dxa"/>
            <w:tcBorders>
              <w:top w:val="single" w:color="auto" w:sz="4" w:space="0"/>
              <w:bottom w:val="single" w:color="auto" w:sz="4" w:space="0"/>
            </w:tcBorders>
          </w:tcPr>
          <w:p w14:paraId="23A9FE7E">
            <w:pPr>
              <w:tabs>
                <w:tab w:val="left" w:pos="1080"/>
                <w:tab w:val="left" w:pos="1260"/>
              </w:tabs>
              <w:ind w:firstLine="480" w:firstLineChars="200"/>
              <w:rPr>
                <w:rFonts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  <w:t>棒性，泛化能力优于主流方法。</w:t>
            </w:r>
          </w:p>
        </w:tc>
      </w:tr>
      <w:tr w14:paraId="7F44BFFE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161" w:type="dxa"/>
            <w:tcBorders>
              <w:top w:val="single" w:color="auto" w:sz="4" w:space="0"/>
              <w:bottom w:val="single" w:color="auto" w:sz="4" w:space="0"/>
            </w:tcBorders>
          </w:tcPr>
          <w:p w14:paraId="2CCAE876">
            <w:pPr>
              <w:tabs>
                <w:tab w:val="left" w:pos="1080"/>
                <w:tab w:val="left" w:pos="1260"/>
              </w:tabs>
              <w:jc w:val="left"/>
              <w:rPr>
                <w:rFonts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  <w:t>问题6：请问本文GNN模型推理时间较长是否会影响实用性？</w:t>
            </w:r>
          </w:p>
        </w:tc>
      </w:tr>
      <w:tr w14:paraId="41A6CE72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161" w:type="dxa"/>
            <w:tcBorders>
              <w:top w:val="single" w:color="auto" w:sz="4" w:space="0"/>
              <w:bottom w:val="single" w:color="auto" w:sz="4" w:space="0"/>
            </w:tcBorders>
          </w:tcPr>
          <w:p w14:paraId="0B867E45">
            <w:pPr>
              <w:tabs>
                <w:tab w:val="left" w:pos="1080"/>
                <w:tab w:val="left" w:pos="1260"/>
              </w:tabs>
              <w:jc w:val="left"/>
              <w:rPr>
                <w:rFonts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  <w:t>答：</w:t>
            </w:r>
            <w:r>
              <w:rPr>
                <w:rFonts w:hint="eastAsia"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  <w:t>虽然GNN模型复杂度较高，但在现代高性能硬件平台上推理时延控制在</w:t>
            </w:r>
          </w:p>
        </w:tc>
      </w:tr>
      <w:tr w14:paraId="48C65412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161" w:type="dxa"/>
            <w:tcBorders>
              <w:top w:val="single" w:color="auto" w:sz="4" w:space="0"/>
              <w:bottom w:val="single" w:color="auto" w:sz="4" w:space="0"/>
            </w:tcBorders>
          </w:tcPr>
          <w:p w14:paraId="374AB9CA">
            <w:pPr>
              <w:tabs>
                <w:tab w:val="left" w:pos="1080"/>
                <w:tab w:val="left" w:pos="1260"/>
              </w:tabs>
              <w:ind w:firstLine="480" w:firstLineChars="200"/>
              <w:jc w:val="left"/>
              <w:rPr>
                <w:rFonts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  <w:t>2秒内，仍符合产业应用需求。</w:t>
            </w:r>
          </w:p>
        </w:tc>
      </w:tr>
      <w:tr w14:paraId="7CB4EED8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916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B9420A2">
            <w:pPr>
              <w:tabs>
                <w:tab w:val="left" w:pos="1080"/>
                <w:tab w:val="left" w:pos="1260"/>
              </w:tabs>
              <w:jc w:val="left"/>
              <w:rPr>
                <w:rFonts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  <w:t>问题7：</w:t>
            </w:r>
            <w:r>
              <w:rPr>
                <w:rFonts w:ascii="Times New Roman" w:hAnsi="Times New Roman" w:eastAsia="仿宋体" w:cs="Times New Roman"/>
                <w:color w:val="000000"/>
                <w:sz w:val="24"/>
                <w:szCs w:val="24"/>
                <w14:ligatures w14:val="none"/>
              </w:rPr>
              <w:t>请问你对比选用的三篇主流论文模型是如何筛选的？</w:t>
            </w:r>
          </w:p>
        </w:tc>
      </w:tr>
      <w:tr w14:paraId="44833171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916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43BC862">
            <w:pPr>
              <w:tabs>
                <w:tab w:val="left" w:pos="1080"/>
                <w:tab w:val="left" w:pos="1260"/>
              </w:tabs>
              <w:jc w:val="left"/>
              <w:rPr>
                <w:rFonts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  <w:t>答：</w:t>
            </w:r>
            <w:r>
              <w:rPr>
                <w:rFonts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  <w:t>我依据其在近三年TCAD、GLSVLSI、TODAES等主流会议期刊的代表</w:t>
            </w:r>
          </w:p>
        </w:tc>
      </w:tr>
      <w:tr w14:paraId="14A5CB99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916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80C8DB8">
            <w:pPr>
              <w:tabs>
                <w:tab w:val="left" w:pos="1080"/>
                <w:tab w:val="left" w:pos="1260"/>
              </w:tabs>
              <w:ind w:firstLine="480" w:firstLineChars="200"/>
              <w:jc w:val="left"/>
              <w:rPr>
                <w:rFonts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  <w:t>性与引用情况进行筛选，确保对比结果具备参考价值。</w:t>
            </w:r>
          </w:p>
        </w:tc>
      </w:tr>
      <w:tr w14:paraId="56F702D2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916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7807AE2">
            <w:pPr>
              <w:tabs>
                <w:tab w:val="left" w:pos="1080"/>
                <w:tab w:val="left" w:pos="1260"/>
              </w:tabs>
              <w:jc w:val="left"/>
              <w:rPr>
                <w:rFonts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  <w:t>问题8：本文提出的门控通道注意力机制在GNN中起到了怎样的作用？</w:t>
            </w:r>
          </w:p>
        </w:tc>
      </w:tr>
      <w:tr w14:paraId="33CFFC7C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916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D342082">
            <w:pPr>
              <w:tabs>
                <w:tab w:val="left" w:pos="1080"/>
                <w:tab w:val="left" w:pos="1260"/>
              </w:tabs>
              <w:jc w:val="left"/>
              <w:rPr>
                <w:rFonts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  <w:t>答：</w:t>
            </w:r>
            <w:r>
              <w:rPr>
                <w:rFonts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  <w:t>它有效融合了边界信息与远程依赖语义，使模型兼具局部敏感性与全局</w:t>
            </w:r>
          </w:p>
        </w:tc>
      </w:tr>
      <w:tr w14:paraId="5DF37765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916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D15F20B">
            <w:pPr>
              <w:tabs>
                <w:tab w:val="left" w:pos="1080"/>
                <w:tab w:val="left" w:pos="1260"/>
              </w:tabs>
              <w:ind w:firstLine="480" w:firstLineChars="200"/>
              <w:jc w:val="left"/>
              <w:rPr>
                <w:rFonts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  <w:t>注意力能力，提升了热点检测准确性。</w:t>
            </w:r>
          </w:p>
        </w:tc>
      </w:tr>
      <w:tr w14:paraId="6B88821B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916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0385101">
            <w:pPr>
              <w:tabs>
                <w:tab w:val="left" w:pos="1080"/>
                <w:tab w:val="left" w:pos="1260"/>
              </w:tabs>
              <w:jc w:val="left"/>
              <w:rPr>
                <w:rFonts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  <w:t>问题9：为什么你要采用两阶段训练方式来构建基准模型？</w:t>
            </w:r>
          </w:p>
        </w:tc>
      </w:tr>
      <w:tr w14:paraId="291B1646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916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EF4317A">
            <w:pPr>
              <w:tabs>
                <w:tab w:val="left" w:pos="1080"/>
                <w:tab w:val="left" w:pos="1260"/>
              </w:tabs>
              <w:jc w:val="left"/>
              <w:rPr>
                <w:rFonts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  <w:t>答：</w:t>
            </w:r>
            <w:r>
              <w:rPr>
                <w:rFonts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  <w:t>两阶段训练方式能够先学得稳定的特征表示，再微调分类器，有助于提</w:t>
            </w:r>
          </w:p>
        </w:tc>
      </w:tr>
      <w:tr w14:paraId="16B963DD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916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F324623">
            <w:pPr>
              <w:tabs>
                <w:tab w:val="left" w:pos="1080"/>
                <w:tab w:val="left" w:pos="1260"/>
              </w:tabs>
              <w:ind w:firstLine="480" w:firstLineChars="200"/>
              <w:jc w:val="left"/>
              <w:rPr>
                <w:rFonts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  <w:t>升模型收敛效率与最终性能。</w:t>
            </w:r>
          </w:p>
        </w:tc>
      </w:tr>
      <w:tr w14:paraId="5E6E84FD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916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138E322">
            <w:pPr>
              <w:tabs>
                <w:tab w:val="left" w:pos="1080"/>
                <w:tab w:val="left" w:pos="1260"/>
              </w:tabs>
              <w:jc w:val="left"/>
              <w:rPr>
                <w:rFonts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  <w:t>问题10：你的研究中哪些部分体现了创新性？</w:t>
            </w:r>
          </w:p>
        </w:tc>
      </w:tr>
      <w:tr w14:paraId="3EC8C6C8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916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0F0BE7E">
            <w:pPr>
              <w:tabs>
                <w:tab w:val="left" w:pos="1080"/>
                <w:tab w:val="left" w:pos="1260"/>
              </w:tabs>
              <w:jc w:val="left"/>
              <w:rPr>
                <w:rFonts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  <w:t>答：创新性主要体现在提出“图族+消息传递”的建模思路、引入DFT边属</w:t>
            </w:r>
          </w:p>
        </w:tc>
      </w:tr>
      <w:tr w14:paraId="1683049A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916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77ECCC9">
            <w:pPr>
              <w:tabs>
                <w:tab w:val="left" w:pos="1080"/>
                <w:tab w:val="left" w:pos="1260"/>
              </w:tabs>
              <w:ind w:firstLine="480" w:firstLineChars="200"/>
              <w:jc w:val="left"/>
              <w:rPr>
                <w:rFonts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仿宋体" w:cs="仿宋体"/>
                <w:color w:val="000000"/>
                <w:sz w:val="24"/>
                <w:szCs w:val="24"/>
                <w14:ligatures w14:val="none"/>
              </w:rPr>
              <w:t>性表达、以及模块化消融实验验证机制等方面。</w:t>
            </w:r>
          </w:p>
        </w:tc>
      </w:tr>
      <w:tr w14:paraId="2B9A9756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916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B5449A8">
            <w:pPr>
              <w:tabs>
                <w:tab w:val="left" w:pos="1080"/>
                <w:tab w:val="left" w:pos="1260"/>
              </w:tabs>
              <w:ind w:firstLine="420" w:firstLineChars="200"/>
              <w:jc w:val="right"/>
              <w:rPr>
                <w:rFonts w:ascii="Times New Roman" w:hAnsi="Times New Roman" w:eastAsia="仿宋体" w:cs="仿宋体"/>
                <w:color w:val="000000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仿宋体" w:cs="仿宋体"/>
                <w:color w:val="000000"/>
                <w:szCs w:val="21"/>
                <w14:ligatures w14:val="none"/>
              </w:rPr>
              <w:t>（本页不够另附页）</w:t>
            </w:r>
          </w:p>
        </w:tc>
      </w:tr>
    </w:tbl>
    <w:p w14:paraId="21B14FE7">
      <w:pPr>
        <w:tabs>
          <w:tab w:val="left" w:pos="1080"/>
          <w:tab w:val="left" w:pos="1260"/>
        </w:tabs>
        <w:spacing w:before="100" w:beforeAutospacing="1" w:after="100" w:afterAutospacing="1"/>
        <w:ind w:firstLine="643" w:firstLineChars="200"/>
        <w:jc w:val="center"/>
        <w:rPr>
          <w:rFonts w:hint="eastAsia" w:ascii="仿宋体" w:hAnsi="仿宋体" w:eastAsia="仿宋体" w:cs="Times New Roman"/>
          <w:b/>
          <w:bCs/>
          <w:color w:val="000000"/>
          <w:sz w:val="32"/>
          <w:szCs w:val="32"/>
          <w14:ligatures w14:val="none"/>
        </w:rPr>
      </w:pPr>
    </w:p>
    <w:p w14:paraId="1D1C120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Cascadia Code">
    <w:panose1 w:val="020B0609020000020004"/>
    <w:charset w:val="00"/>
    <w:family w:val="modern"/>
    <w:pitch w:val="default"/>
    <w:sig w:usb0="A10002FF" w:usb1="4000F9FB" w:usb2="00040000" w:usb3="00000000" w:csb0="600001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体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695"/>
    <w:rsid w:val="000460BC"/>
    <w:rsid w:val="000967B6"/>
    <w:rsid w:val="001D238C"/>
    <w:rsid w:val="00302402"/>
    <w:rsid w:val="0042128A"/>
    <w:rsid w:val="004318B0"/>
    <w:rsid w:val="004C0BE5"/>
    <w:rsid w:val="005510F3"/>
    <w:rsid w:val="005D2DF6"/>
    <w:rsid w:val="005D73EB"/>
    <w:rsid w:val="00656114"/>
    <w:rsid w:val="007F7CA9"/>
    <w:rsid w:val="00A46818"/>
    <w:rsid w:val="00B14476"/>
    <w:rsid w:val="00B3666B"/>
    <w:rsid w:val="00BD7CE3"/>
    <w:rsid w:val="00D95FE1"/>
    <w:rsid w:val="00DF1695"/>
    <w:rsid w:val="00DF2A97"/>
    <w:rsid w:val="00E344C1"/>
    <w:rsid w:val="00EE2E48"/>
    <w:rsid w:val="36953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3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3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3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4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4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3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17">
    <w:name w:val="正文-课设报告"/>
    <w:basedOn w:val="1"/>
    <w:link w:val="18"/>
    <w:qFormat/>
    <w:uiPriority w:val="0"/>
    <w:pPr>
      <w:spacing w:line="288" w:lineRule="auto"/>
    </w:pPr>
    <w:rPr>
      <w:rFonts w:ascii="Century Schoolbook" w:hAnsi="Century Schoolbook" w:eastAsia="宋体" w:cs="Century Schoolbook"/>
    </w:rPr>
  </w:style>
  <w:style w:type="character" w:customStyle="1" w:styleId="18">
    <w:name w:val="正文-课设报告 字符"/>
    <w:basedOn w:val="16"/>
    <w:link w:val="17"/>
    <w:uiPriority w:val="0"/>
    <w:rPr>
      <w:rFonts w:ascii="Century Schoolbook" w:hAnsi="Century Schoolbook" w:eastAsia="宋体" w:cs="Century Schoolbook"/>
    </w:rPr>
  </w:style>
  <w:style w:type="paragraph" w:customStyle="1" w:styleId="19">
    <w:name w:val="3级别标题"/>
    <w:basedOn w:val="4"/>
    <w:link w:val="20"/>
    <w:qFormat/>
    <w:uiPriority w:val="0"/>
    <w:pPr>
      <w:spacing w:line="240" w:lineRule="auto"/>
    </w:pPr>
    <w:rPr>
      <w:rFonts w:ascii="Century Schoolbook" w:hAnsi="Century Schoolbook" w:eastAsia="宋体"/>
      <w:sz w:val="24"/>
      <w:szCs w:val="28"/>
    </w:rPr>
  </w:style>
  <w:style w:type="character" w:customStyle="1" w:styleId="20">
    <w:name w:val="3级别标题 字符"/>
    <w:basedOn w:val="21"/>
    <w:link w:val="19"/>
    <w:qFormat/>
    <w:uiPriority w:val="0"/>
    <w:rPr>
      <w:rFonts w:ascii="Century Schoolbook" w:hAnsi="Century Schoolbook" w:eastAsia="宋体"/>
      <w:sz w:val="24"/>
      <w:szCs w:val="28"/>
    </w:rPr>
  </w:style>
  <w:style w:type="character" w:customStyle="1" w:styleId="21">
    <w:name w:val="标题 3 字符"/>
    <w:basedOn w:val="16"/>
    <w:link w:val="4"/>
    <w:semiHidden/>
    <w:uiPriority w:val="9"/>
    <w:rPr>
      <w:b/>
      <w:bCs/>
      <w:sz w:val="32"/>
      <w:szCs w:val="32"/>
    </w:rPr>
  </w:style>
  <w:style w:type="paragraph" w:customStyle="1" w:styleId="22">
    <w:name w:val="2级别标题"/>
    <w:basedOn w:val="3"/>
    <w:link w:val="23"/>
    <w:qFormat/>
    <w:uiPriority w:val="0"/>
    <w:pPr>
      <w:spacing w:line="240" w:lineRule="auto"/>
    </w:pPr>
    <w:rPr>
      <w:rFonts w:ascii="Century Schoolbook" w:hAnsi="Century Schoolbook" w:eastAsia="宋体"/>
      <w:sz w:val="24"/>
    </w:rPr>
  </w:style>
  <w:style w:type="character" w:customStyle="1" w:styleId="23">
    <w:name w:val="2级别标题 字符"/>
    <w:basedOn w:val="24"/>
    <w:link w:val="22"/>
    <w:uiPriority w:val="0"/>
    <w:rPr>
      <w:rFonts w:ascii="Century Schoolbook" w:hAnsi="Century Schoolbook" w:eastAsia="宋体" w:cstheme="majorBidi"/>
      <w:sz w:val="24"/>
      <w:szCs w:val="32"/>
    </w:rPr>
  </w:style>
  <w:style w:type="character" w:customStyle="1" w:styleId="24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25">
    <w:name w:val="1级别标题"/>
    <w:basedOn w:val="2"/>
    <w:link w:val="26"/>
    <w:qFormat/>
    <w:uiPriority w:val="0"/>
    <w:rPr>
      <w:rFonts w:ascii="Century Schoolbook" w:hAnsi="Century Schoolbook" w:eastAsia="宋体"/>
      <w:sz w:val="28"/>
    </w:rPr>
  </w:style>
  <w:style w:type="character" w:customStyle="1" w:styleId="26">
    <w:name w:val="1级别标题 字符"/>
    <w:basedOn w:val="27"/>
    <w:link w:val="25"/>
    <w:qFormat/>
    <w:uiPriority w:val="0"/>
    <w:rPr>
      <w:rFonts w:ascii="Century Schoolbook" w:hAnsi="Century Schoolbook" w:eastAsia="宋体"/>
      <w:kern w:val="44"/>
      <w:sz w:val="28"/>
      <w:szCs w:val="44"/>
    </w:rPr>
  </w:style>
  <w:style w:type="character" w:customStyle="1" w:styleId="27">
    <w:name w:val="标题 1 字符"/>
    <w:basedOn w:val="16"/>
    <w:link w:val="2"/>
    <w:qFormat/>
    <w:uiPriority w:val="9"/>
    <w:rPr>
      <w:b/>
      <w:bCs/>
      <w:kern w:val="44"/>
      <w:sz w:val="44"/>
      <w:szCs w:val="44"/>
    </w:rPr>
  </w:style>
  <w:style w:type="paragraph" w:customStyle="1" w:styleId="28">
    <w:name w:val="代码"/>
    <w:basedOn w:val="17"/>
    <w:link w:val="29"/>
    <w:qFormat/>
    <w:uiPriority w:val="0"/>
    <w:pPr>
      <w:spacing w:line="240" w:lineRule="auto"/>
    </w:pPr>
    <w:rPr>
      <w:rFonts w:ascii="Cascadia Code" w:hAnsi="Cascadia Code" w:eastAsia="微软雅黑" w:cs="Cascadia Code"/>
      <w:sz w:val="18"/>
    </w:rPr>
  </w:style>
  <w:style w:type="character" w:customStyle="1" w:styleId="29">
    <w:name w:val="代码 字符"/>
    <w:basedOn w:val="18"/>
    <w:link w:val="28"/>
    <w:qFormat/>
    <w:uiPriority w:val="0"/>
    <w:rPr>
      <w:rFonts w:ascii="Cascadia Code" w:hAnsi="Cascadia Code" w:eastAsia="微软雅黑" w:cs="Cascadia Code"/>
      <w:sz w:val="18"/>
    </w:rPr>
  </w:style>
  <w:style w:type="character" w:customStyle="1" w:styleId="3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3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3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3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8">
    <w:name w:val="Quote"/>
    <w:basedOn w:val="1"/>
    <w:next w:val="1"/>
    <w:link w:val="3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9">
    <w:name w:val="引用 字符"/>
    <w:basedOn w:val="16"/>
    <w:link w:val="3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0">
    <w:name w:val="List Paragraph"/>
    <w:basedOn w:val="1"/>
    <w:qFormat/>
    <w:uiPriority w:val="34"/>
    <w:pPr>
      <w:ind w:left="720"/>
      <w:contextualSpacing/>
    </w:pPr>
  </w:style>
  <w:style w:type="character" w:customStyle="1" w:styleId="4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42">
    <w:name w:val="Intense Quote"/>
    <w:basedOn w:val="1"/>
    <w:next w:val="1"/>
    <w:link w:val="4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3">
    <w:name w:val="明显引用 字符"/>
    <w:basedOn w:val="16"/>
    <w:link w:val="42"/>
    <w:uiPriority w:val="30"/>
    <w:rPr>
      <w:i/>
      <w:iCs/>
      <w:color w:val="2F5597" w:themeColor="accent1" w:themeShade="BF"/>
    </w:rPr>
  </w:style>
  <w:style w:type="character" w:customStyle="1" w:styleId="4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4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924</Words>
  <Characters>962</Characters>
  <Lines>28</Lines>
  <Paragraphs>42</Paragraphs>
  <TotalTime>13</TotalTime>
  <ScaleCrop>false</ScaleCrop>
  <LinksUpToDate>false</LinksUpToDate>
  <CharactersWithSpaces>990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2025-05-28T14:01:00Z</dcterms:created>
  <dc:creator>Lawrence Leung</dc:creator>
  <cp:lastModifiedBy>梁珑曦</cp:lastModifiedBy>
  <dcterms:modified xsi:type="dcterms:W3CDTF">2026-03-28T09:12:33Z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eyJoZGlkIjoiMDU3YzMzYzA3MDRhOWVlMmQ5NWFkMDg3N2NjYjY5OTQiLCJ1c2VySWQiOiIxNzQ1NDMwNjgwIn0=</vt:lpwstr>
  </property>
  <property fmtid="{D5CDD505-2E9C-101B-9397-08002B2CF9AE}" pid="3" name="KSOProductBuildVer">
    <vt:lpwstr>2052-12.1.0.23542</vt:lpwstr>
  </property>
  <property fmtid="{D5CDD505-2E9C-101B-9397-08002B2CF9AE}" pid="4" name="ICV">
    <vt:lpwstr>3D32998B1DDE4CB184B48CA382F6E28F_13</vt:lpwstr>
  </property>
</Properties>
</file>