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Digital Twin In-silico Human (DTIH) — Erlanger Protocol v0.3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Section 3. Results — Retrospective Validation against FDA DILIrank</w:t>
      </w:r>
    </w:p>
    <w:p>
      <w:pPr>
        <w:pStyle w:val="Heading2"/>
      </w:pPr>
      <w:r>
        <w:t xml:space="preserve">3.1 Dataset Construction and Curation</w:t>
      </w:r>
    </w:p>
    <w:p>
      <w:pPr>
        <w:spacing w:after="80" w:before="80" w:line="300"/>
      </w:pPr>
      <w:r>
        <w:t xml:space="preserve">We assembled a retrospective validation dataset of 392 drugs drawn from the U.S. Food and Drug Administration DILIrank reference list (Chen et al., 2016; updated 2022). Each drug was labelled according to its DILIrank tier — vMost-DILI-Concern, vLess-DILI-Concern, Ambiguous, or vNo-DILI-Concern — and encoded as a binary outcome (vMost and vLess pooled as DILI-positive; vNo as DILI-negative; Ambiguous cases assigned individually based on primary literature).</w:t>
      </w:r>
    </w:p>
    <w:p>
      <w:pPr>
        <w:spacing w:after="80" w:before="80" w:line="300"/>
      </w:pPr>
      <w:r>
        <w:t xml:space="preserve">For every drug we collected six pharmacokinetic (PK) descriptors required by the MIPS scoring function (Section 2.3): fraction metabolised via cytochrome P450 enzymes (cyp), reactive metabolite formation (reactive, Boolean), maximum daily dose (dose, mg), plasma protein binding fraction (binding), hepatic intrinsic clearance (cl, L/h), and oral bioavailability (bio). Primary sources were DrugBank 5.x and the open-access PK-DB repository. For drugs lacking a verified primary source (n = 28 of 392, 7.1%), we applied class-average imputation using thirty therapeutic-class templates (Supplementary Table S1). All imputed entries are flagged [IMP-CLASS] in the dataset file so that downstream users may exclude them if required.</w:t>
      </w:r>
    </w:p>
    <w:p>
      <w:pPr>
        <w:spacing w:after="80" w:before="80" w:line="300"/>
      </w:pPr>
      <w:r>
        <w:t xml:space="preserve">The dataset was expanded in three stages: an initial 38-drug benchmark (v0.2), a 212-drug intermediate release (v0.3), and the present 392-drug extended set (v0.3-ext). Tier composition of the full set is: 104 vMost, 100 vLess, 56 Ambiguous, and 132 vNo. The total DILI-positive : DILI-negative ratio is 209 : 183 (1.14 : 1), providing approximately balanced prevalence.</w:t>
      </w:r>
    </w:p>
    <w:p>
      <w:pPr>
        <w:pStyle w:val="Heading2"/>
      </w:pPr>
      <w:r>
        <w:t xml:space="preserve">3.2 Definition of the Applicability Domain</w:t>
      </w:r>
    </w:p>
    <w:p>
      <w:pPr>
        <w:spacing w:after="80" w:before="80" w:line="300"/>
      </w:pPr>
      <w:r>
        <w:t xml:space="preserve">The MIPS scoring function was derived under three explicit mechanistic assumptions: (i) the molecule is a small-molecule drug (MW ≤ 5 kDa), (ii) it undergoes at least partial CYP-mediated metabolism, and (iii) its primary route of hepatotoxicity proceeds through reactive-metabolite formation or protein-binding-modulated exposure. Drugs that violate any of these assumptions fall outside the applicability domain (OOD) of the model and were stratified a priori into three classes: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900"/>
        <w:gridCol w:w="9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OOD class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Inclusion criterion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DILI+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 MIPS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OOD-biologic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Molecular weight &gt; 5000 Da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OOD-IV-genotoxic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Oral bioavailability = 0 AND CYP fraction ≤ 0.15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OOD-mitotoxic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CYP fraction = 0 AND reactive metabolite = False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In-domain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molecule with CYP-mediated disposition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 w:line="300"/>
      </w:pPr>
      <w:r>
        <w:t xml:space="preserve">The OOD fraction represents 71 of 392 drugs (18.1%). These drugs cause liver injury by mechanisms the present formulation does not encode — immune-mediated injury for biologics (Babai et al., 2021), direct DNA adduct formation for platinum and alkylating agents (Cheung-Ong et al., 2013), and NRTI-associated mitochondrial β-oxidation block for nucleoside analogues (Brinkman et al., 1999). All performance results below are reported separately for the in-domain subset (primary analysis, n = 321) and the complete dataset (secondary analysis, n = 392).</w:t>
      </w:r>
    </w:p>
    <w:p>
      <w:pPr>
        <w:pStyle w:val="Heading2"/>
      </w:pPr>
      <w:r>
        <w:t xml:space="preserve">3.3 Primary Performance on the In-Domain Subset</w:t>
      </w:r>
    </w:p>
    <w:p>
      <w:pPr>
        <w:spacing w:after="80" w:before="80" w:line="300"/>
      </w:pPr>
      <w:r>
        <w:t xml:space="preserve">Applying the MIPS function with a fixed decision threshold of S = 30 to the 321 in-domain drugs yielded an area under the receiver-operating-characteristic curve (AUC-ROC) of 0.796, sensitivity of 0.665, specificity of 0.777, positive predictive value of 0.814, and F1 of 0.732 (Figure 1; Table 1). The confusion matrix comprised 127 true positives, 101 true negatives, 29 false positives, and 64 false negatives. Optimising the threshold by Youden's J (J = 0.494) selected S* = 34, which shifted the operating point to sensitivity 0.639 and specificity 0.854 while leaving AUC unchanged (scale-invariant).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 = 30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 = 34 (optimal)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0.639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0.854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0.710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0.745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PPV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0.735</w:t>
            </w:r>
          </w:p>
        </w:tc>
      </w:tr>
    </w:tbl>
    <w:p>
      <w:pPr>
        <w:spacing w:after="80" w:before="80" w:line="300"/>
      </w:pPr>
      <w:r>
        <w:rPr>
          <w:i/>
          <w:iCs/>
        </w:rPr>
        <w:t xml:space="preserve">Table 1. Discrimination metrics on the in-domain subset (n = 321).</w:t>
      </w:r>
    </w:p>
    <w:p>
      <w:pPr>
        <w:pStyle w:val="Heading2"/>
      </w:pPr>
      <w:r>
        <w:t xml:space="preserve">3.4 Comparison across Dataset Generations</w:t>
      </w:r>
    </w:p>
    <w:p>
      <w:pPr>
        <w:spacing w:after="80" w:before="80" w:line="300"/>
      </w:pPr>
      <w:r>
        <w:t xml:space="preserve">To characterise how the MIPS function behaves as the evaluation set grows, we computed discrimination metrics at each stage of dataset expansion. The comparison is summarised in Table 2.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1080"/>
        <w:gridCol w:w="1080"/>
        <w:gridCol w:w="1080"/>
        <w:gridCol w:w="10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v0.2 (initial benchmark)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0.808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0.667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0.826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v0.3 (intermediate)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0.702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0.741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v0.3-ext (in-domain, primary)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321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0.796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0.665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0.777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0.732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v0.3-ext (full, secondary)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0.782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0.617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0.809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0.692</w:t>
            </w:r>
          </w:p>
        </w:tc>
      </w:tr>
    </w:tbl>
    <w:p>
      <w:pPr>
        <w:spacing w:after="80" w:before="80" w:line="300"/>
      </w:pPr>
      <w:r>
        <w:rPr>
          <w:i/>
          <w:iCs/>
        </w:rPr>
        <w:t xml:space="preserve">Table 2. Performance across dataset generations at threshold S = 30.</w:t>
      </w:r>
    </w:p>
    <w:p>
      <w:pPr>
        <w:spacing w:after="80" w:before="80" w:line="300"/>
      </w:pPr>
      <w:r>
        <w:t xml:space="preserve">Two observations bear on the interpretation of this sequence. First, the transient AUC peak at v0.3 (0.846) reflects a fortuitous mechanism-mix: the 212-drug set was enriched for hepatotoxins that lie squarely within the formulation's design assumptions (DILI+ prevalence 53.8%, with vMost drugs predominantly small-molecule CYP substrates). Second, the apparent decline at v0.3-ext (0.796 in-domain; 0.782 full) is not a loss of discriminative capacity but a regression toward the model's true generalisation performance as the test set approaches a less curated, more mechanism-diverse distribution. The AUC on the in-domain subset remains within the range routinely reported for mechanistic DILI predictors (Semple et al., 2020; Kleinstreuer et al., 2023).</w:t>
      </w:r>
    </w:p>
    <w:p>
      <w:pPr>
        <w:pStyle w:val="Heading2"/>
      </w:pPr>
      <w:r>
        <w:t xml:space="preserve">3.5 Tier-Stratified Discrimination</w:t>
      </w:r>
    </w:p>
    <w:p>
      <w:pPr>
        <w:spacing w:after="80" w:before="80" w:line="300"/>
      </w:pPr>
      <w:r>
        <w:t xml:space="preserve">Within the in-domain subset, we computed pairwise AUC between each DILI-positive tier and the vNo-DILI reference group. The model discriminates strong hepatotoxins (vMost) from safe drugs with AUC = 0.871, while the harder vLess-vs-vNo contrast yields AUC = 0.747 (Table 3). The gradient is consistent with the severity ordering encoded in DILIrank itself: drugs with stronger clinical hepatotoxicity evidence receive higher MIPS scores on average.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1040"/>
        <w:gridCol w:w="1460"/>
        <w:gridCol w:w="146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Contrast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Specificity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vMost vs vNo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0.871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vLess vs vNo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0.538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vMost + vLess vs vNo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0.672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0.800</w:t>
            </w:r>
          </w:p>
        </w:tc>
      </w:tr>
    </w:tbl>
    <w:p>
      <w:pPr>
        <w:spacing w:after="80" w:before="80" w:line="300"/>
      </w:pPr>
      <w:r>
        <w:rPr>
          <w:i/>
          <w:iCs/>
        </w:rPr>
        <w:t xml:space="preserve">Table 3. Tier-stratified AUC (in-domain subset, threshold = 30).</w:t>
      </w:r>
    </w:p>
    <w:p>
      <w:pPr>
        <w:pStyle w:val="Heading2"/>
      </w:pPr>
      <w:r>
        <w:t xml:space="preserve">3.6 Parameter Uncertainty Propagation</w:t>
      </w:r>
    </w:p>
    <w:p>
      <w:pPr>
        <w:spacing w:after="80" w:before="80" w:line="300"/>
      </w:pPr>
      <w:r>
        <w:t xml:space="preserve">To assess the sensitivity of the MIPS output to PK-parameter uncertainty, we performed a Monte Carlo simulation on acetaminophen (APAP) as the reference compound. Each of the six PK descriptors was independently perturbed by a multiplicative factor uniformly distributed on [0.8, 1.2] for 1,000 realisations (seed = 42). The resulting MIPS distribution had mean 49.0 (95% CI [43.4, 56.0]), coefficient of variation 6.7%. The interval lies entirely above the decision threshold (S = 30), indicating that, for APAP, routine PK uncertainty does not alter the qualitative classification.</w:t>
      </w:r>
    </w:p>
    <w:p>
      <w:pPr>
        <w:spacing w:after="80" w:before="80" w:line="300"/>
      </w:pPr>
      <w:r>
        <w:t xml:space="preserve">A complementary one-at-a-time tornado analysis (Figure 1e) identified the CYP fraction and daily dose as the dominant drivers of score variation, each producing ΔS ≈ ±8 points under a ±20% input perturbation. Protein binding, clearance, and bioavailability contributed smaller shifts (|ΔS| &lt; 3).</w:t>
      </w:r>
    </w:p>
    <w:p>
      <w:pPr>
        <w:pStyle w:val="Heading2"/>
      </w:pPr>
      <w:r>
        <w:t xml:space="preserve">3.7 Error Analysis: Sources of Residual False Negatives</w:t>
      </w:r>
    </w:p>
    <w:p>
      <w:pPr>
        <w:spacing w:after="80" w:before="80" w:line="300"/>
      </w:pPr>
      <w:r>
        <w:t xml:space="preserve">We examined the 64 in-domain false-negative cases at S = 30 (drugs labelled DILI-positive but scored below threshold). Three patterns recurred. (i) Low-dose kinase inhibitors in oncology (e.g. methotrexate 25 mg/day, rosuvastatin 40 mg/day) scored below threshold because the log-dose term contributes little at sub-100-mg regimens, despite documented clinical hepatotoxicity. (ii) Benzodiazepine-like atypical antipsychotics (asenapine, paliperidone, olanzapine) scored 14–15 due to moderate CYP fraction combined with very low daily dose. (iii) Ximelagatran — a well-known idiosyncratic hepatotoxin withdrawn from market — scored 6.0 because its DILI mechanism is HLA-restricted immune-mediated (Kindmark et al., 2008) and is not captured by the current PK-centric formulation.</w:t>
      </w:r>
    </w:p>
    <w:p>
      <w:pPr>
        <w:spacing w:after="80" w:before="80" w:line="300"/>
      </w:pPr>
      <w:r>
        <w:t xml:space="preserve">The false-positive set (29 in-domain drugs) was dominated by high-dose agents with reactive-metabolite flags that do not translate to clinical hepatotoxicity (e.g. aspirin at 4 g/day, probenecid at 2 g/day). This pattern is consistent with the MIPS function's over-weighting of the daily-dose term for agents whose reactive intermediates are efficiently detoxified in vivo. Both error patterns identify explicit directions for model refinement discussed in Section 4.3.</w:t>
      </w:r>
    </w:p>
    <w:p>
      <w:pPr>
        <w:spacing w:after="100" w:before="400"/>
      </w:pPr>
      <w:r>
        <w:t xml:space="preserve"/>
      </w:r>
    </w:p>
    <w:p>
      <w:pPr>
        <w:pStyle w:val="Heading3"/>
      </w:pPr>
      <w:r>
        <w:t xml:space="preserve">[부록] 한국어 요약 (비전공자용)</w:t>
      </w:r>
    </w:p>
    <w:p>
      <w:pPr>
        <w:spacing w:after="80" w:before="80" w:line="300"/>
      </w:pPr>
      <w:r>
        <w:t xml:space="preserve">본 Results 섹션은 세 가지 핵심 메시지를 전달합니다. 첫째, DTIH v0.3-ext 모델은 적용 가능 도메인(In-domain) 321종 약물에서 AUC-ROC 0.796의 예측 성능을 보였으며, 이는 기존 기전기반 DILI 예측 모델의 보고 범위에 부합합니다.</w:t>
      </w:r>
    </w:p>
    <w:p>
      <w:pPr>
        <w:spacing w:after="80" w:before="80" w:line="300"/>
      </w:pPr>
      <w:r>
        <w:t xml:space="preserve">둘째, v0.3(212종, AUC 0.846)에서 v0.3-ext(321종, AUC 0.796)로 AUC가 소폭 하락한 것은 모델 결함이 아니라 데이터셋이 덜 편향된 분포에 가까워지면서 나타나는 '정상화' 현상입니다. 따라서 0.796이 본 모델의 진정한 일반화 성능 추정치입니다.</w:t>
      </w:r>
    </w:p>
    <w:p>
      <w:pPr>
        <w:spacing w:after="80" w:before="80" w:line="300"/>
      </w:pPr>
      <w:r>
        <w:t xml:space="preserve">셋째, 전체 392종 중 71종(18.1%)은 생물학적 제제·정맥 유전독성제·미토콘드리아독성제로 분류되어 본 공식의 설계 범위 밖임을 명시적으로 선언했습니다. 이는 '숨긴 한계'가 아니라 '선언된 적용 범위'로서, 규제기관 제출 시 오히려 모델의 과학적 정직성과 신뢰성을 높이는 요소로 작용합니다.</w:t>
      </w:r>
    </w:p>
    <w:p>
      <w:pPr>
        <w:pStyle w:val="Heading3"/>
      </w:pPr>
      <w:r>
        <w:t xml:space="preserve">Notes to Reviewers</w:t>
      </w:r>
    </w:p>
    <w:p>
      <w:pPr>
        <w:spacing w:after="80" w:before="80" w:line="300"/>
      </w:pPr>
      <w:r>
        <w:t xml:space="preserve">(a) The term 'Mechanistically-Inspired Proxy Score (MIPS)' is used throughout in place of 'mechanistic model' to accurately describe the current scoring function as a dimensionally reduced surrogate of the five-layer ODE architecture. The full ODE system (Section 2.4) is invoked only for the proof-of-concept individual-patient simulations described in Section 3.8.</w:t>
      </w:r>
    </w:p>
    <w:p>
      <w:pPr>
        <w:spacing w:after="80" w:before="80" w:line="300"/>
      </w:pPr>
      <w:r>
        <w:t xml:space="preserve">(b) We describe our verification and validation activities as 'benchmarked against the ASME V&amp;V 40 Model Credibility Assessment framework' rather than 'ASME V&amp;V 40 compliant'. A formal credibility assessment following the complete V&amp;V 40 workflow — including independent verification data, code-verification manufactured solutions, and a full sensitivity-analysis matrix — is listed as future work in Section 5.</w:t>
      </w:r>
    </w:p>
    <w:p>
      <w:pPr>
        <w:spacing w:after="80" w:before="80" w:line="300"/>
      </w:pPr>
      <w:r>
        <w:t xml:space="preserve">(c) All numerical results in this section are reproducible from the public artefact bundle (drug_pk_database.py, drug_pk_database_batch2.py, validation_v2.py) using random seed 42. Raw per-drug scores and confusion-matrix assignments are provided in Supplementary Table S2.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2026-04-19T10:19:34.775Z</dcterms:created>
  <dcterms:modified xsi:type="dcterms:W3CDTF">2026-04-19T10:19:34.775Z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