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rFonts w:ascii="Segoe UI" w:hAnsi="Segoe UI"/>
          <w:b/>
          <w:color w:val="1F3964"/>
          <w:sz w:val="56"/>
        </w:rPr>
        <w:t>Enterprise IAM Architecture</w:t>
      </w:r>
    </w:p>
    <w:p>
      <w:pPr>
        <w:jc w:val="center"/>
      </w:pPr>
      <w:r>
        <w:rPr>
          <w:rFonts w:ascii="Segoe UI" w:hAnsi="Segoe UI"/>
          <w:color w:val="2E74B5"/>
          <w:sz w:val="32"/>
        </w:rPr>
        <w:t>A Complete Practitioner's Textbook</w:t>
      </w:r>
    </w:p>
    <w:p/>
    <w:p/>
    <w:p>
      <w:pPr>
        <w:jc w:val="center"/>
      </w:pPr>
      <w:r>
        <w:rPr>
          <w:rFonts w:ascii="Segoe UI" w:hAnsi="Segoe UI"/>
          <w:color w:val="404040"/>
          <w:sz w:val="22"/>
        </w:rPr>
        <w:t>Directory Services  ·  PKI  ·  Federation Protocols</w:t>
        <w:br/>
      </w:r>
      <w:r>
        <w:rPr>
          <w:rFonts w:ascii="Segoe UI" w:hAnsi="Segoe UI"/>
          <w:color w:val="404040"/>
          <w:sz w:val="22"/>
        </w:rPr>
        <w:t>PAM  ·  Zero Trust  ·  IGA  ·  Microsoft Entra ID</w:t>
        <w:br/>
      </w:r>
      <w:r>
        <w:rPr>
          <w:rFonts w:ascii="Segoe UI" w:hAnsi="Segoe UI"/>
          <w:color w:val="404040"/>
          <w:sz w:val="22"/>
        </w:rPr>
        <w:t>Auth0 CIAM  ·  Defender XDR  ·  CAD Capstone  ·  AI Identity Security</w:t>
        <w:br/>
      </w:r>
    </w:p>
    <w:p/>
    <w:p/>
    <w:p>
      <w:pPr>
        <w:jc w:val="center"/>
      </w:pPr>
      <w:r>
        <w:rPr>
          <w:rFonts w:ascii="Segoe UI" w:hAnsi="Segoe UI"/>
          <w:color w:val="606060"/>
          <w:sz w:val="20"/>
        </w:rPr>
        <w:t>12 Chapters  ·  48 Hands-On Labs  ·  100 Interview Questions</w:t>
        <w:br/>
      </w:r>
      <w:r>
        <w:rPr>
          <w:rFonts w:ascii="Segoe UI" w:hAnsi="Segoe UI"/>
          <w:color w:val="606060"/>
          <w:sz w:val="20"/>
        </w:rPr>
        <w:t>HIPAA  ·  HITRUST  ·  SOX  ·  PCI DSS  ·  NIST AI RMF</w:t>
        <w:br/>
      </w:r>
      <w:r>
        <w:rPr>
          <w:rFonts w:ascii="Segoe UI" w:hAnsi="Segoe UI"/>
          <w:color w:val="606060"/>
          <w:sz w:val="20"/>
        </w:rPr>
        <w:br/>
      </w:r>
      <w:r>
        <w:rPr>
          <w:rFonts w:ascii="Segoe UI" w:hAnsi="Segoe UI"/>
          <w:color w:val="606060"/>
          <w:sz w:val="20"/>
        </w:rPr>
        <w:t>Portfolio Edition — Cybersec by Laurel</w:t>
        <w:br/>
      </w:r>
    </w:p>
    <w:p>
      <w:r>
        <w:br w:type="page"/>
      </w:r>
    </w:p>
    <w:p>
      <w:pPr>
        <w:pStyle w:val="Heading1"/>
      </w:pPr>
      <w:r>
        <w:rPr>
          <w:rFonts w:ascii="Segoe UI" w:hAnsi="Segoe UI"/>
          <w:color w:val="1F3964"/>
        </w:rPr>
        <w:t>Table of Contents</w:t>
      </w:r>
    </w:p>
    <w:p>
      <w:pPr>
        <w:spacing w:after="120"/>
      </w:pPr>
      <w:r>
        <w:rPr>
          <w:rFonts w:ascii="Segoe UI" w:hAnsi="Segoe UI"/>
          <w:sz w:val="20"/>
        </w:rPr>
        <w:t>Update this table of contents in Microsoft Word by pressing Ctrl+A then F9, or right-clicking the field and selecting 'Update Field'.</w:t>
      </w:r>
    </w:p>
    <w:p/>
    <w:p>
      <w:r>
        <w:fldChar w:fldCharType="begin"/>
      </w:r>
      <w:r>
        <w:instrText xml:space="preserve"> TOC \o "1-3" \h \z \u </w:instrText>
      </w:r>
      <w:r>
        <w:fldChar w:fldCharType="separate"/>
      </w:r>
      <w:r>
        <w:fldChar w:fldCharType="end"/>
      </w:r>
    </w:p>
    <w:p>
      <w:r>
        <w:br w:type="page"/>
      </w:r>
    </w:p>
    <w:p>
      <w:pPr>
        <w:pStyle w:val="Heading1"/>
      </w:pPr>
      <w:r>
        <w:rPr>
          <w:rFonts w:ascii="Segoe UI" w:hAnsi="Segoe UI"/>
          <w:color w:val="1F3964"/>
        </w:rPr>
        <w:t>Preface</w:t>
      </w:r>
    </w:p>
    <w:p>
      <w:pPr>
        <w:spacing w:after="120"/>
      </w:pPr>
      <w:r>
        <w:rPr>
          <w:rFonts w:ascii="Segoe UI" w:hAnsi="Segoe UI"/>
          <w:sz w:val="20"/>
        </w:rPr>
        <w:t xml:space="preserve">This textbook presents Enterprise Identity and Access Management (IAM) architecture from the practitioner's perspective — for engineers who need to design, build, defend, and explain IAM systems at the architect level. Every concept is introduced with a real-world analogy before the formal definition, grounding abstract security concepts in tangible experience. </w:t>
      </w:r>
      <w:r>
        <w:rPr>
          <w:rFonts w:ascii="Segoe UI" w:hAnsi="Segoe UI"/>
          <w:b/>
          <w:color w:val="2E74B5"/>
          <w:sz w:val="16"/>
        </w:rPr>
        <w:t>[1][17]</w:t>
      </w:r>
    </w:p>
    <w:p>
      <w:pPr>
        <w:spacing w:after="120"/>
      </w:pPr>
      <w:r>
        <w:rPr>
          <w:rFonts w:ascii="Segoe UI" w:hAnsi="Segoe UI"/>
          <w:sz w:val="20"/>
        </w:rPr>
        <w:t>The textbook is structured in three parts:</w:t>
      </w:r>
    </w:p>
    <w:p>
      <w:pPr>
        <w:pStyle w:val="ListBullet"/>
      </w:pPr>
      <w:r>
        <w:rPr>
          <w:rFonts w:ascii="Segoe UI" w:hAnsi="Segoe UI"/>
          <w:sz w:val="20"/>
        </w:rPr>
        <w:t>Foundations (Chapters 1–4): Identity concepts, directory services, PKI, and federation protocols — the building blocks every IAM architect must own.</w:t>
      </w:r>
    </w:p>
    <w:p>
      <w:pPr>
        <w:pStyle w:val="ListBullet"/>
      </w:pPr>
      <w:r>
        <w:rPr>
          <w:rFonts w:ascii="Segoe UI" w:hAnsi="Segoe UI"/>
          <w:sz w:val="20"/>
        </w:rPr>
        <w:t>Advanced Controls (Chapters 5–8): PAM, Zero Trust, IGA, and Entra ID — the operational and architectural layers that mature programmes deploy.</w:t>
      </w:r>
    </w:p>
    <w:p>
      <w:pPr>
        <w:pStyle w:val="ListBullet"/>
      </w:pPr>
      <w:r>
        <w:rPr>
          <w:rFonts w:ascii="Segoe UI" w:hAnsi="Segoe UI"/>
          <w:sz w:val="20"/>
        </w:rPr>
        <w:t>Applied Architecture (Chapters 9–12): Auth0 CIAM, Defender XDR implementation, the Vertex Health Systems capstone, and AI identity security — synthesis and application.</w:t>
      </w:r>
    </w:p>
    <w:p/>
    <w:p>
      <w:pPr>
        <w:spacing w:after="120"/>
      </w:pPr>
      <w:r>
        <w:rPr>
          <w:rFonts w:ascii="Segoe UI" w:hAnsi="Segoe UI"/>
          <w:sz w:val="20"/>
        </w:rPr>
        <w:t>Each chapter follows a consistent structure: Analogy → Formal Definition → Architect-Grade Detail → Worked Examples → Self-Check Questions → Interview Cheat Sheet. The 12 chapters collectively contain 48 hands-on labs designed for Microsoft 365 Developer Tenant (free) or Auth0 free tier environments.</w:t>
      </w:r>
    </w:p>
    <w:p/>
    <w:p>
      <w:pPr>
        <w:spacing w:after="120"/>
      </w:pPr>
      <w:r>
        <w:rPr>
          <w:rFonts w:ascii="Segoe UI" w:hAnsi="Segoe UI"/>
          <w:sz w:val="20"/>
        </w:rPr>
        <w:t>Inline citations [N] reference the authoritative sources listed in the References section at the end of this document. All technical claims are grounded in NIST, IETF, OASIS, or vendor-authoritative documentation.</w:t>
      </w:r>
    </w:p>
    <w:p>
      <w:r>
        <w:br w:type="page"/>
      </w:r>
    </w:p>
    <w:p>
      <w:pPr>
        <w:pStyle w:val="Heading1"/>
      </w:pPr>
      <w:r>
        <w:rPr>
          <w:rFonts w:ascii="Segoe UI" w:hAnsi="Segoe UI"/>
          <w:color w:val="1F3964"/>
        </w:rPr>
        <w:t>Chapter 1: Identity Foundations</w:t>
      </w:r>
    </w:p>
    <w:p>
      <w:pPr>
        <w:spacing w:after="120"/>
      </w:pPr>
      <w:r>
        <w:rPr>
          <w:rFonts w:ascii="Segoe UI" w:hAnsi="Segoe UI"/>
          <w:sz w:val="20"/>
        </w:rPr>
        <w:t xml:space="preserve">Identity and Access Management (IAM) is the discipline of ensuring that the right principals have the right access to the right resources at the right time. It sits at the intersection of security, compliance, and user experience — a discipline that failures in can either lock out legitimate users or allow attackers unfettered access to crown-jewel systems. </w:t>
      </w:r>
      <w:r>
        <w:rPr>
          <w:rFonts w:ascii="Segoe UI" w:hAnsi="Segoe UI"/>
          <w:b/>
          <w:color w:val="2E74B5"/>
          <w:sz w:val="16"/>
        </w:rPr>
        <w:t>[1][17]</w:t>
      </w:r>
    </w:p>
    <w:p>
      <w:pPr>
        <w:pStyle w:val="Heading2"/>
      </w:pPr>
      <w:r>
        <w:rPr>
          <w:rFonts w:ascii="Segoe UI" w:hAnsi="Segoe UI"/>
          <w:color w:val="2E74B5"/>
        </w:rPr>
        <w:t>1.1  What Is an Identity?</w:t>
      </w:r>
    </w:p>
    <w:tbl>
      <w:tblPr>
        <w:tblStyle w:val="TableGrid"/>
        <w:tblW w:type="auto" w:w="0"/>
        <w:tblLook w:firstColumn="1" w:firstRow="1" w:lastColumn="0" w:lastRow="0" w:noHBand="0" w:noVBand="1" w:val="04A0"/>
      </w:tblPr>
      <w:tblGrid>
        <w:gridCol w:w="9122"/>
      </w:tblGrid>
      <w:tr>
        <w:tc>
          <w:tcPr>
            <w:tcW w:type="dxa" w:w="9122"/>
            <w:shd w:val="clear" w:color="auto" w:fill="FFF2CC"/>
          </w:tcPr>
          <w:p>
            <w:r>
              <w:rPr>
                <w:rFonts w:ascii="Segoe UI" w:hAnsi="Segoe UI"/>
                <w:b/>
                <w:color w:val="7F6000"/>
                <w:sz w:val="20"/>
              </w:rPr>
              <w:t xml:space="preserve">💡  ANALOGY — </w:t>
            </w:r>
            <w:r>
              <w:rPr>
                <w:rFonts w:ascii="Segoe UI" w:hAnsi="Segoe UI"/>
                <w:b/>
                <w:color w:val="7F6000"/>
                <w:sz w:val="20"/>
              </w:rPr>
              <w:t>THE HOTEL KEY CARD</w:t>
            </w:r>
          </w:p>
          <w:p>
            <w:r>
              <w:rPr>
                <w:rFonts w:ascii="Segoe UI" w:hAnsi="Segoe UI"/>
                <w:i/>
                <w:sz w:val="20"/>
              </w:rPr>
              <w:t>Think of an identity as a hotel key card. The card itself is just plastic — it has no meaning without the hotel's system behind it. The system knows: which room you booked, how long your stay is, and whether you've checked in yet. Identity is the claim; the identity system is what gives that claim meaning and enforces what it can unlock.</w:t>
            </w:r>
          </w:p>
        </w:tc>
      </w:tr>
    </w:tbl>
    <w:p/>
    <w:p>
      <w:pPr>
        <w:spacing w:after="120"/>
      </w:pPr>
      <w:r>
        <w:rPr>
          <w:rFonts w:ascii="Segoe UI" w:hAnsi="Segoe UI"/>
          <w:sz w:val="20"/>
        </w:rPr>
        <w:t xml:space="preserve">In digital systems, an identity is an authoritative representation of a principal — a user, device, application, or service. Every identity consists of a set of attributes (name, department, role, security clearance) and is anchored to an authoritative source such as an HR system or a directory service. </w:t>
      </w:r>
      <w:r>
        <w:rPr>
          <w:rFonts w:ascii="Segoe UI" w:hAnsi="Segoe UI"/>
          <w:b/>
          <w:color w:val="2E74B5"/>
          <w:sz w:val="16"/>
        </w:rPr>
        <w:t>[1]</w:t>
      </w:r>
    </w:p>
    <w:p>
      <w:pPr>
        <w:spacing w:after="80"/>
      </w:pPr>
      <w:r>
        <w:rPr>
          <w:rFonts w:ascii="Segoe UI" w:hAnsi="Segoe UI"/>
          <w:b/>
          <w:color w:val="2E74B5"/>
          <w:sz w:val="20"/>
        </w:rPr>
        <w:t xml:space="preserve">Principal: </w:t>
      </w:r>
      <w:r>
        <w:rPr>
          <w:rFonts w:ascii="Segoe UI" w:hAnsi="Segoe UI"/>
          <w:sz w:val="20"/>
        </w:rPr>
        <w:t>Any entity (human, machine, or service) that can authenticate and be granted access.</w:t>
      </w:r>
      <w:r>
        <w:rPr>
          <w:rFonts w:ascii="Segoe UI" w:hAnsi="Segoe UI"/>
          <w:b/>
          <w:color w:val="2E74B5"/>
          <w:sz w:val="16"/>
        </w:rPr>
        <w:t xml:space="preserve"> [1]</w:t>
      </w:r>
    </w:p>
    <w:p>
      <w:pPr>
        <w:spacing w:after="80"/>
      </w:pPr>
      <w:r>
        <w:rPr>
          <w:rFonts w:ascii="Segoe UI" w:hAnsi="Segoe UI"/>
          <w:b/>
          <w:color w:val="2E74B5"/>
          <w:sz w:val="20"/>
        </w:rPr>
        <w:t xml:space="preserve">Identity Provider (IdP): </w:t>
      </w:r>
      <w:r>
        <w:rPr>
          <w:rFonts w:ascii="Segoe UI" w:hAnsi="Segoe UI"/>
          <w:sz w:val="20"/>
        </w:rPr>
        <w:t>A system that creates, maintains, and manages identity information while providing authentication services to relying applications.</w:t>
      </w:r>
      <w:r>
        <w:rPr>
          <w:rFonts w:ascii="Segoe UI" w:hAnsi="Segoe UI"/>
          <w:b/>
          <w:color w:val="2E74B5"/>
          <w:sz w:val="16"/>
        </w:rPr>
        <w:t xml:space="preserve"> [1]</w:t>
      </w:r>
    </w:p>
    <w:p>
      <w:pPr>
        <w:spacing w:after="80"/>
      </w:pPr>
      <w:r>
        <w:rPr>
          <w:rFonts w:ascii="Segoe UI" w:hAnsi="Segoe UI"/>
          <w:b/>
          <w:color w:val="2E74B5"/>
          <w:sz w:val="20"/>
        </w:rPr>
        <w:t xml:space="preserve">Service Provider (SP) / Relying Party (RP): </w:t>
      </w:r>
      <w:r>
        <w:rPr>
          <w:rFonts w:ascii="Segoe UI" w:hAnsi="Segoe UI"/>
          <w:sz w:val="20"/>
        </w:rPr>
        <w:t>An application or service that trusts the IdP to assert who the user is, without performing authentication itself.</w:t>
      </w:r>
      <w:r>
        <w:rPr>
          <w:rFonts w:ascii="Segoe UI" w:hAnsi="Segoe UI"/>
          <w:b/>
          <w:color w:val="2E74B5"/>
          <w:sz w:val="16"/>
        </w:rPr>
        <w:t xml:space="preserve"> [5]</w:t>
      </w:r>
    </w:p>
    <w:p>
      <w:pPr>
        <w:pStyle w:val="Heading2"/>
      </w:pPr>
      <w:r>
        <w:rPr>
          <w:rFonts w:ascii="Segoe UI" w:hAnsi="Segoe UI"/>
          <w:color w:val="2E74B5"/>
        </w:rPr>
        <w:t>1.2  The Identity Lifecycle</w:t>
      </w:r>
    </w:p>
    <w:tbl>
      <w:tblPr>
        <w:tblStyle w:val="TableGrid"/>
        <w:tblW w:type="auto" w:w="0"/>
        <w:tblLook w:firstColumn="1" w:firstRow="1" w:lastColumn="0" w:lastRow="0" w:noHBand="0" w:noVBand="1" w:val="04A0"/>
      </w:tblPr>
      <w:tblGrid>
        <w:gridCol w:w="9122"/>
      </w:tblGrid>
      <w:tr>
        <w:tc>
          <w:tcPr>
            <w:tcW w:type="dxa" w:w="9122"/>
            <w:shd w:val="clear" w:color="auto" w:fill="FFF2CC"/>
          </w:tcPr>
          <w:p>
            <w:r>
              <w:rPr>
                <w:rFonts w:ascii="Segoe UI" w:hAnsi="Segoe UI"/>
                <w:b/>
                <w:color w:val="7F6000"/>
                <w:sz w:val="20"/>
              </w:rPr>
              <w:t xml:space="preserve">💡  ANALOGY — </w:t>
            </w:r>
            <w:r>
              <w:rPr>
                <w:rFonts w:ascii="Segoe UI" w:hAnsi="Segoe UI"/>
                <w:b/>
                <w:color w:val="7F6000"/>
                <w:sz w:val="20"/>
              </w:rPr>
              <w:t>THE EMPLOYEE BADGE</w:t>
            </w:r>
          </w:p>
          <w:p>
            <w:r>
              <w:rPr>
                <w:rFonts w:ascii="Segoe UI" w:hAnsi="Segoe UI"/>
                <w:i/>
                <w:sz w:val="20"/>
              </w:rPr>
              <w:t>An identity lifecycle is like an employee badge: created on day one (Joiner), updated when the employee changes departments (Mover), and deactivated the moment they leave (Leaver). A badge still active after someone leaves is exactly the same risk as a user account left enabled after termination.</w:t>
            </w:r>
          </w:p>
        </w:tc>
      </w:tr>
    </w:tbl>
    <w:p/>
    <w:p>
      <w:pPr>
        <w:spacing w:after="120"/>
      </w:pPr>
      <w:r>
        <w:rPr>
          <w:rFonts w:ascii="Segoe UI" w:hAnsi="Segoe UI"/>
          <w:sz w:val="20"/>
        </w:rPr>
        <w:t xml:space="preserve">The Joiner-Mover-Leaver (JML) lifecycle defines the three critical events that drive identity changes. Joiner: new employee or contractor is onboarded — accounts provisioned within hours of HR trigger. Mover: role change, department transfer, or privilege change — entitlements adjusted to reflect new position. Leaver: termination or contract end — all access revoked within SLA (typically 4 hours for full-time employees, 1 hour for privileged accounts). </w:t>
      </w:r>
      <w:r>
        <w:rPr>
          <w:rFonts w:ascii="Segoe UI" w:hAnsi="Segoe UI"/>
          <w:b/>
          <w:color w:val="2E74B5"/>
          <w:sz w:val="16"/>
        </w:rPr>
        <w:t>[17][18]</w:t>
      </w:r>
    </w:p>
    <w:p>
      <w:pPr>
        <w:pStyle w:val="ListBullet"/>
      </w:pPr>
      <w:r>
        <w:rPr>
          <w:rFonts w:ascii="Segoe UI" w:hAnsi="Segoe UI"/>
          <w:sz w:val="20"/>
        </w:rPr>
        <w:t>Joiner: Account creation, group membership, system access provisioned via IGA workflow</w:t>
      </w:r>
    </w:p>
    <w:p>
      <w:pPr>
        <w:pStyle w:val="ListBullet"/>
      </w:pPr>
      <w:r>
        <w:rPr>
          <w:rFonts w:ascii="Segoe UI" w:hAnsi="Segoe UI"/>
          <w:sz w:val="20"/>
        </w:rPr>
        <w:t>Mover: Role-based entitlement change; old access removed before new access granted (no accumulation)</w:t>
      </w:r>
    </w:p>
    <w:p>
      <w:pPr>
        <w:pStyle w:val="ListBullet"/>
      </w:pPr>
      <w:r>
        <w:rPr>
          <w:rFonts w:ascii="Segoe UI" w:hAnsi="Segoe UI"/>
          <w:sz w:val="20"/>
        </w:rPr>
        <w:t>Leaver: Disable account, remove group memberships, revoke tokens, archive data, notify manager</w:t>
      </w:r>
    </w:p>
    <w:p>
      <w:pPr>
        <w:pStyle w:val="Heading2"/>
      </w:pPr>
      <w:r>
        <w:rPr>
          <w:rFonts w:ascii="Segoe UI" w:hAnsi="Segoe UI"/>
          <w:color w:val="2E74B5"/>
        </w:rPr>
        <w:t>1.3  Authentication vs. Authorisation</w:t>
      </w:r>
    </w:p>
    <w:tbl>
      <w:tblPr>
        <w:tblStyle w:val="TableGrid"/>
        <w:tblW w:type="auto" w:w="0"/>
        <w:tblLook w:firstColumn="1" w:firstRow="1" w:lastColumn="0" w:lastRow="0" w:noHBand="0" w:noVBand="1" w:val="04A0"/>
      </w:tblPr>
      <w:tblGrid>
        <w:gridCol w:w="9122"/>
      </w:tblGrid>
      <w:tr>
        <w:tc>
          <w:tcPr>
            <w:tcW w:type="dxa" w:w="9122"/>
            <w:shd w:val="clear" w:color="auto" w:fill="FFF2CC"/>
          </w:tcPr>
          <w:p>
            <w:r>
              <w:rPr>
                <w:rFonts w:ascii="Segoe UI" w:hAnsi="Segoe UI"/>
                <w:b/>
                <w:color w:val="7F6000"/>
                <w:sz w:val="20"/>
              </w:rPr>
              <w:t xml:space="preserve">💡  ANALOGY — </w:t>
            </w:r>
            <w:r>
              <w:rPr>
                <w:rFonts w:ascii="Segoe UI" w:hAnsi="Segoe UI"/>
                <w:b/>
                <w:color w:val="7F6000"/>
                <w:sz w:val="20"/>
              </w:rPr>
              <w:t>THE AIRPORT SECURITY LANE</w:t>
            </w:r>
          </w:p>
          <w:p>
            <w:r>
              <w:rPr>
                <w:rFonts w:ascii="Segoe UI" w:hAnsi="Segoe UI"/>
                <w:i/>
                <w:sz w:val="20"/>
              </w:rPr>
              <w:t>Authentication is the passport control desk — it asks 'Who are you?' and verifies your identity document. Authorisation is the boarding gate — it asks 'Are you allowed on this flight?' You can pass passport control (authenticate) and still be denied boarding (not authorised) because you're on the wrong flight.</w:t>
            </w:r>
          </w:p>
        </w:tc>
      </w:tr>
    </w:tbl>
    <w:p/>
    <w:p>
      <w:pPr>
        <w:spacing w:after="80"/>
      </w:pPr>
      <w:r>
        <w:rPr>
          <w:rFonts w:ascii="Segoe UI" w:hAnsi="Segoe UI"/>
          <w:b/>
          <w:color w:val="2E74B5"/>
          <w:sz w:val="20"/>
        </w:rPr>
        <w:t xml:space="preserve">Authentication (AuthN): </w:t>
      </w:r>
      <w:r>
        <w:rPr>
          <w:rFonts w:ascii="Segoe UI" w:hAnsi="Segoe UI"/>
          <w:sz w:val="20"/>
        </w:rPr>
        <w:t>The process of verifying that a claimed identity is genuine. Factors: something you know (password), something you have (hardware token), something you are (biometric).</w:t>
      </w:r>
      <w:r>
        <w:rPr>
          <w:rFonts w:ascii="Segoe UI" w:hAnsi="Segoe UI"/>
          <w:b/>
          <w:color w:val="2E74B5"/>
          <w:sz w:val="16"/>
        </w:rPr>
        <w:t xml:space="preserve"> [1]</w:t>
      </w:r>
    </w:p>
    <w:p>
      <w:pPr>
        <w:spacing w:after="80"/>
      </w:pPr>
      <w:r>
        <w:rPr>
          <w:rFonts w:ascii="Segoe UI" w:hAnsi="Segoe UI"/>
          <w:b/>
          <w:color w:val="2E74B5"/>
          <w:sz w:val="20"/>
        </w:rPr>
        <w:t xml:space="preserve">Authorisation (AuthZ): </w:t>
      </w:r>
      <w:r>
        <w:rPr>
          <w:rFonts w:ascii="Segoe UI" w:hAnsi="Segoe UI"/>
          <w:sz w:val="20"/>
        </w:rPr>
        <w:t>The process of determining what an authenticated principal is permitted to do. Separate from authentication — a user may authenticate successfully but have no authorisation to a specific resource.</w:t>
      </w:r>
      <w:r>
        <w:rPr>
          <w:rFonts w:ascii="Segoe UI" w:hAnsi="Segoe UI"/>
          <w:b/>
          <w:color w:val="2E74B5"/>
          <w:sz w:val="16"/>
        </w:rPr>
        <w:t xml:space="preserve"> [1]</w:t>
      </w:r>
    </w:p>
    <w:p>
      <w:pPr>
        <w:spacing w:after="80"/>
      </w:pPr>
      <w:r>
        <w:rPr>
          <w:rFonts w:ascii="Segoe UI" w:hAnsi="Segoe UI"/>
          <w:b/>
          <w:color w:val="2E74B5"/>
          <w:sz w:val="20"/>
        </w:rPr>
        <w:t xml:space="preserve">Multi-Factor Authentication (MFA): </w:t>
      </w:r>
      <w:r>
        <w:rPr>
          <w:rFonts w:ascii="Segoe UI" w:hAnsi="Segoe UI"/>
          <w:sz w:val="20"/>
        </w:rPr>
        <w:t>Authentication using two or more independent factors from different categories. Phishing-resistant MFA (FIDO2/passkeys, PIV/smart card) is the gold standard.</w:t>
      </w:r>
      <w:r>
        <w:rPr>
          <w:rFonts w:ascii="Segoe UI" w:hAnsi="Segoe UI"/>
          <w:b/>
          <w:color w:val="2E74B5"/>
          <w:sz w:val="16"/>
        </w:rPr>
        <w:t xml:space="preserve"> [1]</w:t>
      </w:r>
    </w:p>
    <w:p>
      <w:pPr>
        <w:pStyle w:val="Heading2"/>
      </w:pPr>
      <w:r>
        <w:rPr>
          <w:rFonts w:ascii="Segoe UI" w:hAnsi="Segoe UI"/>
          <w:color w:val="2E74B5"/>
        </w:rPr>
        <w:t>1.4  Access Control Models</w:t>
      </w:r>
    </w:p>
    <w:p>
      <w:pPr>
        <w:spacing w:after="120"/>
      </w:pPr>
      <w:r>
        <w:rPr>
          <w:rFonts w:ascii="Segoe UI" w:hAnsi="Segoe UI"/>
          <w:sz w:val="20"/>
        </w:rPr>
        <w:t xml:space="preserve">Four primary access control models exist, each with different trade-offs between flexibility and administrative overhead. </w:t>
      </w:r>
      <w:r>
        <w:rPr>
          <w:rFonts w:ascii="Segoe UI" w:hAnsi="Segoe UI"/>
          <w:b/>
          <w:color w:val="2E74B5"/>
          <w:sz w:val="16"/>
        </w:rPr>
        <w:t>[17]</w:t>
      </w:r>
    </w:p>
    <w:p>
      <w:pPr>
        <w:pStyle w:val="ListBullet"/>
      </w:pPr>
      <w:r>
        <w:rPr>
          <w:rFonts w:ascii="Segoe UI" w:hAnsi="Segoe UI"/>
          <w:sz w:val="20"/>
        </w:rPr>
        <w:t>DAC (Discretionary Access Control): Resource owner decides who gets access. Simple but unscalable — file shares with individual ACLs are DAC.</w:t>
      </w:r>
    </w:p>
    <w:p>
      <w:pPr>
        <w:pStyle w:val="ListBullet"/>
      </w:pPr>
      <w:r>
        <w:rPr>
          <w:rFonts w:ascii="Segoe UI" w:hAnsi="Segoe UI"/>
          <w:sz w:val="20"/>
        </w:rPr>
        <w:t>MAC (Mandatory Access Control): Labels govern access — a Top Secret user cannot share with a Confidential user. Used in government/military (SELinux, MLS).</w:t>
      </w:r>
    </w:p>
    <w:p>
      <w:pPr>
        <w:pStyle w:val="ListBullet"/>
      </w:pPr>
      <w:r>
        <w:rPr>
          <w:rFonts w:ascii="Segoe UI" w:hAnsi="Segoe UI"/>
          <w:sz w:val="20"/>
        </w:rPr>
        <w:t>RBAC (Role-Based Access Control): Access granted based on job role (e.g., 'Nurse' role = EHR read access). Most common enterprise model. Risk: role explosion and birthright access accumulation.</w:t>
      </w:r>
    </w:p>
    <w:p>
      <w:pPr>
        <w:pStyle w:val="ListBullet"/>
      </w:pPr>
      <w:r>
        <w:rPr>
          <w:rFonts w:ascii="Segoe UI" w:hAnsi="Segoe UI"/>
          <w:sz w:val="20"/>
        </w:rPr>
        <w:t>ABAC (Attribute-Based Access Control): Access granted based on policy evaluating multiple attributes — user.department == resource.owner_department AND time.hour BETWEEN 8 AND 18. Most flexible; used in Zero Trust environments.</w:t>
      </w:r>
    </w:p>
    <w:tbl>
      <w:tblPr>
        <w:tblStyle w:val="TableGrid"/>
        <w:tblW w:type="auto" w:w="0"/>
        <w:tblLook w:firstColumn="1" w:firstRow="1" w:lastColumn="0" w:lastRow="0" w:noHBand="0" w:noVBand="1" w:val="04A0"/>
      </w:tblPr>
      <w:tblGrid>
        <w:gridCol w:w="9122"/>
      </w:tblGrid>
      <w:tr>
        <w:tc>
          <w:tcPr>
            <w:tcW w:type="dxa" w:w="9122"/>
            <w:shd w:val="clear" w:color="auto" w:fill="DEEAF1"/>
          </w:tcPr>
          <w:p>
            <w:r>
              <w:rPr>
                <w:rFonts w:ascii="Segoe UI" w:hAnsi="Segoe UI"/>
                <w:b/>
                <w:color w:val="1F3964"/>
                <w:sz w:val="20"/>
              </w:rPr>
              <w:t>ℹ  ARCHITECT INSIGHT</w:t>
            </w:r>
          </w:p>
          <w:p>
            <w:r>
              <w:rPr>
                <w:rFonts w:ascii="Segoe UI" w:hAnsi="Segoe UI"/>
                <w:sz w:val="20"/>
              </w:rPr>
              <w:t>RBAC is where most organisations start. ABAC is where mature Zero Trust organisations end up. The migration path is: start with RBAC to bring order, then layer ABAC policies on top for context-aware control without rebuilding the RBAC foundation.</w:t>
            </w:r>
          </w:p>
        </w:tc>
      </w:tr>
    </w:tbl>
    <w:p/>
    <w:p>
      <w:pPr>
        <w:pStyle w:val="Heading3"/>
      </w:pPr>
      <w:r>
        <w:rPr>
          <w:rFonts w:ascii="Segoe UI" w:hAnsi="Segoe UI"/>
          <w:color w:val="2E74B5"/>
        </w:rPr>
        <w:t>Self-Check Questions</w:t>
      </w:r>
    </w:p>
    <w:p>
      <w:r>
        <w:rPr>
          <w:rFonts w:ascii="Segoe UI" w:hAnsi="Segoe UI"/>
          <w:b/>
          <w:sz w:val="20"/>
        </w:rPr>
        <w:t xml:space="preserve">1. </w:t>
      </w:r>
      <w:r>
        <w:rPr>
          <w:rFonts w:ascii="Segoe UI" w:hAnsi="Segoe UI"/>
          <w:sz w:val="20"/>
        </w:rPr>
        <w:t>Explain the difference between authentication and authorisation using a real-world analogy of your own.</w:t>
      </w:r>
    </w:p>
    <w:p>
      <w:r>
        <w:rPr>
          <w:rFonts w:ascii="Segoe UI" w:hAnsi="Segoe UI"/>
          <w:b/>
          <w:sz w:val="20"/>
        </w:rPr>
        <w:t xml:space="preserve">2. </w:t>
      </w:r>
      <w:r>
        <w:rPr>
          <w:rFonts w:ascii="Segoe UI" w:hAnsi="Segoe UI"/>
          <w:sz w:val="20"/>
        </w:rPr>
        <w:t>A user changes departments from Finance to Engineering. List every JML action that should be triggered and in what order.</w:t>
      </w:r>
    </w:p>
    <w:p>
      <w:r>
        <w:rPr>
          <w:rFonts w:ascii="Segoe UI" w:hAnsi="Segoe UI"/>
          <w:b/>
          <w:sz w:val="20"/>
        </w:rPr>
        <w:t xml:space="preserve">3. </w:t>
      </w:r>
      <w:r>
        <w:rPr>
          <w:rFonts w:ascii="Segoe UI" w:hAnsi="Segoe UI"/>
          <w:sz w:val="20"/>
        </w:rPr>
        <w:t>Which access control model would you recommend for a clinical EHR system? Justify your choice with at least two specific requirements.</w:t>
      </w:r>
    </w:p>
    <w:p>
      <w:r>
        <w:rPr>
          <w:rFonts w:ascii="Segoe UI" w:hAnsi="Segoe UI"/>
          <w:b/>
          <w:sz w:val="20"/>
        </w:rPr>
        <w:t xml:space="preserve">4. </w:t>
      </w:r>
      <w:r>
        <w:rPr>
          <w:rFonts w:ascii="Segoe UI" w:hAnsi="Segoe UI"/>
          <w:sz w:val="20"/>
        </w:rPr>
        <w:t>What is the difference between a principal and an identity? Give three examples of non-human principals.</w:t>
      </w:r>
    </w:p>
    <w:p>
      <w:r>
        <w:rPr>
          <w:rFonts w:ascii="Segoe UI" w:hAnsi="Segoe UI"/>
          <w:b/>
          <w:sz w:val="20"/>
        </w:rPr>
        <w:t xml:space="preserve">5. </w:t>
      </w:r>
      <w:r>
        <w:rPr>
          <w:rFonts w:ascii="Segoe UI" w:hAnsi="Segoe UI"/>
          <w:sz w:val="20"/>
        </w:rPr>
        <w:t>Why is phishing-resistant MFA categorically different from SMS-based MFA?</w:t>
      </w:r>
    </w:p>
    <w:tbl>
      <w:tblPr>
        <w:tblStyle w:val="TableGrid"/>
        <w:tblW w:type="auto" w:w="0"/>
        <w:tblLook w:firstColumn="1" w:firstRow="1" w:lastColumn="0" w:lastRow="0" w:noHBand="0" w:noVBand="1" w:val="04A0"/>
      </w:tblPr>
      <w:tblGrid>
        <w:gridCol w:w="9122"/>
      </w:tblGrid>
      <w:tr>
        <w:tc>
          <w:tcPr>
            <w:tcW w:type="dxa" w:w="9122"/>
            <w:shd w:val="clear" w:color="auto" w:fill="E2EFDA"/>
          </w:tcPr>
          <w:p>
            <w:r>
              <w:rPr>
                <w:rFonts w:ascii="Segoe UI" w:hAnsi="Segoe UI"/>
                <w:b/>
                <w:color w:val="375E23"/>
                <w:sz w:val="20"/>
              </w:rPr>
              <w:t>🎯  INTERVIEW CHEAT SHEET</w:t>
            </w:r>
          </w:p>
          <w:p>
            <w:r>
              <w:rPr>
                <w:rFonts w:ascii="Segoe UI" w:hAnsi="Segoe UI"/>
                <w:sz w:val="20"/>
              </w:rPr>
              <w:t>• What is the difference between RBAC and ABAC, and when would you choose one over the other?</w:t>
            </w:r>
          </w:p>
          <w:p>
            <w:r>
              <w:rPr>
                <w:rFonts w:ascii="Segoe UI" w:hAnsi="Segoe UI"/>
                <w:sz w:val="20"/>
              </w:rPr>
              <w:t>• Walk me through the Leaver process: what must happen in the first 4 hours after a termination?</w:t>
            </w:r>
          </w:p>
          <w:p>
            <w:r>
              <w:rPr>
                <w:rFonts w:ascii="Segoe UI" w:hAnsi="Segoe UI"/>
                <w:sz w:val="20"/>
              </w:rPr>
              <w:t>• Why is MFA coverage a lagging indicator rather than a leading indicator of identity security maturity?</w:t>
            </w:r>
          </w:p>
          <w:p>
            <w:r>
              <w:rPr>
                <w:rFonts w:ascii="Segoe UI" w:hAnsi="Segoe UI"/>
                <w:sz w:val="20"/>
              </w:rPr>
              <w:t>• How does a Zero Trust model change the role of network perimeter in an access control architecture?</w:t>
            </w:r>
          </w:p>
        </w:tc>
      </w:tr>
    </w:tbl>
    <w:p/>
    <w:p>
      <w:r>
        <w:br w:type="page"/>
      </w:r>
    </w:p>
    <w:p>
      <w:pPr>
        <w:pStyle w:val="Heading1"/>
      </w:pPr>
      <w:r>
        <w:rPr>
          <w:rFonts w:ascii="Segoe UI" w:hAnsi="Segoe UI"/>
          <w:color w:val="1F3964"/>
        </w:rPr>
        <w:t>Chapter 2: Directory Services</w:t>
      </w:r>
    </w:p>
    <w:p>
      <w:pPr>
        <w:spacing w:after="120"/>
      </w:pPr>
      <w:r>
        <w:rPr>
          <w:rFonts w:ascii="Segoe UI" w:hAnsi="Segoe UI"/>
          <w:sz w:val="20"/>
        </w:rPr>
        <w:t xml:space="preserve">Directory services are the authoritative source of identity truth in enterprise environments. Active Directory Domain Services (AD DS) remains the dominant on-premises directory technology, serving as the backbone for authentication, authorisation, and policy enforcement across hundreds of millions of endpoints worldwide. </w:t>
      </w:r>
      <w:r>
        <w:rPr>
          <w:rFonts w:ascii="Segoe UI" w:hAnsi="Segoe UI"/>
          <w:b/>
          <w:color w:val="2E74B5"/>
          <w:sz w:val="16"/>
        </w:rPr>
        <w:t>[15]</w:t>
      </w:r>
    </w:p>
    <w:p>
      <w:pPr>
        <w:pStyle w:val="Heading2"/>
      </w:pPr>
      <w:r>
        <w:rPr>
          <w:rFonts w:ascii="Segoe UI" w:hAnsi="Segoe UI"/>
          <w:color w:val="2E74B5"/>
        </w:rPr>
        <w:t>2.1  Active Directory Architecture</w:t>
      </w:r>
    </w:p>
    <w:tbl>
      <w:tblPr>
        <w:tblStyle w:val="TableGrid"/>
        <w:tblW w:type="auto" w:w="0"/>
        <w:tblLook w:firstColumn="1" w:firstRow="1" w:lastColumn="0" w:lastRow="0" w:noHBand="0" w:noVBand="1" w:val="04A0"/>
      </w:tblPr>
      <w:tblGrid>
        <w:gridCol w:w="9122"/>
      </w:tblGrid>
      <w:tr>
        <w:tc>
          <w:tcPr>
            <w:tcW w:type="dxa" w:w="9122"/>
            <w:shd w:val="clear" w:color="auto" w:fill="FFF2CC"/>
          </w:tcPr>
          <w:p>
            <w:r>
              <w:rPr>
                <w:rFonts w:ascii="Segoe UI" w:hAnsi="Segoe UI"/>
                <w:b/>
                <w:color w:val="7F6000"/>
                <w:sz w:val="20"/>
              </w:rPr>
              <w:t xml:space="preserve">💡  ANALOGY — </w:t>
            </w:r>
            <w:r>
              <w:rPr>
                <w:rFonts w:ascii="Segoe UI" w:hAnsi="Segoe UI"/>
                <w:b/>
                <w:color w:val="7F6000"/>
                <w:sz w:val="20"/>
              </w:rPr>
              <w:t>THE CORPORATE ORG CHART</w:t>
            </w:r>
          </w:p>
          <w:p>
            <w:r>
              <w:rPr>
                <w:rFonts w:ascii="Segoe UI" w:hAnsi="Segoe UI"/>
                <w:i/>
                <w:sz w:val="20"/>
              </w:rPr>
              <w:t>Active Directory is structured like a corporate org chart. A Forest is the company — it sets the ultimate trust boundary. Domains are divisions within the company. Organisational Units (OUs) are departments. Users and computers are individuals sitting in those departments. Group Policy Objects (GPOs) are the company policies posted on the walls — they apply to whoever sits in that office, whether they like it or not.</w:t>
            </w:r>
          </w:p>
        </w:tc>
      </w:tr>
    </w:tbl>
    <w:p/>
    <w:p>
      <w:pPr>
        <w:spacing w:after="120"/>
      </w:pPr>
      <w:r>
        <w:rPr>
          <w:rFonts w:ascii="Segoe UI" w:hAnsi="Segoe UI"/>
          <w:sz w:val="20"/>
        </w:rPr>
        <w:t xml:space="preserve">Active Directory uses a hierarchical namespace. A Forest is the top-level security boundary containing one or more Domains sharing a common schema and Global Catalog. Domains contain Organisational Units (OUs) which contain Users, Groups, Computers, and other OUs. Trust relationships between domains allow authentication to flow across the hierarchy. </w:t>
      </w:r>
      <w:r>
        <w:rPr>
          <w:rFonts w:ascii="Segoe UI" w:hAnsi="Segoe UI"/>
          <w:b/>
          <w:color w:val="2E74B5"/>
          <w:sz w:val="16"/>
        </w:rPr>
        <w:t>[15]</w:t>
      </w:r>
    </w:p>
    <w:p>
      <w:pPr>
        <w:spacing w:after="80"/>
      </w:pPr>
      <w:r>
        <w:rPr>
          <w:rFonts w:ascii="Segoe UI" w:hAnsi="Segoe UI"/>
          <w:b/>
          <w:color w:val="2E74B5"/>
          <w:sz w:val="20"/>
        </w:rPr>
        <w:t xml:space="preserve">Forest: </w:t>
      </w:r>
      <w:r>
        <w:rPr>
          <w:rFonts w:ascii="Segoe UI" w:hAnsi="Segoe UI"/>
          <w:sz w:val="20"/>
        </w:rPr>
        <w:t>The ultimate security boundary in Active Directory. Separate forests do not share schema, configuration, or trust by default.</w:t>
      </w:r>
      <w:r>
        <w:rPr>
          <w:rFonts w:ascii="Segoe UI" w:hAnsi="Segoe UI"/>
          <w:b/>
          <w:color w:val="2E74B5"/>
          <w:sz w:val="16"/>
        </w:rPr>
        <w:t xml:space="preserve"> [15]</w:t>
      </w:r>
    </w:p>
    <w:p>
      <w:pPr>
        <w:spacing w:after="80"/>
      </w:pPr>
      <w:r>
        <w:rPr>
          <w:rFonts w:ascii="Segoe UI" w:hAnsi="Segoe UI"/>
          <w:b/>
          <w:color w:val="2E74B5"/>
          <w:sz w:val="20"/>
        </w:rPr>
        <w:t xml:space="preserve">Domain: </w:t>
      </w:r>
      <w:r>
        <w:rPr>
          <w:rFonts w:ascii="Segoe UI" w:hAnsi="Segoe UI"/>
          <w:sz w:val="20"/>
        </w:rPr>
        <w:t>An administrative boundary within a forest. Domains share the forest schema but have independent domain-level policies and their own domain controllers.</w:t>
      </w:r>
      <w:r>
        <w:rPr>
          <w:rFonts w:ascii="Segoe UI" w:hAnsi="Segoe UI"/>
          <w:b/>
          <w:color w:val="2E74B5"/>
          <w:sz w:val="16"/>
        </w:rPr>
        <w:t xml:space="preserve"> [15]</w:t>
      </w:r>
    </w:p>
    <w:p>
      <w:pPr>
        <w:spacing w:after="80"/>
      </w:pPr>
      <w:r>
        <w:rPr>
          <w:rFonts w:ascii="Segoe UI" w:hAnsi="Segoe UI"/>
          <w:b/>
          <w:color w:val="2E74B5"/>
          <w:sz w:val="20"/>
        </w:rPr>
        <w:t xml:space="preserve">Global Catalog (GC): </w:t>
      </w:r>
      <w:r>
        <w:rPr>
          <w:rFonts w:ascii="Segoe UI" w:hAnsi="Segoe UI"/>
          <w:sz w:val="20"/>
        </w:rPr>
        <w:t>A domain controller that holds a partial read-only replica of all objects in the forest. Required for forest-wide user lookups and UPN-based logon.</w:t>
      </w:r>
      <w:r>
        <w:rPr>
          <w:rFonts w:ascii="Segoe UI" w:hAnsi="Segoe UI"/>
          <w:b/>
          <w:color w:val="2E74B5"/>
          <w:sz w:val="16"/>
        </w:rPr>
        <w:t xml:space="preserve"> [15]</w:t>
      </w:r>
    </w:p>
    <w:p>
      <w:pPr>
        <w:pStyle w:val="Heading2"/>
      </w:pPr>
      <w:r>
        <w:rPr>
          <w:rFonts w:ascii="Segoe UI" w:hAnsi="Segoe UI"/>
          <w:color w:val="2E74B5"/>
        </w:rPr>
        <w:t>2.2  FSMO Roles</w:t>
      </w:r>
    </w:p>
    <w:p>
      <w:pPr>
        <w:spacing w:after="120"/>
      </w:pPr>
      <w:r>
        <w:rPr>
          <w:rFonts w:ascii="Segoe UI" w:hAnsi="Segoe UI"/>
          <w:sz w:val="20"/>
        </w:rPr>
        <w:t xml:space="preserve">Flexible Single Master Operations (FSMO) roles are Active Directory functions that can only be performed by one DC at a time to prevent conflicting writes. There are five FSMO roles across two categories. </w:t>
      </w:r>
      <w:r>
        <w:rPr>
          <w:rFonts w:ascii="Segoe UI" w:hAnsi="Segoe UI"/>
          <w:b/>
          <w:color w:val="2E74B5"/>
          <w:sz w:val="16"/>
        </w:rPr>
        <w:t>[15]</w:t>
      </w:r>
    </w:p>
    <w:p>
      <w:pPr>
        <w:pStyle w:val="ListBullet"/>
      </w:pPr>
      <w:r>
        <w:rPr>
          <w:rFonts w:ascii="Segoe UI" w:hAnsi="Segoe UI"/>
          <w:sz w:val="20"/>
        </w:rPr>
        <w:t>Schema Master (forest-wide): Controls all schema modifications. Only one per forest.</w:t>
      </w:r>
    </w:p>
    <w:p>
      <w:pPr>
        <w:pStyle w:val="ListBullet"/>
      </w:pPr>
      <w:r>
        <w:rPr>
          <w:rFonts w:ascii="Segoe UI" w:hAnsi="Segoe UI"/>
          <w:sz w:val="20"/>
        </w:rPr>
        <w:t>Domain Naming Master (forest-wide): Controls addition/removal of domains. Only one per forest.</w:t>
      </w:r>
    </w:p>
    <w:p>
      <w:pPr>
        <w:pStyle w:val="ListBullet"/>
      </w:pPr>
      <w:r>
        <w:rPr>
          <w:rFonts w:ascii="Segoe UI" w:hAnsi="Segoe UI"/>
          <w:sz w:val="20"/>
        </w:rPr>
        <w:t>PDC Emulator (per domain): Handles password changes, time synchronisation, Group Policy updates, and account lockouts.</w:t>
      </w:r>
    </w:p>
    <w:p>
      <w:pPr>
        <w:pStyle w:val="ListBullet"/>
      </w:pPr>
      <w:r>
        <w:rPr>
          <w:rFonts w:ascii="Segoe UI" w:hAnsi="Segoe UI"/>
          <w:sz w:val="20"/>
        </w:rPr>
        <w:t>RID Master (per domain): Allocates pools of Relative Identifiers (RIDs) to domain controllers for creating security principals.</w:t>
      </w:r>
    </w:p>
    <w:p>
      <w:pPr>
        <w:pStyle w:val="ListBullet"/>
      </w:pPr>
      <w:r>
        <w:rPr>
          <w:rFonts w:ascii="Segoe UI" w:hAnsi="Segoe UI"/>
          <w:sz w:val="20"/>
        </w:rPr>
        <w:t>Infrastructure Master (per domain): Maintains references to objects in other domains.</w:t>
      </w:r>
    </w:p>
    <w:tbl>
      <w:tblPr>
        <w:tblStyle w:val="TableGrid"/>
        <w:tblW w:type="auto" w:w="0"/>
        <w:tblLook w:firstColumn="1" w:firstRow="1" w:lastColumn="0" w:lastRow="0" w:noHBand="0" w:noVBand="1" w:val="04A0"/>
      </w:tblPr>
      <w:tblGrid>
        <w:gridCol w:w="9122"/>
      </w:tblGrid>
      <w:tr>
        <w:tc>
          <w:tcPr>
            <w:tcW w:type="dxa" w:w="9122"/>
            <w:shd w:val="clear" w:color="auto" w:fill="DEEAF1"/>
          </w:tcPr>
          <w:p>
            <w:r>
              <w:rPr>
                <w:rFonts w:ascii="Segoe UI" w:hAnsi="Segoe UI"/>
                <w:b/>
                <w:color w:val="1F3964"/>
                <w:sz w:val="20"/>
              </w:rPr>
              <w:t>ℹ  ARCHITECTURE PITFALL</w:t>
            </w:r>
          </w:p>
          <w:p>
            <w:r>
              <w:rPr>
                <w:rFonts w:ascii="Segoe UI" w:hAnsi="Segoe UI"/>
                <w:sz w:val="20"/>
              </w:rPr>
              <w:t>Infrastructure Master must NOT be co-located with a Global Catalog server in a multi-domain forest. Because GC holds all objects, the Infrastructure Master never sees phantom objects that need updating — causing stale cross-domain references. In single-domain forests, this restriction does not apply.</w:t>
            </w:r>
          </w:p>
        </w:tc>
      </w:tr>
    </w:tbl>
    <w:p/>
    <w:p>
      <w:pPr>
        <w:pStyle w:val="Heading2"/>
      </w:pPr>
      <w:r>
        <w:rPr>
          <w:rFonts w:ascii="Segoe UI" w:hAnsi="Segoe UI"/>
          <w:color w:val="2E74B5"/>
        </w:rPr>
        <w:t>2.3  Kerberos Authentication Protocol</w:t>
      </w:r>
    </w:p>
    <w:tbl>
      <w:tblPr>
        <w:tblStyle w:val="TableGrid"/>
        <w:tblW w:type="auto" w:w="0"/>
        <w:tblLook w:firstColumn="1" w:firstRow="1" w:lastColumn="0" w:lastRow="0" w:noHBand="0" w:noVBand="1" w:val="04A0"/>
      </w:tblPr>
      <w:tblGrid>
        <w:gridCol w:w="9122"/>
      </w:tblGrid>
      <w:tr>
        <w:tc>
          <w:tcPr>
            <w:tcW w:type="dxa" w:w="9122"/>
            <w:shd w:val="clear" w:color="auto" w:fill="FFF2CC"/>
          </w:tcPr>
          <w:p>
            <w:r>
              <w:rPr>
                <w:rFonts w:ascii="Segoe UI" w:hAnsi="Segoe UI"/>
                <w:b/>
                <w:color w:val="7F6000"/>
                <w:sz w:val="20"/>
              </w:rPr>
              <w:t xml:space="preserve">💡  ANALOGY — </w:t>
            </w:r>
            <w:r>
              <w:rPr>
                <w:rFonts w:ascii="Segoe UI" w:hAnsi="Segoe UI"/>
                <w:b/>
                <w:color w:val="7F6000"/>
                <w:sz w:val="20"/>
              </w:rPr>
              <w:t>THE CONCERT WRISTBAND SYSTEM</w:t>
            </w:r>
          </w:p>
          <w:p>
            <w:r>
              <w:rPr>
                <w:rFonts w:ascii="Segoe UI" w:hAnsi="Segoe UI"/>
                <w:i/>
                <w:sz w:val="20"/>
              </w:rPr>
              <w:t>Kerberos works like a concert with multiple stages: (1) You show your ID at the main gate and get a wristband (TGT — Ticket Granting Ticket). (2) At each stage, you show your wristband and get a single-use stage pass (Service Ticket — ST). (3) Each stage only accepts its own passes — they never see your original ID. The wristband desk (KDC) is the trust anchor; the stages (services) never need to call back to verify you.</w:t>
            </w:r>
          </w:p>
        </w:tc>
      </w:tr>
    </w:tbl>
    <w:p/>
    <w:p>
      <w:pPr>
        <w:spacing w:after="120"/>
      </w:pPr>
      <w:r>
        <w:rPr>
          <w:rFonts w:ascii="Segoe UI" w:hAnsi="Segoe UI"/>
          <w:sz w:val="20"/>
        </w:rPr>
        <w:t xml:space="preserve">Kerberos v5 [RFC 4120] is the default authentication protocol in Active Directory environments. The three-party exchange: (1) AS-REQ/AS-REP: Client requests TGT from Authentication Service, encrypted with krbtgt hash. (2) TGS-REQ/TGS-REP: Client presents TGT to Ticket Granting Service, requests Service Ticket for specific resource. (3) AP-REQ: Client presents Service Ticket to the target service, which decrypts it with its own secret key. </w:t>
      </w:r>
      <w:r>
        <w:rPr>
          <w:rFonts w:ascii="Segoe UI" w:hAnsi="Segoe UI"/>
          <w:b/>
          <w:color w:val="2E74B5"/>
          <w:sz w:val="16"/>
        </w:rPr>
        <w:t>[15]</w:t>
      </w:r>
    </w:p>
    <w:p>
      <w:pPr>
        <w:pStyle w:val="Heading2"/>
      </w:pPr>
      <w:r>
        <w:rPr>
          <w:rFonts w:ascii="Segoe UI" w:hAnsi="Segoe UI"/>
          <w:color w:val="2E74B5"/>
        </w:rPr>
        <w:t>2.4  Kerberos Attack Surface</w:t>
      </w:r>
    </w:p>
    <w:p>
      <w:pPr>
        <w:spacing w:after="120"/>
      </w:pPr>
      <w:r>
        <w:rPr>
          <w:rFonts w:ascii="Segoe UI" w:hAnsi="Segoe UI"/>
          <w:sz w:val="20"/>
        </w:rPr>
        <w:t xml:space="preserve">Three major attack categories target Kerberos. Each exploits a different design assumption of the protocol. </w:t>
      </w:r>
      <w:r>
        <w:rPr>
          <w:rFonts w:ascii="Segoe UI" w:hAnsi="Segoe UI"/>
          <w:b/>
          <w:color w:val="2E74B5"/>
          <w:sz w:val="16"/>
        </w:rPr>
        <w:t>[12][15]</w:t>
      </w:r>
    </w:p>
    <w:p>
      <w:pPr>
        <w:spacing w:after="80"/>
      </w:pPr>
      <w:r>
        <w:rPr>
          <w:rFonts w:ascii="Segoe UI" w:hAnsi="Segoe UI"/>
          <w:b/>
          <w:color w:val="2E74B5"/>
          <w:sz w:val="20"/>
        </w:rPr>
        <w:t xml:space="preserve">Kerberoasting: </w:t>
      </w:r>
      <w:r>
        <w:rPr>
          <w:rFonts w:ascii="Segoe UI" w:hAnsi="Segoe UI"/>
          <w:sz w:val="20"/>
        </w:rPr>
        <w:t>Requests Service Tickets for user accounts with SPNs (Service Principal Names). The ticket is encrypted with the service account's NTLM hash — offline crackable. Mitigation: Use Managed Service Accounts (gMSA) with 240-character random passwords.</w:t>
      </w:r>
      <w:r>
        <w:rPr>
          <w:rFonts w:ascii="Segoe UI" w:hAnsi="Segoe UI"/>
          <w:b/>
          <w:color w:val="2E74B5"/>
          <w:sz w:val="16"/>
        </w:rPr>
        <w:t xml:space="preserve"> [12]</w:t>
      </w:r>
    </w:p>
    <w:p>
      <w:pPr>
        <w:spacing w:after="80"/>
      </w:pPr>
      <w:r>
        <w:rPr>
          <w:rFonts w:ascii="Segoe UI" w:hAnsi="Segoe UI"/>
          <w:b/>
          <w:color w:val="2E74B5"/>
          <w:sz w:val="20"/>
        </w:rPr>
        <w:t xml:space="preserve">AS-REP Roasting: </w:t>
      </w:r>
      <w:r>
        <w:rPr>
          <w:rFonts w:ascii="Segoe UI" w:hAnsi="Segoe UI"/>
          <w:sz w:val="20"/>
        </w:rPr>
        <w:t>Targets accounts with Pre-Authentication disabled (DoesNotRequirePreAuth). The KDC returns an AS-REP encrypted with the user's password hash without verifying identity first. Mitigation: Never disable pre-authentication.</w:t>
      </w:r>
      <w:r>
        <w:rPr>
          <w:rFonts w:ascii="Segoe UI" w:hAnsi="Segoe UI"/>
          <w:b/>
          <w:color w:val="2E74B5"/>
          <w:sz w:val="16"/>
        </w:rPr>
        <w:t xml:space="preserve"> [12]</w:t>
      </w:r>
    </w:p>
    <w:p>
      <w:pPr>
        <w:spacing w:after="80"/>
      </w:pPr>
      <w:r>
        <w:rPr>
          <w:rFonts w:ascii="Segoe UI" w:hAnsi="Segoe UI"/>
          <w:b/>
          <w:color w:val="2E74B5"/>
          <w:sz w:val="20"/>
        </w:rPr>
        <w:t xml:space="preserve">Pass-the-Ticket (PtT): </w:t>
      </w:r>
      <w:r>
        <w:rPr>
          <w:rFonts w:ascii="Segoe UI" w:hAnsi="Segoe UI"/>
          <w:sz w:val="20"/>
        </w:rPr>
        <w:t>Extracts Kerberos tickets from memory (lsass.exe) and reuses them on another machine. Mitigation: Credential Guard, Protected Users group, Restricted Admin mode.</w:t>
      </w:r>
      <w:r>
        <w:rPr>
          <w:rFonts w:ascii="Segoe UI" w:hAnsi="Segoe UI"/>
          <w:b/>
          <w:color w:val="2E74B5"/>
          <w:sz w:val="16"/>
        </w:rPr>
        <w:t xml:space="preserve"> [12]</w:t>
      </w:r>
    </w:p>
    <w:p>
      <w:pPr>
        <w:pStyle w:val="Heading2"/>
      </w:pPr>
      <w:r>
        <w:rPr>
          <w:rFonts w:ascii="Segoe UI" w:hAnsi="Segoe UI"/>
          <w:color w:val="2E74B5"/>
        </w:rPr>
        <w:t>2.5  Group Policy Objects</w:t>
      </w:r>
    </w:p>
    <w:tbl>
      <w:tblPr>
        <w:tblStyle w:val="TableGrid"/>
        <w:tblW w:type="auto" w:w="0"/>
        <w:tblLook w:firstColumn="1" w:firstRow="1" w:lastColumn="0" w:lastRow="0" w:noHBand="0" w:noVBand="1" w:val="04A0"/>
      </w:tblPr>
      <w:tblGrid>
        <w:gridCol w:w="9122"/>
      </w:tblGrid>
      <w:tr>
        <w:tc>
          <w:tcPr>
            <w:tcW w:type="dxa" w:w="9122"/>
            <w:shd w:val="clear" w:color="auto" w:fill="FFF2CC"/>
          </w:tcPr>
          <w:p>
            <w:r>
              <w:rPr>
                <w:rFonts w:ascii="Segoe UI" w:hAnsi="Segoe UI"/>
                <w:b/>
                <w:color w:val="7F6000"/>
                <w:sz w:val="20"/>
              </w:rPr>
              <w:t xml:space="preserve">💡  ANALOGY — </w:t>
            </w:r>
            <w:r>
              <w:rPr>
                <w:rFonts w:ascii="Segoe UI" w:hAnsi="Segoe UI"/>
                <w:b/>
                <w:color w:val="7F6000"/>
                <w:sz w:val="20"/>
              </w:rPr>
              <w:t>THE BUILDING CODE</w:t>
            </w:r>
          </w:p>
          <w:p>
            <w:r>
              <w:rPr>
                <w:rFonts w:ascii="Segoe UI" w:hAnsi="Segoe UI"/>
                <w:i/>
                <w:sz w:val="20"/>
              </w:rPr>
              <w:t>Group Policy is like a city's building code. The city code (domain policy) applies everywhere. Borough codes (OU policies) add local requirements. An individual building owner can post their own rules (local policy) — but city code always wins. The processing order — Local → Site → Domain → OU (LSDOU) — determines which rule wins on conflict.</w:t>
            </w:r>
          </w:p>
        </w:tc>
      </w:tr>
    </w:tbl>
    <w:p/>
    <w:p>
      <w:pPr>
        <w:spacing w:after="120"/>
      </w:pPr>
      <w:r>
        <w:rPr>
          <w:rFonts w:ascii="Segoe UI" w:hAnsi="Segoe UI"/>
          <w:sz w:val="20"/>
        </w:rPr>
        <w:t xml:space="preserve">GPO processing follows the LSDOU order: Local Policy → Site GPOs → Domain GPOs → OU GPOs (parent to child, innermost OU wins). Block Inheritance prevents parent GPOs from applying to a specific OU. Enforced (No Override) GPOs bypass Block Inheritance. </w:t>
      </w:r>
      <w:r>
        <w:rPr>
          <w:rFonts w:ascii="Segoe UI" w:hAnsi="Segoe UI"/>
          <w:b/>
          <w:color w:val="2E74B5"/>
          <w:sz w:val="16"/>
        </w:rPr>
        <w:t>[17]</w:t>
      </w:r>
    </w:p>
    <w:p>
      <w:pPr>
        <w:pStyle w:val="Heading3"/>
      </w:pPr>
      <w:r>
        <w:rPr>
          <w:rFonts w:ascii="Segoe UI" w:hAnsi="Segoe UI"/>
          <w:color w:val="2E74B5"/>
        </w:rPr>
        <w:t>Self-Check Questions</w:t>
      </w:r>
    </w:p>
    <w:p>
      <w:r>
        <w:rPr>
          <w:rFonts w:ascii="Segoe UI" w:hAnsi="Segoe UI"/>
          <w:b/>
          <w:sz w:val="20"/>
        </w:rPr>
        <w:t xml:space="preserve">1. </w:t>
      </w:r>
      <w:r>
        <w:rPr>
          <w:rFonts w:ascii="Segoe UI" w:hAnsi="Segoe UI"/>
          <w:sz w:val="20"/>
        </w:rPr>
        <w:t>Draw the Kerberos AS-REQ, TGS-REQ, and AP-REQ flow between Client, KDC, and File Server.</w:t>
      </w:r>
    </w:p>
    <w:p>
      <w:r>
        <w:rPr>
          <w:rFonts w:ascii="Segoe UI" w:hAnsi="Segoe UI"/>
          <w:b/>
          <w:sz w:val="20"/>
        </w:rPr>
        <w:t xml:space="preserve">2. </w:t>
      </w:r>
      <w:r>
        <w:rPr>
          <w:rFonts w:ascii="Segoe UI" w:hAnsi="Segoe UI"/>
          <w:sz w:val="20"/>
        </w:rPr>
        <w:t>Why must the Infrastructure Master not be on a GC server in a multi-domain forest?</w:t>
      </w:r>
    </w:p>
    <w:p>
      <w:r>
        <w:rPr>
          <w:rFonts w:ascii="Segoe UI" w:hAnsi="Segoe UI"/>
          <w:b/>
          <w:sz w:val="20"/>
        </w:rPr>
        <w:t xml:space="preserve">3. </w:t>
      </w:r>
      <w:r>
        <w:rPr>
          <w:rFonts w:ascii="Segoe UI" w:hAnsi="Segoe UI"/>
          <w:sz w:val="20"/>
        </w:rPr>
        <w:t>Explain the difference between Kerberoasting and AS-REP Roasting, and give a mitigation for each.</w:t>
      </w:r>
    </w:p>
    <w:p>
      <w:r>
        <w:rPr>
          <w:rFonts w:ascii="Segoe UI" w:hAnsi="Segoe UI"/>
          <w:b/>
          <w:sz w:val="20"/>
        </w:rPr>
        <w:t xml:space="preserve">4. </w:t>
      </w:r>
      <w:r>
        <w:rPr>
          <w:rFonts w:ascii="Segoe UI" w:hAnsi="Segoe UI"/>
          <w:sz w:val="20"/>
        </w:rPr>
        <w:t>What does the LSDOU acronym stand for, and which setting can override LSDOU processing order?</w:t>
      </w:r>
    </w:p>
    <w:p>
      <w:r>
        <w:rPr>
          <w:rFonts w:ascii="Segoe UI" w:hAnsi="Segoe UI"/>
          <w:b/>
          <w:sz w:val="20"/>
        </w:rPr>
        <w:t xml:space="preserve">5. </w:t>
      </w:r>
      <w:r>
        <w:rPr>
          <w:rFonts w:ascii="Segoe UI" w:hAnsi="Segoe UI"/>
          <w:sz w:val="20"/>
        </w:rPr>
        <w:t>What is a Golden Ticket attack, and why does rotating the krbtgt key TWICE matter?</w:t>
      </w:r>
    </w:p>
    <w:tbl>
      <w:tblPr>
        <w:tblStyle w:val="TableGrid"/>
        <w:tblW w:type="auto" w:w="0"/>
        <w:tblLook w:firstColumn="1" w:firstRow="1" w:lastColumn="0" w:lastRow="0" w:noHBand="0" w:noVBand="1" w:val="04A0"/>
      </w:tblPr>
      <w:tblGrid>
        <w:gridCol w:w="9122"/>
      </w:tblGrid>
      <w:tr>
        <w:tc>
          <w:tcPr>
            <w:tcW w:type="dxa" w:w="9122"/>
            <w:shd w:val="clear" w:color="auto" w:fill="E2EFDA"/>
          </w:tcPr>
          <w:p>
            <w:r>
              <w:rPr>
                <w:rFonts w:ascii="Segoe UI" w:hAnsi="Segoe UI"/>
                <w:b/>
                <w:color w:val="375E23"/>
                <w:sz w:val="20"/>
              </w:rPr>
              <w:t>🎯  INTERVIEW CHEAT SHEET</w:t>
            </w:r>
          </w:p>
          <w:p>
            <w:r>
              <w:rPr>
                <w:rFonts w:ascii="Segoe UI" w:hAnsi="Segoe UI"/>
                <w:sz w:val="20"/>
              </w:rPr>
              <w:t>• A penetration tester finds 23 accounts with SPNs in your domain. What is the risk, and what is your remediation plan?</w:t>
            </w:r>
          </w:p>
          <w:p>
            <w:r>
              <w:rPr>
                <w:rFonts w:ascii="Segoe UI" w:hAnsi="Segoe UI"/>
                <w:sz w:val="20"/>
              </w:rPr>
              <w:t>• Explain what krbtgt is and why it matters for Golden Ticket attacks.</w:t>
            </w:r>
          </w:p>
          <w:p>
            <w:r>
              <w:rPr>
                <w:rFonts w:ascii="Segoe UI" w:hAnsi="Segoe UI"/>
                <w:sz w:val="20"/>
              </w:rPr>
              <w:t>• You're asked to merge two AD forests from an acquisition. Walk me through the key architectural decisions.</w:t>
            </w:r>
          </w:p>
          <w:p>
            <w:r>
              <w:rPr>
                <w:rFonts w:ascii="Segoe UI" w:hAnsi="Segoe UI"/>
                <w:sz w:val="20"/>
              </w:rPr>
              <w:t>• How does Password Hash Sync (PHS) work, and why might you choose it over AD FS?</w:t>
            </w:r>
          </w:p>
        </w:tc>
      </w:tr>
    </w:tbl>
    <w:p/>
    <w:p>
      <w:r>
        <w:br w:type="page"/>
      </w:r>
    </w:p>
    <w:p>
      <w:pPr>
        <w:pStyle w:val="Heading1"/>
      </w:pPr>
      <w:r>
        <w:rPr>
          <w:rFonts w:ascii="Segoe UI" w:hAnsi="Segoe UI"/>
          <w:color w:val="1F3964"/>
        </w:rPr>
        <w:t>Chapter 3: Public Key Infrastructure</w:t>
      </w:r>
    </w:p>
    <w:p>
      <w:pPr>
        <w:spacing w:after="120"/>
      </w:pPr>
      <w:r>
        <w:rPr>
          <w:rFonts w:ascii="Segoe UI" w:hAnsi="Segoe UI"/>
          <w:sz w:val="20"/>
        </w:rPr>
        <w:t xml:space="preserve">Public Key Infrastructure (PKI) is the framework that makes secure digital communication possible. It solves the fundamental problem of distributed trust: how do two parties who have never met verify each other's identity and communicate securely? The answer is a chain of trust anchored in a Certificate Authority. </w:t>
      </w:r>
      <w:r>
        <w:rPr>
          <w:rFonts w:ascii="Segoe UI" w:hAnsi="Segoe UI"/>
          <w:b/>
          <w:color w:val="2E74B5"/>
          <w:sz w:val="16"/>
        </w:rPr>
        <w:t>[22]</w:t>
      </w:r>
    </w:p>
    <w:p>
      <w:pPr>
        <w:pStyle w:val="Heading2"/>
      </w:pPr>
      <w:r>
        <w:rPr>
          <w:rFonts w:ascii="Segoe UI" w:hAnsi="Segoe UI"/>
          <w:color w:val="2E74B5"/>
        </w:rPr>
        <w:t>3.1  PKI Fundamentals</w:t>
      </w:r>
    </w:p>
    <w:tbl>
      <w:tblPr>
        <w:tblStyle w:val="TableGrid"/>
        <w:tblW w:type="auto" w:w="0"/>
        <w:tblLook w:firstColumn="1" w:firstRow="1" w:lastColumn="0" w:lastRow="0" w:noHBand="0" w:noVBand="1" w:val="04A0"/>
      </w:tblPr>
      <w:tblGrid>
        <w:gridCol w:w="9122"/>
      </w:tblGrid>
      <w:tr>
        <w:tc>
          <w:tcPr>
            <w:tcW w:type="dxa" w:w="9122"/>
            <w:shd w:val="clear" w:color="auto" w:fill="FFF2CC"/>
          </w:tcPr>
          <w:p>
            <w:r>
              <w:rPr>
                <w:rFonts w:ascii="Segoe UI" w:hAnsi="Segoe UI"/>
                <w:b/>
                <w:color w:val="7F6000"/>
                <w:sz w:val="20"/>
              </w:rPr>
              <w:t xml:space="preserve">💡  ANALOGY — </w:t>
            </w:r>
            <w:r>
              <w:rPr>
                <w:rFonts w:ascii="Segoe UI" w:hAnsi="Segoe UI"/>
                <w:b/>
                <w:color w:val="7F6000"/>
                <w:sz w:val="20"/>
              </w:rPr>
              <w:t>THE NOTARY CHAIN</w:t>
            </w:r>
          </w:p>
          <w:p>
            <w:r>
              <w:rPr>
                <w:rFonts w:ascii="Segoe UI" w:hAnsi="Segoe UI"/>
                <w:i/>
                <w:sz w:val="20"/>
              </w:rPr>
              <w:t>A PKI certificate chain works like a chain of notarised documents. Your driver's licence (leaf certificate) was issued by the DMV (Intermediate CA), which is authorised by the state government (Root CA). If you trust the state, you trust the DMV, and therefore trust the licence. Break any link in that chain — the state gets compromised, or the DMV's seal is forged — and every licence it ever issued becomes suspect.</w:t>
            </w:r>
          </w:p>
        </w:tc>
      </w:tr>
    </w:tbl>
    <w:p/>
    <w:p>
      <w:pPr>
        <w:spacing w:after="120"/>
      </w:pPr>
      <w:r>
        <w:rPr>
          <w:rFonts w:ascii="Segoe UI" w:hAnsi="Segoe UI"/>
          <w:sz w:val="20"/>
        </w:rPr>
        <w:t xml:space="preserve">Public key cryptography uses asymmetric key pairs: a public key (shareable) and a private key (secret). A digital certificate (X.509 format) binds a public key to an identity, signed by a CA whose own certificate is trusted by the verifier. The chain: Root CA → Intermediate/Issuing CA → Leaf Certificate. </w:t>
      </w:r>
      <w:r>
        <w:rPr>
          <w:rFonts w:ascii="Segoe UI" w:hAnsi="Segoe UI"/>
          <w:b/>
          <w:color w:val="2E74B5"/>
          <w:sz w:val="16"/>
        </w:rPr>
        <w:t>[22]</w:t>
      </w:r>
    </w:p>
    <w:p>
      <w:pPr>
        <w:spacing w:after="80"/>
      </w:pPr>
      <w:r>
        <w:rPr>
          <w:rFonts w:ascii="Segoe UI" w:hAnsi="Segoe UI"/>
          <w:b/>
          <w:color w:val="2E74B5"/>
          <w:sz w:val="20"/>
        </w:rPr>
        <w:t xml:space="preserve">Certificate Authority (CA): </w:t>
      </w:r>
      <w:r>
        <w:rPr>
          <w:rFonts w:ascii="Segoe UI" w:hAnsi="Segoe UI"/>
          <w:sz w:val="20"/>
        </w:rPr>
        <w:t>An entity trusted to issue, sign, and revoke digital certificates. The Root CA's public key is pre-trusted by operating systems and browsers.</w:t>
      </w:r>
      <w:r>
        <w:rPr>
          <w:rFonts w:ascii="Segoe UI" w:hAnsi="Segoe UI"/>
          <w:b/>
          <w:color w:val="2E74B5"/>
          <w:sz w:val="16"/>
        </w:rPr>
        <w:t xml:space="preserve"> [22]</w:t>
      </w:r>
    </w:p>
    <w:p>
      <w:pPr>
        <w:spacing w:after="80"/>
      </w:pPr>
      <w:r>
        <w:rPr>
          <w:rFonts w:ascii="Segoe UI" w:hAnsi="Segoe UI"/>
          <w:b/>
          <w:color w:val="2E74B5"/>
          <w:sz w:val="20"/>
        </w:rPr>
        <w:t xml:space="preserve">X.509 Certificate: </w:t>
      </w:r>
      <w:r>
        <w:rPr>
          <w:rFonts w:ascii="Segoe UI" w:hAnsi="Segoe UI"/>
          <w:sz w:val="20"/>
        </w:rPr>
        <w:t>The standard format for public key certificates. Contains: subject, issuer, validity period, public key, Subject Alternative Names (SANs), and digital signature.</w:t>
      </w:r>
      <w:r>
        <w:rPr>
          <w:rFonts w:ascii="Segoe UI" w:hAnsi="Segoe UI"/>
          <w:b/>
          <w:color w:val="2E74B5"/>
          <w:sz w:val="16"/>
        </w:rPr>
        <w:t xml:space="preserve"> [22]</w:t>
      </w:r>
    </w:p>
    <w:p>
      <w:pPr>
        <w:spacing w:after="80"/>
      </w:pPr>
      <w:r>
        <w:rPr>
          <w:rFonts w:ascii="Segoe UI" w:hAnsi="Segoe UI"/>
          <w:b/>
          <w:color w:val="2E74B5"/>
          <w:sz w:val="20"/>
        </w:rPr>
        <w:t xml:space="preserve">Certificate Revocation List (CRL): </w:t>
      </w:r>
      <w:r>
        <w:rPr>
          <w:rFonts w:ascii="Segoe UI" w:hAnsi="Segoe UI"/>
          <w:sz w:val="20"/>
        </w:rPr>
        <w:t>A periodically published list of revoked certificate serial numbers. Checked by clients during certificate validation. OCSP is the online real-time alternative.</w:t>
      </w:r>
      <w:r>
        <w:rPr>
          <w:rFonts w:ascii="Segoe UI" w:hAnsi="Segoe UI"/>
          <w:b/>
          <w:color w:val="2E74B5"/>
          <w:sz w:val="16"/>
        </w:rPr>
        <w:t xml:space="preserve"> [22]</w:t>
      </w:r>
    </w:p>
    <w:p>
      <w:pPr>
        <w:pStyle w:val="Heading2"/>
      </w:pPr>
      <w:r>
        <w:rPr>
          <w:rFonts w:ascii="Segoe UI" w:hAnsi="Segoe UI"/>
          <w:color w:val="2E74B5"/>
        </w:rPr>
        <w:t>3.2  PKI Hierarchy Design</w:t>
      </w:r>
    </w:p>
    <w:p>
      <w:pPr>
        <w:spacing w:after="120"/>
      </w:pPr>
      <w:r>
        <w:rPr>
          <w:rFonts w:ascii="Segoe UI" w:hAnsi="Segoe UI"/>
          <w:sz w:val="20"/>
        </w:rPr>
        <w:t xml:space="preserve">Two-tier PKI (Root CA → Issuing CA) is appropriate for most enterprise environments. Three-tier (Root → Policy CA → Issuing CA) adds a layer of separation for very large, multi-region deployments. The Root CA should be offline (air-gapped) — it issues only the Issuing CA certificate and then powers off. </w:t>
      </w:r>
      <w:r>
        <w:rPr>
          <w:rFonts w:ascii="Segoe UI" w:hAnsi="Segoe UI"/>
          <w:b/>
          <w:color w:val="2E74B5"/>
          <w:sz w:val="16"/>
        </w:rPr>
        <w:t>[22]</w:t>
      </w:r>
    </w:p>
    <w:tbl>
      <w:tblPr>
        <w:tblStyle w:val="TableGrid"/>
        <w:tblW w:type="auto" w:w="0"/>
        <w:tblLook w:firstColumn="1" w:firstRow="1" w:lastColumn="0" w:lastRow="0" w:noHBand="0" w:noVBand="1" w:val="04A0"/>
      </w:tblPr>
      <w:tblGrid>
        <w:gridCol w:w="9122"/>
      </w:tblGrid>
      <w:tr>
        <w:tc>
          <w:tcPr>
            <w:tcW w:type="dxa" w:w="9122"/>
            <w:shd w:val="clear" w:color="auto" w:fill="DEEAF1"/>
          </w:tcPr>
          <w:p>
            <w:r>
              <w:rPr>
                <w:rFonts w:ascii="Segoe UI" w:hAnsi="Segoe UI"/>
                <w:b/>
                <w:color w:val="1F3964"/>
                <w:sz w:val="20"/>
              </w:rPr>
              <w:t>ℹ  ARCHITECTURE BEST PRACTICE</w:t>
            </w:r>
          </w:p>
          <w:p>
            <w:r>
              <w:rPr>
                <w:rFonts w:ascii="Segoe UI" w:hAnsi="Segoe UI"/>
                <w:sz w:val="20"/>
              </w:rPr>
              <w:t>Offline Root CA: Store the Root CA on an air-gapped machine in a physically secured location (HSM + safe). Boot it only to issue new Issuing CA certificates (typically every 5-10 years) or to update the CRL. The Root CA's compromise means every certificate in the hierarchy must be replaced.</w:t>
            </w:r>
          </w:p>
        </w:tc>
      </w:tr>
    </w:tbl>
    <w:p/>
    <w:p>
      <w:pPr>
        <w:pStyle w:val="Heading2"/>
      </w:pPr>
      <w:r>
        <w:rPr>
          <w:rFonts w:ascii="Segoe UI" w:hAnsi="Segoe UI"/>
          <w:color w:val="2E74B5"/>
        </w:rPr>
        <w:t>3.3  ADCS ESC Vulnerabilities</w:t>
      </w:r>
    </w:p>
    <w:p>
      <w:pPr>
        <w:spacing w:after="120"/>
      </w:pPr>
      <w:r>
        <w:rPr>
          <w:rFonts w:ascii="Segoe UI" w:hAnsi="Segoe UI"/>
          <w:sz w:val="20"/>
        </w:rPr>
        <w:t xml:space="preserve">Active Directory Certificate Services (ADCS) misconfigurations create a category of privilege escalation attacks catalogued as ESC1 through ESC8. These were detailed in the 'Certified Pre-Owned' research by SpecterOps. </w:t>
      </w:r>
      <w:r>
        <w:rPr>
          <w:rFonts w:ascii="Segoe UI" w:hAnsi="Segoe UI"/>
          <w:b/>
          <w:color w:val="2E74B5"/>
          <w:sz w:val="16"/>
        </w:rPr>
        <w:t>[11]</w:t>
      </w:r>
    </w:p>
    <w:p>
      <w:pPr>
        <w:spacing w:after="80"/>
      </w:pPr>
      <w:r>
        <w:rPr>
          <w:rFonts w:ascii="Segoe UI" w:hAnsi="Segoe UI"/>
          <w:b/>
          <w:color w:val="2E74B5"/>
          <w:sz w:val="20"/>
        </w:rPr>
        <w:t xml:space="preserve">ESC1: </w:t>
      </w:r>
      <w:r>
        <w:rPr>
          <w:rFonts w:ascii="Segoe UI" w:hAnsi="Segoe UI"/>
          <w:sz w:val="20"/>
        </w:rPr>
        <w:t>Certificate template allows enrollee to supply Subject Alternative Name (SAN) + Client Auth EKU + wide enrollment rights. Attacker can request certificate for any user including Domain Admin.</w:t>
      </w:r>
      <w:r>
        <w:rPr>
          <w:rFonts w:ascii="Segoe UI" w:hAnsi="Segoe UI"/>
          <w:b/>
          <w:color w:val="2E74B5"/>
          <w:sz w:val="16"/>
        </w:rPr>
        <w:t xml:space="preserve"> [11]</w:t>
      </w:r>
    </w:p>
    <w:p>
      <w:pPr>
        <w:spacing w:after="80"/>
      </w:pPr>
      <w:r>
        <w:rPr>
          <w:rFonts w:ascii="Segoe UI" w:hAnsi="Segoe UI"/>
          <w:b/>
          <w:color w:val="2E74B5"/>
          <w:sz w:val="20"/>
        </w:rPr>
        <w:t xml:space="preserve">ESC2: </w:t>
      </w:r>
      <w:r>
        <w:rPr>
          <w:rFonts w:ascii="Segoe UI" w:hAnsi="Segoe UI"/>
          <w:sz w:val="20"/>
        </w:rPr>
        <w:t>Certificate template has 'Any Purpose' EKU — can be used for any purpose including client authentication.</w:t>
      </w:r>
      <w:r>
        <w:rPr>
          <w:rFonts w:ascii="Segoe UI" w:hAnsi="Segoe UI"/>
          <w:b/>
          <w:color w:val="2E74B5"/>
          <w:sz w:val="16"/>
        </w:rPr>
        <w:t xml:space="preserve"> [11]</w:t>
      </w:r>
    </w:p>
    <w:p>
      <w:pPr>
        <w:spacing w:after="80"/>
      </w:pPr>
      <w:r>
        <w:rPr>
          <w:rFonts w:ascii="Segoe UI" w:hAnsi="Segoe UI"/>
          <w:b/>
          <w:color w:val="2E74B5"/>
          <w:sz w:val="20"/>
        </w:rPr>
        <w:t xml:space="preserve">ESC3: </w:t>
      </w:r>
      <w:r>
        <w:rPr>
          <w:rFonts w:ascii="Segoe UI" w:hAnsi="Segoe UI"/>
          <w:sz w:val="20"/>
        </w:rPr>
        <w:t>Certificate template has Certificate Request Agent EKU — allows enrolling on behalf of another user.</w:t>
      </w:r>
      <w:r>
        <w:rPr>
          <w:rFonts w:ascii="Segoe UI" w:hAnsi="Segoe UI"/>
          <w:b/>
          <w:color w:val="2E74B5"/>
          <w:sz w:val="16"/>
        </w:rPr>
        <w:t xml:space="preserve"> [11]</w:t>
      </w:r>
    </w:p>
    <w:p>
      <w:pPr>
        <w:spacing w:after="80"/>
      </w:pPr>
      <w:r>
        <w:rPr>
          <w:rFonts w:ascii="Segoe UI" w:hAnsi="Segoe UI"/>
          <w:b/>
          <w:color w:val="2E74B5"/>
          <w:sz w:val="20"/>
        </w:rPr>
        <w:t xml:space="preserve">ESC8: </w:t>
      </w:r>
      <w:r>
        <w:rPr>
          <w:rFonts w:ascii="Segoe UI" w:hAnsi="Segoe UI"/>
          <w:sz w:val="20"/>
        </w:rPr>
        <w:t>ADCS web enrollment (certsrv) accessible over HTTP. NTLM relay attack allows coercing a machine to authenticate and relaying that credential to ADCS to request a certificate.</w:t>
      </w:r>
      <w:r>
        <w:rPr>
          <w:rFonts w:ascii="Segoe UI" w:hAnsi="Segoe UI"/>
          <w:b/>
          <w:color w:val="2E74B5"/>
          <w:sz w:val="16"/>
        </w:rPr>
        <w:t xml:space="preserve"> [11]</w:t>
      </w:r>
    </w:p>
    <w:tbl>
      <w:tblPr>
        <w:tblStyle w:val="TableGrid"/>
        <w:tblW w:type="auto" w:w="0"/>
        <w:tblLook w:firstColumn="1" w:firstRow="1" w:lastColumn="0" w:lastRow="0" w:noHBand="0" w:noVBand="1" w:val="04A0"/>
      </w:tblPr>
      <w:tblGrid>
        <w:gridCol w:w="9122"/>
      </w:tblGrid>
      <w:tr>
        <w:tc>
          <w:tcPr>
            <w:tcW w:type="dxa" w:w="9122"/>
            <w:shd w:val="clear" w:color="auto" w:fill="FFF2CC"/>
          </w:tcPr>
          <w:p>
            <w:r>
              <w:rPr>
                <w:rFonts w:ascii="Segoe UI" w:hAnsi="Segoe UI"/>
                <w:b/>
                <w:color w:val="7F6000"/>
                <w:sz w:val="20"/>
              </w:rPr>
              <w:t xml:space="preserve">💡  ANALOGY — </w:t>
            </w:r>
            <w:r>
              <w:rPr>
                <w:rFonts w:ascii="Segoe UI" w:hAnsi="Segoe UI"/>
                <w:b/>
                <w:color w:val="7F6000"/>
                <w:sz w:val="20"/>
              </w:rPr>
              <w:t>THE RUBBER STAMP OFFICE</w:t>
            </w:r>
          </w:p>
          <w:p>
            <w:r>
              <w:rPr>
                <w:rFonts w:ascii="Segoe UI" w:hAnsi="Segoe UI"/>
                <w:i/>
                <w:sz w:val="20"/>
              </w:rPr>
              <w:t>ESC1 is like a rubber stamp office that lets you write whatever name you want on the form before they stamp it. You walk in claiming to be 'Domain Administrator', they stamp your certificate, and suddenly every door in the building opens for you.</w:t>
            </w:r>
          </w:p>
        </w:tc>
      </w:tr>
    </w:tbl>
    <w:p/>
    <w:p>
      <w:pPr>
        <w:pStyle w:val="Heading2"/>
      </w:pPr>
      <w:r>
        <w:rPr>
          <w:rFonts w:ascii="Segoe UI" w:hAnsi="Segoe UI"/>
          <w:color w:val="2E74B5"/>
        </w:rPr>
        <w:t>3.4  Certificate Revocation</w:t>
      </w:r>
    </w:p>
    <w:p>
      <w:pPr>
        <w:spacing w:after="120"/>
      </w:pPr>
      <w:r>
        <w:rPr>
          <w:rFonts w:ascii="Segoe UI" w:hAnsi="Segoe UI"/>
          <w:sz w:val="20"/>
        </w:rPr>
        <w:t xml:space="preserve">Two revocation mechanisms exist: CRL (batch, published periodically) and OCSP (Online Certificate Status Protocol — real-time per-certificate query). OCSP Stapling improves privacy by having the server pre-fetch and cache the OCSP response, including it in the TLS handshake so clients don't need to contact the CA directly. </w:t>
      </w:r>
      <w:r>
        <w:rPr>
          <w:rFonts w:ascii="Segoe UI" w:hAnsi="Segoe UI"/>
          <w:b/>
          <w:color w:val="2E74B5"/>
          <w:sz w:val="16"/>
        </w:rPr>
        <w:t>[22]</w:t>
      </w:r>
    </w:p>
    <w:p>
      <w:pPr>
        <w:pStyle w:val="Heading3"/>
      </w:pPr>
      <w:r>
        <w:rPr>
          <w:rFonts w:ascii="Segoe UI" w:hAnsi="Segoe UI"/>
          <w:color w:val="2E74B5"/>
        </w:rPr>
        <w:t>Self-Check Questions</w:t>
      </w:r>
    </w:p>
    <w:p>
      <w:r>
        <w:rPr>
          <w:rFonts w:ascii="Segoe UI" w:hAnsi="Segoe UI"/>
          <w:b/>
          <w:sz w:val="20"/>
        </w:rPr>
        <w:t xml:space="preserve">1. </w:t>
      </w:r>
      <w:r>
        <w:rPr>
          <w:rFonts w:ascii="Segoe UI" w:hAnsi="Segoe UI"/>
          <w:sz w:val="20"/>
        </w:rPr>
        <w:t>Explain the certificate chain for a leaf TLS certificate on a public website. Name each certificate in the chain.</w:t>
      </w:r>
    </w:p>
    <w:p>
      <w:r>
        <w:rPr>
          <w:rFonts w:ascii="Segoe UI" w:hAnsi="Segoe UI"/>
          <w:b/>
          <w:sz w:val="20"/>
        </w:rPr>
        <w:t xml:space="preserve">2. </w:t>
      </w:r>
      <w:r>
        <w:rPr>
          <w:rFonts w:ascii="Segoe UI" w:hAnsi="Segoe UI"/>
          <w:sz w:val="20"/>
        </w:rPr>
        <w:t>Why must the Root CA be kept offline? What is the impact if it is compromised?</w:t>
      </w:r>
    </w:p>
    <w:p>
      <w:r>
        <w:rPr>
          <w:rFonts w:ascii="Segoe UI" w:hAnsi="Segoe UI"/>
          <w:b/>
          <w:sz w:val="20"/>
        </w:rPr>
        <w:t xml:space="preserve">3. </w:t>
      </w:r>
      <w:r>
        <w:rPr>
          <w:rFonts w:ascii="Segoe UI" w:hAnsi="Segoe UI"/>
          <w:sz w:val="20"/>
        </w:rPr>
        <w:t>Describe the ESC1 attack. What three conditions must be true for it to be exploitable?</w:t>
      </w:r>
    </w:p>
    <w:p>
      <w:r>
        <w:rPr>
          <w:rFonts w:ascii="Segoe UI" w:hAnsi="Segoe UI"/>
          <w:b/>
          <w:sz w:val="20"/>
        </w:rPr>
        <w:t xml:space="preserve">4. </w:t>
      </w:r>
      <w:r>
        <w:rPr>
          <w:rFonts w:ascii="Segoe UI" w:hAnsi="Segoe UI"/>
          <w:sz w:val="20"/>
        </w:rPr>
        <w:t>What is the difference between CRL and OCSP? When would you choose OCSP Stapling?</w:t>
      </w:r>
    </w:p>
    <w:p>
      <w:r>
        <w:rPr>
          <w:rFonts w:ascii="Segoe UI" w:hAnsi="Segoe UI"/>
          <w:b/>
          <w:sz w:val="20"/>
        </w:rPr>
        <w:t xml:space="preserve">5. </w:t>
      </w:r>
      <w:r>
        <w:rPr>
          <w:rFonts w:ascii="Segoe UI" w:hAnsi="Segoe UI"/>
          <w:sz w:val="20"/>
        </w:rPr>
        <w:t>What does CT_FLAG_ENROLLEE_SUPPLIES_SUBJECT mean, and why is it dangerous?</w:t>
      </w:r>
    </w:p>
    <w:tbl>
      <w:tblPr>
        <w:tblStyle w:val="TableGrid"/>
        <w:tblW w:type="auto" w:w="0"/>
        <w:tblLook w:firstColumn="1" w:firstRow="1" w:lastColumn="0" w:lastRow="0" w:noHBand="0" w:noVBand="1" w:val="04A0"/>
      </w:tblPr>
      <w:tblGrid>
        <w:gridCol w:w="9122"/>
      </w:tblGrid>
      <w:tr>
        <w:tc>
          <w:tcPr>
            <w:tcW w:type="dxa" w:w="9122"/>
            <w:shd w:val="clear" w:color="auto" w:fill="E2EFDA"/>
          </w:tcPr>
          <w:p>
            <w:r>
              <w:rPr>
                <w:rFonts w:ascii="Segoe UI" w:hAnsi="Segoe UI"/>
                <w:b/>
                <w:color w:val="375E23"/>
                <w:sz w:val="20"/>
              </w:rPr>
              <w:t>🎯  INTERVIEW CHEAT SHEET</w:t>
            </w:r>
          </w:p>
          <w:p>
            <w:r>
              <w:rPr>
                <w:rFonts w:ascii="Segoe UI" w:hAnsi="Segoe UI"/>
                <w:sz w:val="20"/>
              </w:rPr>
              <w:t>• Walk me through the ADCS ESC1 attack chain from initial enumeration to Domain Admin.</w:t>
            </w:r>
          </w:p>
          <w:p>
            <w:r>
              <w:rPr>
                <w:rFonts w:ascii="Segoe UI" w:hAnsi="Segoe UI"/>
                <w:sz w:val="20"/>
              </w:rPr>
              <w:t>• Your organisation's Root CA certificate expires in 6 months. What is your remediation plan?</w:t>
            </w:r>
          </w:p>
          <w:p>
            <w:r>
              <w:rPr>
                <w:rFonts w:ascii="Segoe UI" w:hAnsi="Segoe UI"/>
                <w:sz w:val="20"/>
              </w:rPr>
              <w:t>• What is OCSP Stapling and why does it improve both performance and privacy?</w:t>
            </w:r>
          </w:p>
          <w:p>
            <w:r>
              <w:rPr>
                <w:rFonts w:ascii="Segoe UI" w:hAnsi="Segoe UI"/>
                <w:sz w:val="20"/>
              </w:rPr>
              <w:t>• How would you audit your ADCS environment for misconfigured certificate templates?</w:t>
            </w:r>
          </w:p>
        </w:tc>
      </w:tr>
    </w:tbl>
    <w:p/>
    <w:p>
      <w:r>
        <w:br w:type="page"/>
      </w:r>
    </w:p>
    <w:p>
      <w:pPr>
        <w:pStyle w:val="Heading1"/>
      </w:pPr>
      <w:r>
        <w:rPr>
          <w:rFonts w:ascii="Segoe UI" w:hAnsi="Segoe UI"/>
          <w:color w:val="1F3964"/>
        </w:rPr>
        <w:t>Chapter 4: Federation Protocols — SAML, OAuth 2.0, and OIDC</w:t>
      </w:r>
    </w:p>
    <w:p>
      <w:pPr>
        <w:spacing w:after="120"/>
      </w:pPr>
      <w:r>
        <w:rPr>
          <w:rFonts w:ascii="Segoe UI" w:hAnsi="Segoe UI"/>
          <w:sz w:val="20"/>
        </w:rPr>
        <w:t xml:space="preserve">Modern identity federation separates authentication from application logic. Rather than each application maintaining its own credential store, federation delegates authentication to a trusted Identity Provider. Three protocols dominate enterprise federation: SAML 2.0 (XML-based, enterprise SSO), OAuth 2.0 (delegated authorisation framework), and OpenID Connect (OIDC — identity layer on OAuth 2.0). </w:t>
      </w:r>
      <w:r>
        <w:rPr>
          <w:rFonts w:ascii="Segoe UI" w:hAnsi="Segoe UI"/>
          <w:b/>
          <w:color w:val="2E74B5"/>
          <w:sz w:val="16"/>
        </w:rPr>
        <w:t>[3][4][5][21]</w:t>
      </w:r>
    </w:p>
    <w:p>
      <w:pPr>
        <w:pStyle w:val="Heading2"/>
      </w:pPr>
      <w:r>
        <w:rPr>
          <w:rFonts w:ascii="Segoe UI" w:hAnsi="Segoe UI"/>
          <w:color w:val="2E74B5"/>
        </w:rPr>
        <w:t>4.1  SAML 2.0</w:t>
      </w:r>
    </w:p>
    <w:tbl>
      <w:tblPr>
        <w:tblStyle w:val="TableGrid"/>
        <w:tblW w:type="auto" w:w="0"/>
        <w:tblLook w:firstColumn="1" w:firstRow="1" w:lastColumn="0" w:lastRow="0" w:noHBand="0" w:noVBand="1" w:val="04A0"/>
      </w:tblPr>
      <w:tblGrid>
        <w:gridCol w:w="9122"/>
      </w:tblGrid>
      <w:tr>
        <w:tc>
          <w:tcPr>
            <w:tcW w:type="dxa" w:w="9122"/>
            <w:shd w:val="clear" w:color="auto" w:fill="FFF2CC"/>
          </w:tcPr>
          <w:p>
            <w:r>
              <w:rPr>
                <w:rFonts w:ascii="Segoe UI" w:hAnsi="Segoe UI"/>
                <w:b/>
                <w:color w:val="7F6000"/>
                <w:sz w:val="20"/>
              </w:rPr>
              <w:t xml:space="preserve">💡  ANALOGY — </w:t>
            </w:r>
            <w:r>
              <w:rPr>
                <w:rFonts w:ascii="Segoe UI" w:hAnsi="Segoe UI"/>
                <w:b/>
                <w:color w:val="7F6000"/>
                <w:sz w:val="20"/>
              </w:rPr>
              <w:t>THE LETTER OF INTRODUCTION</w:t>
            </w:r>
          </w:p>
          <w:p>
            <w:r>
              <w:rPr>
                <w:rFonts w:ascii="Segoe UI" w:hAnsi="Segoe UI"/>
                <w:i/>
                <w:sz w:val="20"/>
              </w:rPr>
              <w:t>SAML is like a formal letter of introduction. Your employer (IdP) writes a letter saying 'This is Alice, she works in Finance, she has read access.' You carry that letter (SAML Assertion) to the hotel (SP). The hotel doesn't need to call your employer — it trusts the letter because it knows the employer's signature (cryptographic signature).</w:t>
            </w:r>
          </w:p>
        </w:tc>
      </w:tr>
    </w:tbl>
    <w:p/>
    <w:p>
      <w:pPr>
        <w:spacing w:after="120"/>
      </w:pPr>
      <w:r>
        <w:rPr>
          <w:rFonts w:ascii="Segoe UI" w:hAnsi="Segoe UI"/>
          <w:sz w:val="20"/>
        </w:rPr>
        <w:t xml:space="preserve">SAML 2.0 (Security Assertion Markup Language) is an XML-based protocol for exchanging authentication and authorisation data between an IdP and SP. The SAML Assertion contains three statement types: AuthnStatement (who authenticated, when, by what method), AttributeStatement (user attributes), and AuthzDecisionStatement (access decision). The Assertion is signed using XML-DSIG with the IdP's private key. </w:t>
      </w:r>
      <w:r>
        <w:rPr>
          <w:rFonts w:ascii="Segoe UI" w:hAnsi="Segoe UI"/>
          <w:b/>
          <w:color w:val="2E74B5"/>
          <w:sz w:val="16"/>
        </w:rPr>
        <w:t>[5]</w:t>
      </w:r>
    </w:p>
    <w:p>
      <w:pPr>
        <w:spacing w:after="80"/>
      </w:pPr>
      <w:r>
        <w:rPr>
          <w:rFonts w:ascii="Segoe UI" w:hAnsi="Segoe UI"/>
          <w:b/>
          <w:color w:val="2E74B5"/>
          <w:sz w:val="20"/>
        </w:rPr>
        <w:t xml:space="preserve">SAML Assertion: </w:t>
      </w:r>
      <w:r>
        <w:rPr>
          <w:rFonts w:ascii="Segoe UI" w:hAnsi="Segoe UI"/>
          <w:sz w:val="20"/>
        </w:rPr>
        <w:t>XML document asserting information about a subject. Contains: Issuer, Subject (NameID), Conditions (NotBefore/NotOnOrAfter), AuthnStatement, AttributeStatement, and Signature.</w:t>
      </w:r>
      <w:r>
        <w:rPr>
          <w:rFonts w:ascii="Segoe UI" w:hAnsi="Segoe UI"/>
          <w:b/>
          <w:color w:val="2E74B5"/>
          <w:sz w:val="16"/>
        </w:rPr>
        <w:t xml:space="preserve"> [5]</w:t>
      </w:r>
    </w:p>
    <w:p>
      <w:pPr>
        <w:spacing w:after="80"/>
      </w:pPr>
      <w:r>
        <w:rPr>
          <w:rFonts w:ascii="Segoe UI" w:hAnsi="Segoe UI"/>
          <w:b/>
          <w:color w:val="2E74B5"/>
          <w:sz w:val="20"/>
        </w:rPr>
        <w:t xml:space="preserve">Service Provider-Initiated (SP-init): </w:t>
      </w:r>
      <w:r>
        <w:rPr>
          <w:rFonts w:ascii="Segoe UI" w:hAnsi="Segoe UI"/>
          <w:sz w:val="20"/>
        </w:rPr>
        <w:t>User accesses SP → SP generates AuthnRequest → redirects to IdP → IdP authenticates → sends Assertion to SP via browser POST/redirect.</w:t>
      </w:r>
      <w:r>
        <w:rPr>
          <w:rFonts w:ascii="Segoe UI" w:hAnsi="Segoe UI"/>
          <w:b/>
          <w:color w:val="2E74B5"/>
          <w:sz w:val="16"/>
        </w:rPr>
        <w:t xml:space="preserve"> [5]</w:t>
      </w:r>
    </w:p>
    <w:p>
      <w:pPr>
        <w:spacing w:after="80"/>
      </w:pPr>
      <w:r>
        <w:rPr>
          <w:rFonts w:ascii="Segoe UI" w:hAnsi="Segoe UI"/>
          <w:b/>
          <w:color w:val="2E74B5"/>
          <w:sz w:val="20"/>
        </w:rPr>
        <w:t xml:space="preserve">IdP-Initiated SSO: </w:t>
      </w:r>
      <w:r>
        <w:rPr>
          <w:rFonts w:ascii="Segoe UI" w:hAnsi="Segoe UI"/>
          <w:sz w:val="20"/>
        </w:rPr>
        <w:t>User starts at IdP portal → selects application → IdP sends unsolicited Assertion to SP. Less secure: no AuthnRequest means no CSRF protection nonce.</w:t>
      </w:r>
      <w:r>
        <w:rPr>
          <w:rFonts w:ascii="Segoe UI" w:hAnsi="Segoe UI"/>
          <w:b/>
          <w:color w:val="2E74B5"/>
          <w:sz w:val="16"/>
        </w:rPr>
        <w:t xml:space="preserve"> [5]</w:t>
      </w:r>
    </w:p>
    <w:p>
      <w:pPr>
        <w:pStyle w:val="Heading2"/>
      </w:pPr>
      <w:r>
        <w:rPr>
          <w:rFonts w:ascii="Segoe UI" w:hAnsi="Segoe UI"/>
          <w:color w:val="2E74B5"/>
        </w:rPr>
        <w:t>4.2  OAuth 2.0</w:t>
      </w:r>
    </w:p>
    <w:tbl>
      <w:tblPr>
        <w:tblStyle w:val="TableGrid"/>
        <w:tblW w:type="auto" w:w="0"/>
        <w:tblLook w:firstColumn="1" w:firstRow="1" w:lastColumn="0" w:lastRow="0" w:noHBand="0" w:noVBand="1" w:val="04A0"/>
      </w:tblPr>
      <w:tblGrid>
        <w:gridCol w:w="9122"/>
      </w:tblGrid>
      <w:tr>
        <w:tc>
          <w:tcPr>
            <w:tcW w:type="dxa" w:w="9122"/>
            <w:shd w:val="clear" w:color="auto" w:fill="FFF2CC"/>
          </w:tcPr>
          <w:p>
            <w:r>
              <w:rPr>
                <w:rFonts w:ascii="Segoe UI" w:hAnsi="Segoe UI"/>
                <w:b/>
                <w:color w:val="7F6000"/>
                <w:sz w:val="20"/>
              </w:rPr>
              <w:t xml:space="preserve">💡  ANALOGY — </w:t>
            </w:r>
            <w:r>
              <w:rPr>
                <w:rFonts w:ascii="Segoe UI" w:hAnsi="Segoe UI"/>
                <w:b/>
                <w:color w:val="7F6000"/>
                <w:sz w:val="20"/>
              </w:rPr>
              <w:t>THE VALET PARKING TICKET</w:t>
            </w:r>
          </w:p>
          <w:p>
            <w:r>
              <w:rPr>
                <w:rFonts w:ascii="Segoe UI" w:hAnsi="Segoe UI"/>
                <w:i/>
                <w:sz w:val="20"/>
              </w:rPr>
              <w:t>OAuth 2.0 is about delegation, not identity. When you give your car to a valet, you hand over a valet key (access token) — not your house key (credentials). The valet can drive the car (access the resource) but can't start your home alarm (scope-limited). You didn't give them your identity — you gave them scoped, time-limited permission.</w:t>
            </w:r>
          </w:p>
        </w:tc>
      </w:tr>
    </w:tbl>
    <w:p/>
    <w:p>
      <w:pPr>
        <w:spacing w:after="120"/>
      </w:pPr>
      <w:r>
        <w:rPr>
          <w:rFonts w:ascii="Segoe UI" w:hAnsi="Segoe UI"/>
          <w:sz w:val="20"/>
        </w:rPr>
        <w:t xml:space="preserve">OAuth 2.0 [RFC 6749] is an authorisation framework, not an authentication protocol. It allows a user (Resource Owner) to grant a third-party application (Client) limited access to their data at a Resource Server, without sharing credentials. The Client obtains an Access Token from the Authorisation Server using one of four grant types. </w:t>
      </w:r>
      <w:r>
        <w:rPr>
          <w:rFonts w:ascii="Segoe UI" w:hAnsi="Segoe UI"/>
          <w:b/>
          <w:color w:val="2E74B5"/>
          <w:sz w:val="16"/>
        </w:rPr>
        <w:t>[3]</w:t>
      </w:r>
    </w:p>
    <w:p>
      <w:pPr>
        <w:spacing w:after="80"/>
      </w:pPr>
      <w:r>
        <w:rPr>
          <w:rFonts w:ascii="Segoe UI" w:hAnsi="Segoe UI"/>
          <w:b/>
          <w:color w:val="2E74B5"/>
          <w:sz w:val="20"/>
        </w:rPr>
        <w:t xml:space="preserve">Authorisation Code + PKCE: </w:t>
      </w:r>
      <w:r>
        <w:rPr>
          <w:rFonts w:ascii="Segoe UI" w:hAnsi="Segoe UI"/>
          <w:sz w:val="20"/>
        </w:rPr>
        <w:t>Recommended grant for user-facing applications. PKCE (Proof Key for Code Exchange) [RFC 7636] prevents authorisation code interception attacks by binding the code to a cryptographic verifier known only to the initiating client.</w:t>
      </w:r>
      <w:r>
        <w:rPr>
          <w:rFonts w:ascii="Segoe UI" w:hAnsi="Segoe UI"/>
          <w:b/>
          <w:color w:val="2E74B5"/>
          <w:sz w:val="16"/>
        </w:rPr>
        <w:t xml:space="preserve"> [3]</w:t>
      </w:r>
    </w:p>
    <w:p>
      <w:pPr>
        <w:spacing w:after="80"/>
      </w:pPr>
      <w:r>
        <w:rPr>
          <w:rFonts w:ascii="Segoe UI" w:hAnsi="Segoe UI"/>
          <w:b/>
          <w:color w:val="2E74B5"/>
          <w:sz w:val="20"/>
        </w:rPr>
        <w:t xml:space="preserve">Client Credentials: </w:t>
      </w:r>
      <w:r>
        <w:rPr>
          <w:rFonts w:ascii="Segoe UI" w:hAnsi="Segoe UI"/>
          <w:sz w:val="20"/>
        </w:rPr>
        <w:t>Machine-to-machine grant. No user involved. Service authenticates directly to token endpoint using client_id + client_secret (or certificate). Returns access token scoped to the service's permissions.</w:t>
      </w:r>
      <w:r>
        <w:rPr>
          <w:rFonts w:ascii="Segoe UI" w:hAnsi="Segoe UI"/>
          <w:b/>
          <w:color w:val="2E74B5"/>
          <w:sz w:val="16"/>
        </w:rPr>
        <w:t xml:space="preserve"> [3]</w:t>
      </w:r>
    </w:p>
    <w:p>
      <w:pPr>
        <w:spacing w:after="80"/>
      </w:pPr>
      <w:r>
        <w:rPr>
          <w:rFonts w:ascii="Segoe UI" w:hAnsi="Segoe UI"/>
          <w:b/>
          <w:color w:val="2E74B5"/>
          <w:sz w:val="20"/>
        </w:rPr>
        <w:t xml:space="preserve">Access Token: </w:t>
      </w:r>
      <w:r>
        <w:rPr>
          <w:rFonts w:ascii="Segoe UI" w:hAnsi="Segoe UI"/>
          <w:sz w:val="20"/>
        </w:rPr>
        <w:t>A credential representing the authorisation granted to the client. Typically a JWT. Scoped (contains 'scope' claim), time-limited (exp claim), and audience-constrained (aud claim).</w:t>
      </w:r>
      <w:r>
        <w:rPr>
          <w:rFonts w:ascii="Segoe UI" w:hAnsi="Segoe UI"/>
          <w:b/>
          <w:color w:val="2E74B5"/>
          <w:sz w:val="16"/>
        </w:rPr>
        <w:t xml:space="preserve"> [4]</w:t>
      </w:r>
    </w:p>
    <w:p>
      <w:pPr>
        <w:pStyle w:val="Heading2"/>
      </w:pPr>
      <w:r>
        <w:rPr>
          <w:rFonts w:ascii="Segoe UI" w:hAnsi="Segoe UI"/>
          <w:color w:val="2E74B5"/>
        </w:rPr>
        <w:t>4.3  OpenID Connect (OIDC)</w:t>
      </w:r>
    </w:p>
    <w:p>
      <w:pPr>
        <w:spacing w:after="120"/>
      </w:pPr>
      <w:r>
        <w:rPr>
          <w:rFonts w:ascii="Segoe UI" w:hAnsi="Segoe UI"/>
          <w:sz w:val="20"/>
        </w:rPr>
        <w:t xml:space="preserve">OpenID Connect [OpenID Foundation, 2014] adds an identity layer on top of OAuth 2.0. OIDC introduces the ID Token — a JWT containing claims about the authenticated user (sub, iss, aud, iat, exp, nonce). The UserInfo endpoint provides additional attributes. OIDC enables SSO while OAuth 2.0 provides API authorisation. </w:t>
      </w:r>
      <w:r>
        <w:rPr>
          <w:rFonts w:ascii="Segoe UI" w:hAnsi="Segoe UI"/>
          <w:b/>
          <w:color w:val="2E74B5"/>
          <w:sz w:val="16"/>
        </w:rPr>
        <w:t>[21]</w:t>
      </w:r>
    </w:p>
    <w:p>
      <w:pPr>
        <w:spacing w:after="80"/>
      </w:pPr>
      <w:r>
        <w:rPr>
          <w:rFonts w:ascii="Segoe UI" w:hAnsi="Segoe UI"/>
          <w:b/>
          <w:color w:val="2E74B5"/>
          <w:sz w:val="20"/>
        </w:rPr>
        <w:t xml:space="preserve">ID Token: </w:t>
      </w:r>
      <w:r>
        <w:rPr>
          <w:rFonts w:ascii="Segoe UI" w:hAnsi="Segoe UI"/>
          <w:sz w:val="20"/>
        </w:rPr>
        <w:t>A JWT asserting the user's identity. Must be validated: signature (RS256/ES256), issuer (iss == IdP), audience (aud == client_id), expiry (exp &gt; now), nonce (matches original request).</w:t>
      </w:r>
      <w:r>
        <w:rPr>
          <w:rFonts w:ascii="Segoe UI" w:hAnsi="Segoe UI"/>
          <w:b/>
          <w:color w:val="2E74B5"/>
          <w:sz w:val="16"/>
        </w:rPr>
        <w:t xml:space="preserve"> [21]</w:t>
      </w:r>
    </w:p>
    <w:p>
      <w:pPr>
        <w:spacing w:after="80"/>
      </w:pPr>
      <w:r>
        <w:rPr>
          <w:rFonts w:ascii="Segoe UI" w:hAnsi="Segoe UI"/>
          <w:b/>
          <w:color w:val="2E74B5"/>
          <w:sz w:val="20"/>
        </w:rPr>
        <w:t xml:space="preserve">sub Claim: </w:t>
      </w:r>
      <w:r>
        <w:rPr>
          <w:rFonts w:ascii="Segoe UI" w:hAnsi="Segoe UI"/>
          <w:sz w:val="20"/>
        </w:rPr>
        <w:t>Subject identifier — a stable, unique, opaque identifier for the user within the IdP. Do not use email as subject — it can change.</w:t>
      </w:r>
      <w:r>
        <w:rPr>
          <w:rFonts w:ascii="Segoe UI" w:hAnsi="Segoe UI"/>
          <w:b/>
          <w:color w:val="2E74B5"/>
          <w:sz w:val="16"/>
        </w:rPr>
        <w:t xml:space="preserve"> [21]</w:t>
      </w:r>
    </w:p>
    <w:p>
      <w:pPr>
        <w:pStyle w:val="Heading2"/>
      </w:pPr>
      <w:r>
        <w:rPr>
          <w:rFonts w:ascii="Segoe UI" w:hAnsi="Segoe UI"/>
          <w:color w:val="2E74B5"/>
        </w:rPr>
        <w:t>4.4  JWT Anatomy and Validation</w:t>
      </w:r>
    </w:p>
    <w:tbl>
      <w:tblPr>
        <w:tblStyle w:val="TableGrid"/>
        <w:tblW w:type="auto" w:w="0"/>
        <w:tblLook w:firstColumn="1" w:firstRow="1" w:lastColumn="0" w:lastRow="0" w:noHBand="0" w:noVBand="1" w:val="04A0"/>
      </w:tblPr>
      <w:tblGrid>
        <w:gridCol w:w="9122"/>
      </w:tblGrid>
      <w:tr>
        <w:tc>
          <w:tcPr>
            <w:tcW w:type="dxa" w:w="9122"/>
            <w:shd w:val="clear" w:color="auto" w:fill="FFF2CC"/>
          </w:tcPr>
          <w:p>
            <w:r>
              <w:rPr>
                <w:rFonts w:ascii="Segoe UI" w:hAnsi="Segoe UI"/>
                <w:b/>
                <w:color w:val="7F6000"/>
                <w:sz w:val="20"/>
              </w:rPr>
              <w:t xml:space="preserve">💡  ANALOGY — </w:t>
            </w:r>
            <w:r>
              <w:rPr>
                <w:rFonts w:ascii="Segoe UI" w:hAnsi="Segoe UI"/>
                <w:b/>
                <w:color w:val="7F6000"/>
                <w:sz w:val="20"/>
              </w:rPr>
              <w:t>THE SIGNED CHEQUE</w:t>
            </w:r>
          </w:p>
          <w:p>
            <w:r>
              <w:rPr>
                <w:rFonts w:ascii="Segoe UI" w:hAnsi="Segoe UI"/>
                <w:i/>
                <w:sz w:val="20"/>
              </w:rPr>
              <w:t>A JWT is like a signed cheque: it contains the payee (aud), the amount (scope/claims), the date (iat/exp), and the bank's signature (RS256 signature). Anyone can read the cheque (it's base64-encoded, not encrypted). But only the bank's genuine signature makes it valid. A cheque that's expired (exp in the past) or has been altered (signature mismatch) is worthless.</w:t>
            </w:r>
          </w:p>
        </w:tc>
      </w:tr>
    </w:tbl>
    <w:p/>
    <w:p>
      <w:pPr>
        <w:spacing w:after="120"/>
      </w:pPr>
      <w:r>
        <w:rPr>
          <w:rFonts w:ascii="Segoe UI" w:hAnsi="Segoe UI"/>
          <w:sz w:val="20"/>
        </w:rPr>
        <w:t xml:space="preserve">A JWT [RFC 7519] consists of three base64url-encoded parts separated by dots: Header.Payload.Signature. Header specifies the algorithm (alg: RS256) and key ID (kid). Payload contains claims. Signature is computed over Header+Payload using the IdP's private key. NEVER accept 'none' algorithm — this is a well-known attack that skips signature verification entirely. </w:t>
      </w:r>
      <w:r>
        <w:rPr>
          <w:rFonts w:ascii="Segoe UI" w:hAnsi="Segoe UI"/>
          <w:b/>
          <w:color w:val="2E74B5"/>
          <w:sz w:val="16"/>
        </w:rPr>
        <w:t>[4]</w:t>
      </w:r>
    </w:p>
    <w:p>
      <w:pPr>
        <w:pStyle w:val="Heading3"/>
      </w:pPr>
      <w:r>
        <w:rPr>
          <w:rFonts w:ascii="Segoe UI" w:hAnsi="Segoe UI"/>
          <w:color w:val="2E74B5"/>
        </w:rPr>
        <w:t>Self-Check Questions</w:t>
      </w:r>
    </w:p>
    <w:p>
      <w:r>
        <w:rPr>
          <w:rFonts w:ascii="Segoe UI" w:hAnsi="Segoe UI"/>
          <w:b/>
          <w:sz w:val="20"/>
        </w:rPr>
        <w:t xml:space="preserve">1. </w:t>
      </w:r>
      <w:r>
        <w:rPr>
          <w:rFonts w:ascii="Segoe UI" w:hAnsi="Segoe UI"/>
          <w:sz w:val="20"/>
        </w:rPr>
        <w:t>Draw the SAML SP-initiated SSO flow, naming every message and the direction it travels.</w:t>
      </w:r>
    </w:p>
    <w:p>
      <w:r>
        <w:rPr>
          <w:rFonts w:ascii="Segoe UI" w:hAnsi="Segoe UI"/>
          <w:b/>
          <w:sz w:val="20"/>
        </w:rPr>
        <w:t xml:space="preserve">2. </w:t>
      </w:r>
      <w:r>
        <w:rPr>
          <w:rFonts w:ascii="Segoe UI" w:hAnsi="Segoe UI"/>
          <w:sz w:val="20"/>
        </w:rPr>
        <w:t>Why is OAuth 2.0 not an authentication protocol? What problem does it actually solve?</w:t>
      </w:r>
    </w:p>
    <w:p>
      <w:r>
        <w:rPr>
          <w:rFonts w:ascii="Segoe UI" w:hAnsi="Segoe UI"/>
          <w:b/>
          <w:sz w:val="20"/>
        </w:rPr>
        <w:t xml:space="preserve">3. </w:t>
      </w:r>
      <w:r>
        <w:rPr>
          <w:rFonts w:ascii="Segoe UI" w:hAnsi="Segoe UI"/>
          <w:sz w:val="20"/>
        </w:rPr>
        <w:t>List the five validations that must be performed on an ID Token before trusting it.</w:t>
      </w:r>
    </w:p>
    <w:p>
      <w:r>
        <w:rPr>
          <w:rFonts w:ascii="Segoe UI" w:hAnsi="Segoe UI"/>
          <w:b/>
          <w:sz w:val="20"/>
        </w:rPr>
        <w:t xml:space="preserve">4. </w:t>
      </w:r>
      <w:r>
        <w:rPr>
          <w:rFonts w:ascii="Segoe UI" w:hAnsi="Segoe UI"/>
          <w:sz w:val="20"/>
        </w:rPr>
        <w:t>What is PKCE, and what specific attack does it prevent in the Authorisation Code flow?</w:t>
      </w:r>
    </w:p>
    <w:p>
      <w:r>
        <w:rPr>
          <w:rFonts w:ascii="Segoe UI" w:hAnsi="Segoe UI"/>
          <w:b/>
          <w:sz w:val="20"/>
        </w:rPr>
        <w:t xml:space="preserve">5. </w:t>
      </w:r>
      <w:r>
        <w:rPr>
          <w:rFonts w:ascii="Segoe UI" w:hAnsi="Segoe UI"/>
          <w:sz w:val="20"/>
        </w:rPr>
        <w:t>What is the 'none algorithm' attack on JWTs, and how do you prevent it?</w:t>
      </w:r>
    </w:p>
    <w:tbl>
      <w:tblPr>
        <w:tblStyle w:val="TableGrid"/>
        <w:tblW w:type="auto" w:w="0"/>
        <w:tblLook w:firstColumn="1" w:firstRow="1" w:lastColumn="0" w:lastRow="0" w:noHBand="0" w:noVBand="1" w:val="04A0"/>
      </w:tblPr>
      <w:tblGrid>
        <w:gridCol w:w="9122"/>
      </w:tblGrid>
      <w:tr>
        <w:tc>
          <w:tcPr>
            <w:tcW w:type="dxa" w:w="9122"/>
            <w:shd w:val="clear" w:color="auto" w:fill="E2EFDA"/>
          </w:tcPr>
          <w:p>
            <w:r>
              <w:rPr>
                <w:rFonts w:ascii="Segoe UI" w:hAnsi="Segoe UI"/>
                <w:b/>
                <w:color w:val="375E23"/>
                <w:sz w:val="20"/>
              </w:rPr>
              <w:t>🎯  INTERVIEW CHEAT SHEET</w:t>
            </w:r>
          </w:p>
          <w:p>
            <w:r>
              <w:rPr>
                <w:rFonts w:ascii="Segoe UI" w:hAnsi="Segoe UI"/>
                <w:sz w:val="20"/>
              </w:rPr>
              <w:t>• A developer asks why they should use OIDC instead of SAML for a new SPA. What is your recommendation?</w:t>
            </w:r>
          </w:p>
          <w:p>
            <w:r>
              <w:rPr>
                <w:rFonts w:ascii="Segoe UI" w:hAnsi="Segoe UI"/>
                <w:sz w:val="20"/>
              </w:rPr>
              <w:t>• Walk me through the difference between an ID Token and an Access Token.</w:t>
            </w:r>
          </w:p>
          <w:p>
            <w:r>
              <w:rPr>
                <w:rFonts w:ascii="Segoe UI" w:hAnsi="Segoe UI"/>
                <w:sz w:val="20"/>
              </w:rPr>
              <w:t>• What claims would you check to validate that a JWT was not tampered with?</w:t>
            </w:r>
          </w:p>
          <w:p>
            <w:r>
              <w:rPr>
                <w:rFonts w:ascii="Segoe UI" w:hAnsi="Segoe UI"/>
                <w:sz w:val="20"/>
              </w:rPr>
              <w:t>• Explain the Authorisation Code + PKCE flow from browser to token issuance.</w:t>
            </w:r>
          </w:p>
        </w:tc>
      </w:tr>
    </w:tbl>
    <w:p/>
    <w:p>
      <w:r>
        <w:br w:type="page"/>
      </w:r>
    </w:p>
    <w:p>
      <w:pPr>
        <w:pStyle w:val="Heading1"/>
      </w:pPr>
      <w:r>
        <w:rPr>
          <w:rFonts w:ascii="Segoe UI" w:hAnsi="Segoe UI"/>
          <w:color w:val="1F3964"/>
        </w:rPr>
        <w:t>Chapter 5: Privileged Access Management</w:t>
      </w:r>
    </w:p>
    <w:p>
      <w:pPr>
        <w:spacing w:after="120"/>
      </w:pPr>
      <w:r>
        <w:rPr>
          <w:rFonts w:ascii="Segoe UI" w:hAnsi="Segoe UI"/>
          <w:sz w:val="20"/>
        </w:rPr>
        <w:t xml:space="preserve">Privileged Access Management (PAM) is the set of controls, processes, and technologies that govern the use of elevated permissions. Privileged accounts — Domain Admins, root accounts, database administrators, service accounts — represent the highest-value targets for attackers. A compromised privileged account typically means full domain or cloud tenant compromise. </w:t>
      </w:r>
      <w:r>
        <w:rPr>
          <w:rFonts w:ascii="Segoe UI" w:hAnsi="Segoe UI"/>
          <w:b/>
          <w:color w:val="2E74B5"/>
          <w:sz w:val="16"/>
        </w:rPr>
        <w:t>[19][17]</w:t>
      </w:r>
    </w:p>
    <w:p>
      <w:pPr>
        <w:pStyle w:val="Heading2"/>
      </w:pPr>
      <w:r>
        <w:rPr>
          <w:rFonts w:ascii="Segoe UI" w:hAnsi="Segoe UI"/>
          <w:color w:val="2E74B5"/>
        </w:rPr>
        <w:t>5.1  The PAM Problem</w:t>
      </w:r>
    </w:p>
    <w:tbl>
      <w:tblPr>
        <w:tblStyle w:val="TableGrid"/>
        <w:tblW w:type="auto" w:w="0"/>
        <w:tblLook w:firstColumn="1" w:firstRow="1" w:lastColumn="0" w:lastRow="0" w:noHBand="0" w:noVBand="1" w:val="04A0"/>
      </w:tblPr>
      <w:tblGrid>
        <w:gridCol w:w="9122"/>
      </w:tblGrid>
      <w:tr>
        <w:tc>
          <w:tcPr>
            <w:tcW w:type="dxa" w:w="9122"/>
            <w:shd w:val="clear" w:color="auto" w:fill="FFF2CC"/>
          </w:tcPr>
          <w:p>
            <w:r>
              <w:rPr>
                <w:rFonts w:ascii="Segoe UI" w:hAnsi="Segoe UI"/>
                <w:b/>
                <w:color w:val="7F6000"/>
                <w:sz w:val="20"/>
              </w:rPr>
              <w:t xml:space="preserve">💡  ANALOGY — </w:t>
            </w:r>
            <w:r>
              <w:rPr>
                <w:rFonts w:ascii="Segoe UI" w:hAnsi="Segoe UI"/>
                <w:b/>
                <w:color w:val="7F6000"/>
                <w:sz w:val="20"/>
              </w:rPr>
              <w:t>THE MASTER KEY</w:t>
            </w:r>
          </w:p>
          <w:p>
            <w:r>
              <w:rPr>
                <w:rFonts w:ascii="Segoe UI" w:hAnsi="Segoe UI"/>
                <w:i/>
                <w:sz w:val="20"/>
              </w:rPr>
              <w:t>A privileged account is like the building's master key. In a well-run building, the master key is kept in a locked box, checked out only with a log entry and a reason, checked back in immediately after use, and the lock is changed if it's ever lost. In most enterprises without PAM, the master key is photocopied and hanging on 15 people's lanyards.</w:t>
            </w:r>
          </w:p>
        </w:tc>
      </w:tr>
    </w:tbl>
    <w:p/>
    <w:p>
      <w:pPr>
        <w:spacing w:after="120"/>
      </w:pPr>
      <w:r>
        <w:rPr>
          <w:rFonts w:ascii="Segoe UI" w:hAnsi="Segoe UI"/>
          <w:sz w:val="20"/>
        </w:rPr>
        <w:t xml:space="preserve">The Verizon DBIR consistently shows that credential abuse is the #1 initial access vector. Privileged credential abuse is the #1 path to full compromise. The three problems PAM solves: (1) Standing access — privileged accounts that are always active, always exposed. (2) Shared credentials — multiple admins share a single admin password with no accountability. (3) No session accountability — no recording of what was done with privileged access. </w:t>
      </w:r>
      <w:r>
        <w:rPr>
          <w:rFonts w:ascii="Segoe UI" w:hAnsi="Segoe UI"/>
          <w:b/>
          <w:color w:val="2E74B5"/>
          <w:sz w:val="16"/>
        </w:rPr>
        <w:t>[19]</w:t>
      </w:r>
    </w:p>
    <w:p>
      <w:pPr>
        <w:pStyle w:val="Heading2"/>
      </w:pPr>
      <w:r>
        <w:rPr>
          <w:rFonts w:ascii="Segoe UI" w:hAnsi="Segoe UI"/>
          <w:color w:val="2E74B5"/>
        </w:rPr>
        <w:t>5.2  CyberArk Architecture</w:t>
      </w:r>
    </w:p>
    <w:p>
      <w:pPr>
        <w:spacing w:after="120"/>
      </w:pPr>
      <w:r>
        <w:rPr>
          <w:rFonts w:ascii="Segoe UI" w:hAnsi="Segoe UI"/>
          <w:sz w:val="20"/>
        </w:rPr>
        <w:t xml:space="preserve">CyberArk Privileged Access Security (PAS) is the market-leading PAM platform for enterprise environments. Core components: Digital Vault (encrypted credential store), Central Policy Manager (CPM — automated password rotation), Privileged Session Manager (PSM — session proxy with recording), Application Identity Manager (AIM — eliminates hardcoded credentials in applications). </w:t>
      </w:r>
      <w:r>
        <w:rPr>
          <w:rFonts w:ascii="Segoe UI" w:hAnsi="Segoe UI"/>
          <w:b/>
          <w:color w:val="2E74B5"/>
          <w:sz w:val="16"/>
        </w:rPr>
        <w:t>[19]</w:t>
      </w:r>
    </w:p>
    <w:p>
      <w:pPr>
        <w:spacing w:after="80"/>
      </w:pPr>
      <w:r>
        <w:rPr>
          <w:rFonts w:ascii="Segoe UI" w:hAnsi="Segoe UI"/>
          <w:b/>
          <w:color w:val="2E74B5"/>
          <w:sz w:val="20"/>
        </w:rPr>
        <w:t xml:space="preserve">Digital Vault: </w:t>
      </w:r>
      <w:r>
        <w:rPr>
          <w:rFonts w:ascii="Segoe UI" w:hAnsi="Segoe UI"/>
          <w:sz w:val="20"/>
        </w:rPr>
        <w:t>Encrypted credential repository. Credentials never leave the vault in cleartext — PSM injects them directly into sessions without exposing them to the user.</w:t>
      </w:r>
      <w:r>
        <w:rPr>
          <w:rFonts w:ascii="Segoe UI" w:hAnsi="Segoe UI"/>
          <w:b/>
          <w:color w:val="2E74B5"/>
          <w:sz w:val="16"/>
        </w:rPr>
        <w:t xml:space="preserve"> [19]</w:t>
      </w:r>
    </w:p>
    <w:p>
      <w:pPr>
        <w:spacing w:after="80"/>
      </w:pPr>
      <w:r>
        <w:rPr>
          <w:rFonts w:ascii="Segoe UI" w:hAnsi="Segoe UI"/>
          <w:b/>
          <w:color w:val="2E74B5"/>
          <w:sz w:val="20"/>
        </w:rPr>
        <w:t xml:space="preserve">PSM (Privileged Session Manager): </w:t>
      </w:r>
      <w:r>
        <w:rPr>
          <w:rFonts w:ascii="Segoe UI" w:hAnsi="Segoe UI"/>
          <w:sz w:val="20"/>
        </w:rPr>
        <w:t>Session proxy that brokers connections to target systems. The administrator connects to PSM; PSM connects to the target using the vaulted credential. The admin never sees the password. Sessions are recorded.</w:t>
      </w:r>
      <w:r>
        <w:rPr>
          <w:rFonts w:ascii="Segoe UI" w:hAnsi="Segoe UI"/>
          <w:b/>
          <w:color w:val="2E74B5"/>
          <w:sz w:val="16"/>
        </w:rPr>
        <w:t xml:space="preserve"> [19]</w:t>
      </w:r>
    </w:p>
    <w:p>
      <w:pPr>
        <w:spacing w:after="80"/>
      </w:pPr>
      <w:r>
        <w:rPr>
          <w:rFonts w:ascii="Segoe UI" w:hAnsi="Segoe UI"/>
          <w:b/>
          <w:color w:val="2E74B5"/>
          <w:sz w:val="20"/>
        </w:rPr>
        <w:t xml:space="preserve">CPM (Central Policy Manager): </w:t>
      </w:r>
      <w:r>
        <w:rPr>
          <w:rFonts w:ascii="Segoe UI" w:hAnsi="Segoe UI"/>
          <w:sz w:val="20"/>
        </w:rPr>
        <w:t>Automated password rotation engine. Rotates passwords on schedule or on-demand. Verifies credentials after rotation. Handles platform-specific rotation (Windows, Linux, Oracle, MSSQL, network devices).</w:t>
      </w:r>
      <w:r>
        <w:rPr>
          <w:rFonts w:ascii="Segoe UI" w:hAnsi="Segoe UI"/>
          <w:b/>
          <w:color w:val="2E74B5"/>
          <w:sz w:val="16"/>
        </w:rPr>
        <w:t xml:space="preserve"> [19]</w:t>
      </w:r>
    </w:p>
    <w:p>
      <w:pPr>
        <w:pStyle w:val="Heading2"/>
      </w:pPr>
      <w:r>
        <w:rPr>
          <w:rFonts w:ascii="Segoe UI" w:hAnsi="Segoe UI"/>
          <w:color w:val="2E74B5"/>
        </w:rPr>
        <w:t>5.3  Azure PIM — Just-in-Time Privileged Access</w:t>
      </w:r>
    </w:p>
    <w:tbl>
      <w:tblPr>
        <w:tblStyle w:val="TableGrid"/>
        <w:tblW w:type="auto" w:w="0"/>
        <w:tblLook w:firstColumn="1" w:firstRow="1" w:lastColumn="0" w:lastRow="0" w:noHBand="0" w:noVBand="1" w:val="04A0"/>
      </w:tblPr>
      <w:tblGrid>
        <w:gridCol w:w="9122"/>
      </w:tblGrid>
      <w:tr>
        <w:tc>
          <w:tcPr>
            <w:tcW w:type="dxa" w:w="9122"/>
            <w:shd w:val="clear" w:color="auto" w:fill="FFF2CC"/>
          </w:tcPr>
          <w:p>
            <w:r>
              <w:rPr>
                <w:rFonts w:ascii="Segoe UI" w:hAnsi="Segoe UI"/>
                <w:b/>
                <w:color w:val="7F6000"/>
                <w:sz w:val="20"/>
              </w:rPr>
              <w:t xml:space="preserve">💡  ANALOGY — </w:t>
            </w:r>
            <w:r>
              <w:rPr>
                <w:rFonts w:ascii="Segoe UI" w:hAnsi="Segoe UI"/>
                <w:b/>
                <w:color w:val="7F6000"/>
                <w:sz w:val="20"/>
              </w:rPr>
              <w:t>THE SURGEON'S SCRUB-IN</w:t>
            </w:r>
          </w:p>
          <w:p>
            <w:r>
              <w:rPr>
                <w:rFonts w:ascii="Segoe UI" w:hAnsi="Segoe UI"/>
                <w:i/>
                <w:sz w:val="20"/>
              </w:rPr>
              <w:t>Azure PIM is like surgical scrub-in. The surgeon doesn't walk around the hospital with sterile gloves on all day — that would be wasteful and would constantly contaminate the gloves. She scrubs in (activates the role), performs the operation (completes the task), and scrubs out (deactivates). The sterile environment is only maintained for as long as needed.</w:t>
            </w:r>
          </w:p>
        </w:tc>
      </w:tr>
    </w:tbl>
    <w:p/>
    <w:p>
      <w:pPr>
        <w:spacing w:after="120"/>
      </w:pPr>
      <w:r>
        <w:rPr>
          <w:rFonts w:ascii="Segoe UI" w:hAnsi="Segoe UI"/>
          <w:sz w:val="20"/>
        </w:rPr>
        <w:t xml:space="preserve">Azure AD Privileged Identity Management (PIM) implements Just-in-Time (JIT) access for Entra ID roles. Users are assigned as 'eligible' rather than 'permanently active'. To use a privileged role, the user activates it — triggering MFA, justification entry, and optionally manager approval. The role is active for a defined window (1-8 hours) then automatically deactivates. </w:t>
      </w:r>
      <w:r>
        <w:rPr>
          <w:rFonts w:ascii="Segoe UI" w:hAnsi="Segoe UI"/>
          <w:b/>
          <w:color w:val="2E74B5"/>
          <w:sz w:val="16"/>
        </w:rPr>
        <w:t>[8]</w:t>
      </w:r>
    </w:p>
    <w:p>
      <w:pPr>
        <w:spacing w:after="80"/>
      </w:pPr>
      <w:r>
        <w:rPr>
          <w:rFonts w:ascii="Segoe UI" w:hAnsi="Segoe UI"/>
          <w:b/>
          <w:color w:val="2E74B5"/>
          <w:sz w:val="20"/>
        </w:rPr>
        <w:t xml:space="preserve">Eligible Assignment: </w:t>
      </w:r>
      <w:r>
        <w:rPr>
          <w:rFonts w:ascii="Segoe UI" w:hAnsi="Segoe UI"/>
          <w:sz w:val="20"/>
        </w:rPr>
        <w:t>User can request activation of the role but is not permanently active. Safest configuration for privileged roles.</w:t>
      </w:r>
      <w:r>
        <w:rPr>
          <w:rFonts w:ascii="Segoe UI" w:hAnsi="Segoe UI"/>
          <w:b/>
          <w:color w:val="2E74B5"/>
          <w:sz w:val="16"/>
        </w:rPr>
        <w:t xml:space="preserve"> [8]</w:t>
      </w:r>
    </w:p>
    <w:p>
      <w:pPr>
        <w:spacing w:after="80"/>
      </w:pPr>
      <w:r>
        <w:rPr>
          <w:rFonts w:ascii="Segoe UI" w:hAnsi="Segoe UI"/>
          <w:b/>
          <w:color w:val="2E74B5"/>
          <w:sz w:val="20"/>
        </w:rPr>
        <w:t xml:space="preserve">Active Assignment: </w:t>
      </w:r>
      <w:r>
        <w:rPr>
          <w:rFonts w:ascii="Segoe UI" w:hAnsi="Segoe UI"/>
          <w:sz w:val="20"/>
        </w:rPr>
        <w:t>User is permanently in the role — no activation required. Should be reserved for break-glass accounts or service accounts only.</w:t>
      </w:r>
      <w:r>
        <w:rPr>
          <w:rFonts w:ascii="Segoe UI" w:hAnsi="Segoe UI"/>
          <w:b/>
          <w:color w:val="2E74B5"/>
          <w:sz w:val="16"/>
        </w:rPr>
        <w:t xml:space="preserve"> [8]</w:t>
      </w:r>
    </w:p>
    <w:p>
      <w:pPr>
        <w:pStyle w:val="Heading2"/>
      </w:pPr>
      <w:r>
        <w:rPr>
          <w:rFonts w:ascii="Segoe UI" w:hAnsi="Segoe UI"/>
          <w:color w:val="2E74B5"/>
        </w:rPr>
        <w:t>5.4  Windows LAPS</w:t>
      </w:r>
    </w:p>
    <w:p>
      <w:pPr>
        <w:spacing w:after="120"/>
      </w:pPr>
      <w:r>
        <w:rPr>
          <w:rFonts w:ascii="Segoe UI" w:hAnsi="Segoe UI"/>
          <w:sz w:val="20"/>
        </w:rPr>
        <w:t xml:space="preserve">Local Administrator Password Solution (LAPS) manages unique, rotated local administrator passwords for every domain-joined machine. Without LAPS, a common pattern is the same local admin password across all machines — a single credential compromise enables lateral movement to every endpoint. LAPS stores the password in AD (Legacy LAPS: ms-Mcs-AdmPwd; Windows LAPS: msLAPS-Password), protected by ACL. </w:t>
      </w:r>
      <w:r>
        <w:rPr>
          <w:rFonts w:ascii="Segoe UI" w:hAnsi="Segoe UI"/>
          <w:b/>
          <w:color w:val="2E74B5"/>
          <w:sz w:val="16"/>
        </w:rPr>
        <w:t>[17]</w:t>
      </w:r>
    </w:p>
    <w:p>
      <w:pPr>
        <w:pStyle w:val="Heading2"/>
      </w:pPr>
      <w:r>
        <w:rPr>
          <w:rFonts w:ascii="Segoe UI" w:hAnsi="Segoe UI"/>
          <w:color w:val="2E74B5"/>
        </w:rPr>
        <w:t>5.5  Break-Glass Accounts</w:t>
      </w:r>
    </w:p>
    <w:tbl>
      <w:tblPr>
        <w:tblStyle w:val="TableGrid"/>
        <w:tblW w:type="auto" w:w="0"/>
        <w:tblLook w:firstColumn="1" w:firstRow="1" w:lastColumn="0" w:lastRow="0" w:noHBand="0" w:noVBand="1" w:val="04A0"/>
      </w:tblPr>
      <w:tblGrid>
        <w:gridCol w:w="9122"/>
      </w:tblGrid>
      <w:tr>
        <w:tc>
          <w:tcPr>
            <w:tcW w:type="dxa" w:w="9122"/>
            <w:shd w:val="clear" w:color="auto" w:fill="FFF2CC"/>
          </w:tcPr>
          <w:p>
            <w:r>
              <w:rPr>
                <w:rFonts w:ascii="Segoe UI" w:hAnsi="Segoe UI"/>
                <w:b/>
                <w:color w:val="7F6000"/>
                <w:sz w:val="20"/>
              </w:rPr>
              <w:t xml:space="preserve">💡  ANALOGY — </w:t>
            </w:r>
            <w:r>
              <w:rPr>
                <w:rFonts w:ascii="Segoe UI" w:hAnsi="Segoe UI"/>
                <w:b/>
                <w:color w:val="7F6000"/>
                <w:sz w:val="20"/>
              </w:rPr>
              <w:t>THE FIRE EXTINGUISHER CASE</w:t>
            </w:r>
          </w:p>
          <w:p>
            <w:r>
              <w:rPr>
                <w:rFonts w:ascii="Segoe UI" w:hAnsi="Segoe UI"/>
                <w:i/>
                <w:sz w:val="20"/>
              </w:rPr>
              <w:t>Break-glass accounts are like fire extinguisher cases — they must be immediately accessible in an emergency but sealed under normal conditions. Breaking the glass (using the account) is an immediate alarm. In Azure, break-glass accounts should be: cloud-only (not synced — can't be affected by on-prem outage), FIDO2-only (can't be phished), excluded from CA policies (can always sign in), and monitored so any sign-in triggers a P0 alert.</w:t>
            </w:r>
          </w:p>
        </w:tc>
      </w:tr>
    </w:tbl>
    <w:p/>
    <w:p>
      <w:pPr>
        <w:pStyle w:val="Heading3"/>
      </w:pPr>
      <w:r>
        <w:rPr>
          <w:rFonts w:ascii="Segoe UI" w:hAnsi="Segoe UI"/>
          <w:color w:val="2E74B5"/>
        </w:rPr>
        <w:t>Self-Check Questions</w:t>
      </w:r>
    </w:p>
    <w:p>
      <w:r>
        <w:rPr>
          <w:rFonts w:ascii="Segoe UI" w:hAnsi="Segoe UI"/>
          <w:b/>
          <w:sz w:val="20"/>
        </w:rPr>
        <w:t xml:space="preserve">1. </w:t>
      </w:r>
      <w:r>
        <w:rPr>
          <w:rFonts w:ascii="Segoe UI" w:hAnsi="Segoe UI"/>
          <w:sz w:val="20"/>
        </w:rPr>
        <w:t>What are the three main problems PAM solves? Give a concrete example of each.</w:t>
      </w:r>
    </w:p>
    <w:p>
      <w:r>
        <w:rPr>
          <w:rFonts w:ascii="Segoe UI" w:hAnsi="Segoe UI"/>
          <w:b/>
          <w:sz w:val="20"/>
        </w:rPr>
        <w:t xml:space="preserve">2. </w:t>
      </w:r>
      <w:r>
        <w:rPr>
          <w:rFonts w:ascii="Segoe UI" w:hAnsi="Segoe UI"/>
          <w:sz w:val="20"/>
        </w:rPr>
        <w:t>Explain the difference between CyberArk's CPM and PSM. When does each activate?</w:t>
      </w:r>
    </w:p>
    <w:p>
      <w:r>
        <w:rPr>
          <w:rFonts w:ascii="Segoe UI" w:hAnsi="Segoe UI"/>
          <w:b/>
          <w:sz w:val="20"/>
        </w:rPr>
        <w:t xml:space="preserve">3. </w:t>
      </w:r>
      <w:r>
        <w:rPr>
          <w:rFonts w:ascii="Segoe UI" w:hAnsi="Segoe UI"/>
          <w:sz w:val="20"/>
        </w:rPr>
        <w:t>What is the difference between 'eligible' and 'active' PIM assignment? When is 'active' appropriate?</w:t>
      </w:r>
    </w:p>
    <w:p>
      <w:r>
        <w:rPr>
          <w:rFonts w:ascii="Segoe UI" w:hAnsi="Segoe UI"/>
          <w:b/>
          <w:sz w:val="20"/>
        </w:rPr>
        <w:t xml:space="preserve">4. </w:t>
      </w:r>
      <w:r>
        <w:rPr>
          <w:rFonts w:ascii="Segoe UI" w:hAnsi="Segoe UI"/>
          <w:sz w:val="20"/>
        </w:rPr>
        <w:t>A breach investigation reveals a lateral movement path from a compromised workstation to 40 servers all using the same local admin password. How would LAPS have prevented this?</w:t>
      </w:r>
    </w:p>
    <w:p>
      <w:r>
        <w:rPr>
          <w:rFonts w:ascii="Segoe UI" w:hAnsi="Segoe UI"/>
          <w:b/>
          <w:sz w:val="20"/>
        </w:rPr>
        <w:t xml:space="preserve">5. </w:t>
      </w:r>
      <w:r>
        <w:rPr>
          <w:rFonts w:ascii="Segoe UI" w:hAnsi="Segoe UI"/>
          <w:sz w:val="20"/>
        </w:rPr>
        <w:t>List the four properties a break-glass account must have and explain why each matters.</w:t>
      </w:r>
    </w:p>
    <w:tbl>
      <w:tblPr>
        <w:tblStyle w:val="TableGrid"/>
        <w:tblW w:type="auto" w:w="0"/>
        <w:tblLook w:firstColumn="1" w:firstRow="1" w:lastColumn="0" w:lastRow="0" w:noHBand="0" w:noVBand="1" w:val="04A0"/>
      </w:tblPr>
      <w:tblGrid>
        <w:gridCol w:w="9122"/>
      </w:tblGrid>
      <w:tr>
        <w:tc>
          <w:tcPr>
            <w:tcW w:type="dxa" w:w="9122"/>
            <w:shd w:val="clear" w:color="auto" w:fill="E2EFDA"/>
          </w:tcPr>
          <w:p>
            <w:r>
              <w:rPr>
                <w:rFonts w:ascii="Segoe UI" w:hAnsi="Segoe UI"/>
                <w:b/>
                <w:color w:val="375E23"/>
                <w:sz w:val="20"/>
              </w:rPr>
              <w:t>🎯  INTERVIEW CHEAT SHEET</w:t>
            </w:r>
          </w:p>
          <w:p>
            <w:r>
              <w:rPr>
                <w:rFonts w:ascii="Segoe UI" w:hAnsi="Segoe UI"/>
                <w:sz w:val="20"/>
              </w:rPr>
              <w:t>• A vendor VPN account was used in a ransomware attack with a 14-day dwell time. How would CyberArk PSM have changed the outcome?</w:t>
            </w:r>
          </w:p>
          <w:p>
            <w:r>
              <w:rPr>
                <w:rFonts w:ascii="Segoe UI" w:hAnsi="Segoe UI"/>
                <w:sz w:val="20"/>
              </w:rPr>
              <w:t>• Walk me through how JIT access works in Azure PIM from the user's perspective and the audit trail it creates.</w:t>
            </w:r>
          </w:p>
          <w:p>
            <w:r>
              <w:rPr>
                <w:rFonts w:ascii="Segoe UI" w:hAnsi="Segoe UI"/>
                <w:sz w:val="20"/>
              </w:rPr>
              <w:t>• What is the LAPS attribute in Active Directory, and what ACL should protect it?</w:t>
            </w:r>
          </w:p>
          <w:p>
            <w:r>
              <w:rPr>
                <w:rFonts w:ascii="Segoe UI" w:hAnsi="Segoe UI"/>
                <w:sz w:val="20"/>
              </w:rPr>
              <w:t>• How do you design a break-glass account strategy for an Entra ID tenant?</w:t>
            </w:r>
          </w:p>
        </w:tc>
      </w:tr>
    </w:tbl>
    <w:p/>
    <w:p>
      <w:r>
        <w:br w:type="page"/>
      </w:r>
    </w:p>
    <w:p>
      <w:pPr>
        <w:pStyle w:val="Heading1"/>
      </w:pPr>
      <w:r>
        <w:rPr>
          <w:rFonts w:ascii="Segoe UI" w:hAnsi="Segoe UI"/>
          <w:color w:val="1F3964"/>
        </w:rPr>
        <w:t>Chapter 6: Zero Trust Architecture</w:t>
      </w:r>
    </w:p>
    <w:p>
      <w:pPr>
        <w:spacing w:after="120"/>
      </w:pPr>
      <w:r>
        <w:rPr>
          <w:rFonts w:ascii="Segoe UI" w:hAnsi="Segoe UI"/>
          <w:sz w:val="20"/>
        </w:rPr>
        <w:t xml:space="preserve">Zero Trust is an architectural philosophy, not a product. Its core principle: 'Never trust, always verify.' Rather than assuming that anything inside the network perimeter is safe, Zero Trust treats every access request as if it originates from an untrusted network — regardless of source IP address, network segment, or prior authentication. </w:t>
      </w:r>
      <w:r>
        <w:rPr>
          <w:rFonts w:ascii="Segoe UI" w:hAnsi="Segoe UI"/>
          <w:b/>
          <w:color w:val="2E74B5"/>
          <w:sz w:val="16"/>
        </w:rPr>
        <w:t>[2][6]</w:t>
      </w:r>
    </w:p>
    <w:p>
      <w:pPr>
        <w:pStyle w:val="Heading2"/>
      </w:pPr>
      <w:r>
        <w:rPr>
          <w:rFonts w:ascii="Segoe UI" w:hAnsi="Segoe UI"/>
          <w:color w:val="2E74B5"/>
        </w:rPr>
        <w:t>6.1  NIST SP 800-207 Tenets</w:t>
      </w:r>
    </w:p>
    <w:p>
      <w:pPr>
        <w:spacing w:after="120"/>
      </w:pPr>
      <w:r>
        <w:rPr>
          <w:rFonts w:ascii="Segoe UI" w:hAnsi="Segoe UI"/>
          <w:sz w:val="20"/>
        </w:rPr>
        <w:t xml:space="preserve">NIST SP 800-207 defines seven tenets of Zero Trust that together eliminate implicit trust from the network model. </w:t>
      </w:r>
      <w:r>
        <w:rPr>
          <w:rFonts w:ascii="Segoe UI" w:hAnsi="Segoe UI"/>
          <w:b/>
          <w:color w:val="2E74B5"/>
          <w:sz w:val="16"/>
        </w:rPr>
        <w:t>[2]</w:t>
      </w:r>
    </w:p>
    <w:p>
      <w:pPr>
        <w:pStyle w:val="ListBullet"/>
      </w:pPr>
      <w:r>
        <w:rPr>
          <w:rFonts w:ascii="Segoe UI" w:hAnsi="Segoe UI"/>
          <w:sz w:val="20"/>
        </w:rPr>
        <w:t>All data sources and computing services are resources (including personal devices on corporate networks).</w:t>
      </w:r>
    </w:p>
    <w:p>
      <w:pPr>
        <w:pStyle w:val="ListBullet"/>
      </w:pPr>
      <w:r>
        <w:rPr>
          <w:rFonts w:ascii="Segoe UI" w:hAnsi="Segoe UI"/>
          <w:sz w:val="20"/>
        </w:rPr>
        <w:t>All communication is secured regardless of network location (TLS everywhere, mTLS for east-west).</w:t>
      </w:r>
    </w:p>
    <w:p>
      <w:pPr>
        <w:pStyle w:val="ListBullet"/>
      </w:pPr>
      <w:r>
        <w:rPr>
          <w:rFonts w:ascii="Segoe UI" w:hAnsi="Segoe UI"/>
          <w:sz w:val="20"/>
        </w:rPr>
        <w:t>Access to individual enterprise resources is granted per-session (no standing network access).</w:t>
      </w:r>
    </w:p>
    <w:p>
      <w:pPr>
        <w:pStyle w:val="ListBullet"/>
      </w:pPr>
      <w:r>
        <w:rPr>
          <w:rFonts w:ascii="Segoe UI" w:hAnsi="Segoe UI"/>
          <w:sz w:val="20"/>
        </w:rPr>
        <w:t>Access is determined by dynamic policy including observable state of client identity, application, and requesting asset.</w:t>
      </w:r>
    </w:p>
    <w:p>
      <w:pPr>
        <w:pStyle w:val="ListBullet"/>
      </w:pPr>
      <w:r>
        <w:rPr>
          <w:rFonts w:ascii="Segoe UI" w:hAnsi="Segoe UI"/>
          <w:sz w:val="20"/>
        </w:rPr>
        <w:t>The enterprise monitors and measures the integrity and security posture of all owned and associated assets.</w:t>
      </w:r>
    </w:p>
    <w:p>
      <w:pPr>
        <w:pStyle w:val="ListBullet"/>
      </w:pPr>
      <w:r>
        <w:rPr>
          <w:rFonts w:ascii="Segoe UI" w:hAnsi="Segoe UI"/>
          <w:sz w:val="20"/>
        </w:rPr>
        <w:t>All resource authentication and authorisation are dynamic and strictly enforced before access is allowed.</w:t>
      </w:r>
    </w:p>
    <w:p>
      <w:pPr>
        <w:pStyle w:val="ListBullet"/>
      </w:pPr>
      <w:r>
        <w:rPr>
          <w:rFonts w:ascii="Segoe UI" w:hAnsi="Segoe UI"/>
          <w:sz w:val="20"/>
        </w:rPr>
        <w:t>The enterprise collects as much information as possible about the current state of assets, network infrastructure, and communications.</w:t>
      </w:r>
    </w:p>
    <w:p>
      <w:pPr>
        <w:pStyle w:val="Heading2"/>
      </w:pPr>
      <w:r>
        <w:rPr>
          <w:rFonts w:ascii="Segoe UI" w:hAnsi="Segoe UI"/>
          <w:color w:val="2E74B5"/>
        </w:rPr>
        <w:t>6.2  CISA Zero Trust Maturity Model</w:t>
      </w:r>
    </w:p>
    <w:tbl>
      <w:tblPr>
        <w:tblStyle w:val="TableGrid"/>
        <w:tblW w:type="auto" w:w="0"/>
        <w:tblLook w:firstColumn="1" w:firstRow="1" w:lastColumn="0" w:lastRow="0" w:noHBand="0" w:noVBand="1" w:val="04A0"/>
      </w:tblPr>
      <w:tblGrid>
        <w:gridCol w:w="9122"/>
      </w:tblGrid>
      <w:tr>
        <w:tc>
          <w:tcPr>
            <w:tcW w:type="dxa" w:w="9122"/>
            <w:shd w:val="clear" w:color="auto" w:fill="FFF2CC"/>
          </w:tcPr>
          <w:p>
            <w:r>
              <w:rPr>
                <w:rFonts w:ascii="Segoe UI" w:hAnsi="Segoe UI"/>
                <w:b/>
                <w:color w:val="7F6000"/>
                <w:sz w:val="20"/>
              </w:rPr>
              <w:t xml:space="preserve">💡  ANALOGY — </w:t>
            </w:r>
            <w:r>
              <w:rPr>
                <w:rFonts w:ascii="Segoe UI" w:hAnsi="Segoe UI"/>
                <w:b/>
                <w:color w:val="7F6000"/>
                <w:sz w:val="20"/>
              </w:rPr>
              <w:t>THE SECURITY BELT SYSTEM</w:t>
            </w:r>
          </w:p>
          <w:p>
            <w:r>
              <w:rPr>
                <w:rFonts w:ascii="Segoe UI" w:hAnsi="Segoe UI"/>
                <w:i/>
                <w:sz w:val="20"/>
              </w:rPr>
              <w:t>The CISA ZT Maturity Model works like a martial arts belt system. Traditional (white belt): castle-and-moat, VPN, perimeter trust. Advanced (coloured belt): MFA deployed, some device compliance, identity-based CA policies. Optimal (black belt): every access decision is contextual, continuous, and automated across all five pillars simultaneously.</w:t>
            </w:r>
          </w:p>
        </w:tc>
      </w:tr>
    </w:tbl>
    <w:p/>
    <w:p>
      <w:pPr>
        <w:spacing w:after="120"/>
      </w:pPr>
      <w:r>
        <w:rPr>
          <w:rFonts w:ascii="Segoe UI" w:hAnsi="Segoe UI"/>
          <w:sz w:val="20"/>
        </w:rPr>
        <w:t xml:space="preserve">The CISA Zero Trust Maturity Model v2.0 defines five pillars and three maturity stages (Traditional, Advanced, Optimal). The five pillars are: Identity, Device, Network, Application, and Data. Progress in each pillar is independent — an organisation can be Optimal in Identity and Traditional in Data. </w:t>
      </w:r>
      <w:r>
        <w:rPr>
          <w:rFonts w:ascii="Segoe UI" w:hAnsi="Segoe UI"/>
          <w:b/>
          <w:color w:val="2E74B5"/>
          <w:sz w:val="16"/>
        </w:rPr>
        <w:t>[6]</w:t>
      </w:r>
    </w:p>
    <w:p>
      <w:pPr>
        <w:pStyle w:val="Heading2"/>
      </w:pPr>
      <w:r>
        <w:rPr>
          <w:rFonts w:ascii="Segoe UI" w:hAnsi="Segoe UI"/>
          <w:color w:val="2E74B5"/>
        </w:rPr>
        <w:t>6.3  Conditional Access — Tiered Model</w:t>
      </w:r>
    </w:p>
    <w:p>
      <w:pPr>
        <w:spacing w:after="120"/>
      </w:pPr>
      <w:r>
        <w:rPr>
          <w:rFonts w:ascii="Segoe UI" w:hAnsi="Segoe UI"/>
          <w:sz w:val="20"/>
        </w:rPr>
        <w:t xml:space="preserve">Microsoft's Conditional Access (CA) is the Zero Trust policy engine for Entra ID. A tiered CA policy framework provides defence in depth: no single policy covers all scenarios, and each tier addresses a specific threat class. </w:t>
      </w:r>
      <w:r>
        <w:rPr>
          <w:rFonts w:ascii="Segoe UI" w:hAnsi="Segoe UI"/>
          <w:b/>
          <w:color w:val="2E74B5"/>
          <w:sz w:val="16"/>
        </w:rPr>
        <w:t>[8]</w:t>
      </w:r>
    </w:p>
    <w:p>
      <w:pPr>
        <w:spacing w:after="80"/>
      </w:pPr>
      <w:r>
        <w:rPr>
          <w:rFonts w:ascii="Segoe UI" w:hAnsi="Segoe UI"/>
          <w:b/>
          <w:color w:val="2E74B5"/>
          <w:sz w:val="20"/>
        </w:rPr>
        <w:t xml:space="preserve">Tier B (Baseline): </w:t>
      </w:r>
      <w:r>
        <w:rPr>
          <w:rFonts w:ascii="Segoe UI" w:hAnsi="Segoe UI"/>
          <w:sz w:val="20"/>
        </w:rPr>
        <w:t>Block legacy authentication; require MFA for all users. Non-negotiable minimum. Blocks credential stuffing and password spray that rely on legacy auth protocols (IMAP, POP3, SMTP AUTH).</w:t>
      </w:r>
      <w:r>
        <w:rPr>
          <w:rFonts w:ascii="Segoe UI" w:hAnsi="Segoe UI"/>
          <w:b/>
          <w:color w:val="2E74B5"/>
          <w:sz w:val="16"/>
        </w:rPr>
        <w:t xml:space="preserve"> [8]</w:t>
      </w:r>
    </w:p>
    <w:p>
      <w:pPr>
        <w:spacing w:after="80"/>
      </w:pPr>
      <w:r>
        <w:rPr>
          <w:rFonts w:ascii="Segoe UI" w:hAnsi="Segoe UI"/>
          <w:b/>
          <w:color w:val="2E74B5"/>
          <w:sz w:val="20"/>
        </w:rPr>
        <w:t xml:space="preserve">Tier I (Identity Protection): </w:t>
      </w:r>
      <w:r>
        <w:rPr>
          <w:rFonts w:ascii="Segoe UI" w:hAnsi="Segoe UI"/>
          <w:sz w:val="20"/>
        </w:rPr>
        <w:t>Sign-in risk ≥ Medium → require MFA; User risk High → require password change. Requires Entra ID P2. Integrates Microsoft's threat intelligence to step up authentication on suspicious signals.</w:t>
      </w:r>
      <w:r>
        <w:rPr>
          <w:rFonts w:ascii="Segoe UI" w:hAnsi="Segoe UI"/>
          <w:b/>
          <w:color w:val="2E74B5"/>
          <w:sz w:val="16"/>
        </w:rPr>
        <w:t xml:space="preserve"> [8]</w:t>
      </w:r>
    </w:p>
    <w:p>
      <w:pPr>
        <w:spacing w:after="80"/>
      </w:pPr>
      <w:r>
        <w:rPr>
          <w:rFonts w:ascii="Segoe UI" w:hAnsi="Segoe UI"/>
          <w:b/>
          <w:color w:val="2E74B5"/>
          <w:sz w:val="20"/>
        </w:rPr>
        <w:t xml:space="preserve">Tier D (Device): </w:t>
      </w:r>
      <w:r>
        <w:rPr>
          <w:rFonts w:ascii="Segoe UI" w:hAnsi="Segoe UI"/>
          <w:sz w:val="20"/>
        </w:rPr>
        <w:t>Require Intune-compliant device for sensitive applications; session controls for unmanaged devices. BYOD scenario: allow access via browser with limited download/print capability.</w:t>
      </w:r>
      <w:r>
        <w:rPr>
          <w:rFonts w:ascii="Segoe UI" w:hAnsi="Segoe UI"/>
          <w:b/>
          <w:color w:val="2E74B5"/>
          <w:sz w:val="16"/>
        </w:rPr>
        <w:t xml:space="preserve"> [8]</w:t>
      </w:r>
    </w:p>
    <w:p>
      <w:pPr>
        <w:spacing w:after="80"/>
      </w:pPr>
      <w:r>
        <w:rPr>
          <w:rFonts w:ascii="Segoe UI" w:hAnsi="Segoe UI"/>
          <w:b/>
          <w:color w:val="2E74B5"/>
          <w:sz w:val="20"/>
        </w:rPr>
        <w:t xml:space="preserve">Tier P (Privileged): </w:t>
      </w:r>
      <w:r>
        <w:rPr>
          <w:rFonts w:ascii="Segoe UI" w:hAnsi="Segoe UI"/>
          <w:sz w:val="20"/>
        </w:rPr>
        <w:t>Admin roles require phishing-resistant MFA (FIDO2/smart card) + PAW location requirement. Prevents credential phishing from affecting privileged accounts.</w:t>
      </w:r>
      <w:r>
        <w:rPr>
          <w:rFonts w:ascii="Segoe UI" w:hAnsi="Segoe UI"/>
          <w:b/>
          <w:color w:val="2E74B5"/>
          <w:sz w:val="16"/>
        </w:rPr>
        <w:t xml:space="preserve"> [8]</w:t>
      </w:r>
    </w:p>
    <w:p>
      <w:pPr>
        <w:pStyle w:val="Heading2"/>
      </w:pPr>
      <w:r>
        <w:rPr>
          <w:rFonts w:ascii="Segoe UI" w:hAnsi="Segoe UI"/>
          <w:color w:val="2E74B5"/>
        </w:rPr>
        <w:t>6.4  Continuous Access Evaluation (CAE)</w:t>
      </w:r>
    </w:p>
    <w:tbl>
      <w:tblPr>
        <w:tblStyle w:val="TableGrid"/>
        <w:tblW w:type="auto" w:w="0"/>
        <w:tblLook w:firstColumn="1" w:firstRow="1" w:lastColumn="0" w:lastRow="0" w:noHBand="0" w:noVBand="1" w:val="04A0"/>
      </w:tblPr>
      <w:tblGrid>
        <w:gridCol w:w="9122"/>
      </w:tblGrid>
      <w:tr>
        <w:tc>
          <w:tcPr>
            <w:tcW w:type="dxa" w:w="9122"/>
            <w:shd w:val="clear" w:color="auto" w:fill="FFF2CC"/>
          </w:tcPr>
          <w:p>
            <w:r>
              <w:rPr>
                <w:rFonts w:ascii="Segoe UI" w:hAnsi="Segoe UI"/>
                <w:b/>
                <w:color w:val="7F6000"/>
                <w:sz w:val="20"/>
              </w:rPr>
              <w:t xml:space="preserve">💡  ANALOGY — </w:t>
            </w:r>
            <w:r>
              <w:rPr>
                <w:rFonts w:ascii="Segoe UI" w:hAnsi="Segoe UI"/>
                <w:b/>
                <w:color w:val="7F6000"/>
                <w:sz w:val="20"/>
              </w:rPr>
              <w:t>THE LIBRARY BOOK SCANNER</w:t>
            </w:r>
          </w:p>
          <w:p>
            <w:r>
              <w:rPr>
                <w:rFonts w:ascii="Segoe UI" w:hAnsi="Segoe UI"/>
                <w:i/>
                <w:sz w:val="20"/>
              </w:rPr>
              <w:t>Traditional token-based auth is like borrowing a library book on Monday — you can keep it until the due date (token expiry) regardless of what happens at the library. CAE is like the library installing a continuous-scan system: if the book is reported stolen (account disabled), or the library changes policy (risk level changes), your access is revoked mid-loan rather than waiting for renewal.</w:t>
            </w:r>
          </w:p>
        </w:tc>
      </w:tr>
    </w:tbl>
    <w:p/>
    <w:p>
      <w:pPr>
        <w:spacing w:after="120"/>
      </w:pPr>
      <w:r>
        <w:rPr>
          <w:rFonts w:ascii="Segoe UI" w:hAnsi="Segoe UI"/>
          <w:sz w:val="20"/>
        </w:rPr>
        <w:t xml:space="preserve">CAE extends token lifetime to up to 28 hours (vs. the traditional 60-90 minutes) while enabling near-real-time revocation. CAE-capable resources (Exchange Online, SharePoint, Teams) maintain a long-lived session, but if the IdP signals a critical event (password change, account disable, location change, risk elevation), the resource rejects the current token within seconds via HTTP 401 claims challenge. </w:t>
      </w:r>
      <w:r>
        <w:rPr>
          <w:rFonts w:ascii="Segoe UI" w:hAnsi="Segoe UI"/>
          <w:b/>
          <w:color w:val="2E74B5"/>
          <w:sz w:val="16"/>
        </w:rPr>
        <w:t>[20]</w:t>
      </w:r>
    </w:p>
    <w:p>
      <w:pPr>
        <w:pStyle w:val="Heading3"/>
      </w:pPr>
      <w:r>
        <w:rPr>
          <w:rFonts w:ascii="Segoe UI" w:hAnsi="Segoe UI"/>
          <w:color w:val="2E74B5"/>
        </w:rPr>
        <w:t>Self-Check Questions</w:t>
      </w:r>
    </w:p>
    <w:p>
      <w:r>
        <w:rPr>
          <w:rFonts w:ascii="Segoe UI" w:hAnsi="Segoe UI"/>
          <w:b/>
          <w:sz w:val="20"/>
        </w:rPr>
        <w:t xml:space="preserve">1. </w:t>
      </w:r>
      <w:r>
        <w:rPr>
          <w:rFonts w:ascii="Segoe UI" w:hAnsi="Segoe UI"/>
          <w:sz w:val="20"/>
        </w:rPr>
        <w:t>State the Zero Trust principle in one sentence and explain what 'implicit trust' means in a traditional perimeter model.</w:t>
      </w:r>
    </w:p>
    <w:p>
      <w:r>
        <w:rPr>
          <w:rFonts w:ascii="Segoe UI" w:hAnsi="Segoe UI"/>
          <w:b/>
          <w:sz w:val="20"/>
        </w:rPr>
        <w:t xml:space="preserve">2. </w:t>
      </w:r>
      <w:r>
        <w:rPr>
          <w:rFonts w:ascii="Segoe UI" w:hAnsi="Segoe UI"/>
          <w:sz w:val="20"/>
        </w:rPr>
        <w:t>Name the five CISA Zero Trust pillars and give one control per pillar at the Optimal maturity level.</w:t>
      </w:r>
    </w:p>
    <w:p>
      <w:r>
        <w:rPr>
          <w:rFonts w:ascii="Segoe UI" w:hAnsi="Segoe UI"/>
          <w:b/>
          <w:sz w:val="20"/>
        </w:rPr>
        <w:t xml:space="preserve">3. </w:t>
      </w:r>
      <w:r>
        <w:rPr>
          <w:rFonts w:ascii="Segoe UI" w:hAnsi="Segoe UI"/>
          <w:sz w:val="20"/>
        </w:rPr>
        <w:t>What is the difference between a Tier B and Tier I Conditional Access policy?</w:t>
      </w:r>
    </w:p>
    <w:p>
      <w:r>
        <w:rPr>
          <w:rFonts w:ascii="Segoe UI" w:hAnsi="Segoe UI"/>
          <w:b/>
          <w:sz w:val="20"/>
        </w:rPr>
        <w:t xml:space="preserve">4. </w:t>
      </w:r>
      <w:r>
        <w:rPr>
          <w:rFonts w:ascii="Segoe UI" w:hAnsi="Segoe UI"/>
          <w:sz w:val="20"/>
        </w:rPr>
        <w:t>How does CAE differ from traditional token-based authentication? What is the maximum token lifetime under CAE?</w:t>
      </w:r>
    </w:p>
    <w:p>
      <w:r>
        <w:rPr>
          <w:rFonts w:ascii="Segoe UI" w:hAnsi="Segoe UI"/>
          <w:b/>
          <w:sz w:val="20"/>
        </w:rPr>
        <w:t xml:space="preserve">5. </w:t>
      </w:r>
      <w:r>
        <w:rPr>
          <w:rFonts w:ascii="Segoe UI" w:hAnsi="Segoe UI"/>
          <w:sz w:val="20"/>
        </w:rPr>
        <w:t>A user's account is disabled at 9:00 AM. With CAE enabled, when will their Outlook session stop working?</w:t>
      </w:r>
    </w:p>
    <w:tbl>
      <w:tblPr>
        <w:tblStyle w:val="TableGrid"/>
        <w:tblW w:type="auto" w:w="0"/>
        <w:tblLook w:firstColumn="1" w:firstRow="1" w:lastColumn="0" w:lastRow="0" w:noHBand="0" w:noVBand="1" w:val="04A0"/>
      </w:tblPr>
      <w:tblGrid>
        <w:gridCol w:w="9122"/>
      </w:tblGrid>
      <w:tr>
        <w:tc>
          <w:tcPr>
            <w:tcW w:type="dxa" w:w="9122"/>
            <w:shd w:val="clear" w:color="auto" w:fill="E2EFDA"/>
          </w:tcPr>
          <w:p>
            <w:r>
              <w:rPr>
                <w:rFonts w:ascii="Segoe UI" w:hAnsi="Segoe UI"/>
                <w:b/>
                <w:color w:val="375E23"/>
                <w:sz w:val="20"/>
              </w:rPr>
              <w:t>🎯  INTERVIEW CHEAT SHEET</w:t>
            </w:r>
          </w:p>
          <w:p>
            <w:r>
              <w:rPr>
                <w:rFonts w:ascii="Segoe UI" w:hAnsi="Segoe UI"/>
                <w:sz w:val="20"/>
              </w:rPr>
              <w:t>• Your CISO asks: 'We just deployed MFA — are we Zero Trust now?' How do you respond?</w:t>
            </w:r>
          </w:p>
          <w:p>
            <w:r>
              <w:rPr>
                <w:rFonts w:ascii="Segoe UI" w:hAnsi="Segoe UI"/>
                <w:sz w:val="20"/>
              </w:rPr>
              <w:t>• What is Continuous Access Evaluation, and how does it change incident response for a compromised account?</w:t>
            </w:r>
          </w:p>
          <w:p>
            <w:r>
              <w:rPr>
                <w:rFonts w:ascii="Segoe UI" w:hAnsi="Segoe UI"/>
                <w:sz w:val="20"/>
              </w:rPr>
              <w:t>• Walk me through the tiered Conditional Access model you would deploy for a 10,000-user enterprise.</w:t>
            </w:r>
          </w:p>
          <w:p>
            <w:r>
              <w:rPr>
                <w:rFonts w:ascii="Segoe UI" w:hAnsi="Segoe UI"/>
                <w:sz w:val="20"/>
              </w:rPr>
              <w:t>• How does Zero Trust change the value of network segmentation?</w:t>
            </w:r>
          </w:p>
        </w:tc>
      </w:tr>
    </w:tbl>
    <w:p/>
    <w:p>
      <w:r>
        <w:br w:type="page"/>
      </w:r>
    </w:p>
    <w:p>
      <w:pPr>
        <w:pStyle w:val="Heading1"/>
      </w:pPr>
      <w:r>
        <w:rPr>
          <w:rFonts w:ascii="Segoe UI" w:hAnsi="Segoe UI"/>
          <w:color w:val="1F3964"/>
        </w:rPr>
        <w:t>Chapter 7: Identity Governance and Administration</w:t>
      </w:r>
    </w:p>
    <w:p>
      <w:pPr>
        <w:spacing w:after="120"/>
      </w:pPr>
      <w:r>
        <w:rPr>
          <w:rFonts w:ascii="Segoe UI" w:hAnsi="Segoe UI"/>
          <w:sz w:val="20"/>
        </w:rPr>
        <w:t xml:space="preserve">Identity Governance and Administration (IGA) is the discipline of managing the full identity lifecycle — who has access to what, for how long, and whether that access is still appropriate. IGA transforms identity management from a reactive IT function into a proactive, auditable governance programme. </w:t>
      </w:r>
      <w:r>
        <w:rPr>
          <w:rFonts w:ascii="Segoe UI" w:hAnsi="Segoe UI"/>
          <w:b/>
          <w:color w:val="2E74B5"/>
          <w:sz w:val="16"/>
        </w:rPr>
        <w:t>[18][17]</w:t>
      </w:r>
    </w:p>
    <w:p>
      <w:pPr>
        <w:pStyle w:val="Heading2"/>
      </w:pPr>
      <w:r>
        <w:rPr>
          <w:rFonts w:ascii="Segoe UI" w:hAnsi="Segoe UI"/>
          <w:color w:val="2E74B5"/>
        </w:rPr>
        <w:t>7.1  IGA vs. IAM</w:t>
      </w:r>
    </w:p>
    <w:tbl>
      <w:tblPr>
        <w:tblStyle w:val="TableGrid"/>
        <w:tblW w:type="auto" w:w="0"/>
        <w:tblLook w:firstColumn="1" w:firstRow="1" w:lastColumn="0" w:lastRow="0" w:noHBand="0" w:noVBand="1" w:val="04A0"/>
      </w:tblPr>
      <w:tblGrid>
        <w:gridCol w:w="9122"/>
      </w:tblGrid>
      <w:tr>
        <w:tc>
          <w:tcPr>
            <w:tcW w:type="dxa" w:w="9122"/>
            <w:shd w:val="clear" w:color="auto" w:fill="FFF2CC"/>
          </w:tcPr>
          <w:p>
            <w:r>
              <w:rPr>
                <w:rFonts w:ascii="Segoe UI" w:hAnsi="Segoe UI"/>
                <w:b/>
                <w:color w:val="7F6000"/>
                <w:sz w:val="20"/>
              </w:rPr>
              <w:t xml:space="preserve">💡  ANALOGY — </w:t>
            </w:r>
            <w:r>
              <w:rPr>
                <w:rFonts w:ascii="Segoe UI" w:hAnsi="Segoe UI"/>
                <w:b/>
                <w:color w:val="7F6000"/>
                <w:sz w:val="20"/>
              </w:rPr>
              <w:t>THE STAFFING AGENCY VS. THE SECURITY GUARD</w:t>
            </w:r>
          </w:p>
          <w:p>
            <w:r>
              <w:rPr>
                <w:rFonts w:ascii="Segoe UI" w:hAnsi="Segoe UI"/>
                <w:i/>
                <w:sz w:val="20"/>
              </w:rPr>
              <w:t>IAM is the security guard at the door — it authenticates and enforces access in real time. IGA is the staffing agency that decided who should be allowed in the building, reviewed those decisions quarterly, and revokes the badge when the contract ends. Without IGA, IAM is enforcing decisions that were never reviewed — a guard following a guest list that was written three years ago and never updated.</w:t>
            </w:r>
          </w:p>
        </w:tc>
      </w:tr>
    </w:tbl>
    <w:p/>
    <w:p>
      <w:pPr>
        <w:spacing w:after="120"/>
      </w:pPr>
      <w:r>
        <w:rPr>
          <w:rFonts w:ascii="Segoe UI" w:hAnsi="Segoe UI"/>
          <w:sz w:val="20"/>
        </w:rPr>
        <w:t xml:space="preserve">IAM enforces access; IGA governs it. IGA capabilities: provisioning/deprovisioning automation (JML), access request and approval workflows, Segregation of Duties (SoD) policy enforcement, role management (role mining, RBAC), access certification campaigns, and audit evidence generation for SOX/HIPAA/PCI compliance. </w:t>
      </w:r>
      <w:r>
        <w:rPr>
          <w:rFonts w:ascii="Segoe UI" w:hAnsi="Segoe UI"/>
          <w:b/>
          <w:color w:val="2E74B5"/>
          <w:sz w:val="16"/>
        </w:rPr>
        <w:t>[18]</w:t>
      </w:r>
    </w:p>
    <w:p>
      <w:pPr>
        <w:pStyle w:val="Heading2"/>
      </w:pPr>
      <w:r>
        <w:rPr>
          <w:rFonts w:ascii="Segoe UI" w:hAnsi="Segoe UI"/>
          <w:color w:val="2E74B5"/>
        </w:rPr>
        <w:t>7.2  JML Automation and SLAs</w:t>
      </w:r>
    </w:p>
    <w:p>
      <w:pPr>
        <w:spacing w:after="120"/>
      </w:pPr>
      <w:r>
        <w:rPr>
          <w:rFonts w:ascii="Segoe UI" w:hAnsi="Segoe UI"/>
          <w:sz w:val="20"/>
        </w:rPr>
        <w:t xml:space="preserve">JML (Joiner-Mover-Leaver) automation is the primary business value of IGA. Key SLAs: Joiner access fully provisioned ≤ 2 hours from HR trigger. Mover entitlement change ≤ 4 hours from HR role change. Leaver all access revoked ≤ 4 hours from HR termination event (privileged access ≤ 1 hour). </w:t>
      </w:r>
      <w:r>
        <w:rPr>
          <w:rFonts w:ascii="Segoe UI" w:hAnsi="Segoe UI"/>
          <w:b/>
          <w:color w:val="2E74B5"/>
          <w:sz w:val="16"/>
        </w:rPr>
        <w:t>[18][25]</w:t>
      </w:r>
    </w:p>
    <w:p>
      <w:pPr>
        <w:pStyle w:val="Heading2"/>
      </w:pPr>
      <w:r>
        <w:rPr>
          <w:rFonts w:ascii="Segoe UI" w:hAnsi="Segoe UI"/>
          <w:color w:val="2E74B5"/>
        </w:rPr>
        <w:t>7.3  Segregation of Duties (SoD)</w:t>
      </w:r>
    </w:p>
    <w:tbl>
      <w:tblPr>
        <w:tblStyle w:val="TableGrid"/>
        <w:tblW w:type="auto" w:w="0"/>
        <w:tblLook w:firstColumn="1" w:firstRow="1" w:lastColumn="0" w:lastRow="0" w:noHBand="0" w:noVBand="1" w:val="04A0"/>
      </w:tblPr>
      <w:tblGrid>
        <w:gridCol w:w="9122"/>
      </w:tblGrid>
      <w:tr>
        <w:tc>
          <w:tcPr>
            <w:tcW w:type="dxa" w:w="9122"/>
            <w:shd w:val="clear" w:color="auto" w:fill="FFF2CC"/>
          </w:tcPr>
          <w:p>
            <w:r>
              <w:rPr>
                <w:rFonts w:ascii="Segoe UI" w:hAnsi="Segoe UI"/>
                <w:b/>
                <w:color w:val="7F6000"/>
                <w:sz w:val="20"/>
              </w:rPr>
              <w:t xml:space="preserve">💡  ANALOGY — </w:t>
            </w:r>
            <w:r>
              <w:rPr>
                <w:rFonts w:ascii="Segoe UI" w:hAnsi="Segoe UI"/>
                <w:b/>
                <w:color w:val="7F6000"/>
                <w:sz w:val="20"/>
              </w:rPr>
              <w:t>THE FOUR-EYES PRINCIPLE</w:t>
            </w:r>
          </w:p>
          <w:p>
            <w:r>
              <w:rPr>
                <w:rFonts w:ascii="Segoe UI" w:hAnsi="Segoe UI"/>
                <w:i/>
                <w:sz w:val="20"/>
              </w:rPr>
              <w:t>SoD is the four-eyes principle applied to entitlements. In financial controls, the person who creates a vendor (AP-Create-Vendor) cannot also approve payments to that vendor (AP-Approve-Payment) — because they could create a fictitious vendor and pay themselves. SoD matrix: every pair of roles that, if held simultaneously, creates a fraud or error risk.</w:t>
            </w:r>
          </w:p>
        </w:tc>
      </w:tr>
    </w:tbl>
    <w:p/>
    <w:p>
      <w:pPr>
        <w:spacing w:after="120"/>
      </w:pPr>
      <w:r>
        <w:rPr>
          <w:rFonts w:ascii="Segoe UI" w:hAnsi="Segoe UI"/>
          <w:sz w:val="20"/>
        </w:rPr>
        <w:t xml:space="preserve">SoD defines role pairs that must not be held by the same person. Critical SoD conflicts require immediate remediation (no compensating control acceptable). High SoD conflicts can be mitigated with enhanced monitoring and quarterly review. SoD violations are a primary audit finding for SOX ITGC access controls. </w:t>
      </w:r>
      <w:r>
        <w:rPr>
          <w:rFonts w:ascii="Segoe UI" w:hAnsi="Segoe UI"/>
          <w:b/>
          <w:color w:val="2E74B5"/>
          <w:sz w:val="16"/>
        </w:rPr>
        <w:t>[18][25]</w:t>
      </w:r>
    </w:p>
    <w:p>
      <w:pPr>
        <w:pStyle w:val="Heading2"/>
      </w:pPr>
      <w:r>
        <w:rPr>
          <w:rFonts w:ascii="Segoe UI" w:hAnsi="Segoe UI"/>
          <w:color w:val="2E74B5"/>
        </w:rPr>
        <w:t>7.4  SCIM 2.0 Protocol</w:t>
      </w:r>
    </w:p>
    <w:p>
      <w:pPr>
        <w:spacing w:after="120"/>
      </w:pPr>
      <w:r>
        <w:rPr>
          <w:rFonts w:ascii="Segoe UI" w:hAnsi="Segoe UI"/>
          <w:sz w:val="20"/>
        </w:rPr>
        <w:t xml:space="preserve">System for Cross-domain Identity Management (SCIM) 2.0 [RFC 7644] is the standard protocol for automating user provisioning between identity systems and SaaS applications. SCIM defines REST API endpoints (/Users, /Groups), JSON schema (core attributes + extensions), and operations (POST Create, GET Read, PATCH Update, DELETE). </w:t>
      </w:r>
      <w:r>
        <w:rPr>
          <w:rFonts w:ascii="Segoe UI" w:hAnsi="Segoe UI"/>
          <w:b/>
          <w:color w:val="2E74B5"/>
          <w:sz w:val="16"/>
        </w:rPr>
        <w:t>[13]</w:t>
      </w:r>
    </w:p>
    <w:p>
      <w:pPr>
        <w:spacing w:after="80"/>
      </w:pPr>
      <w:r>
        <w:rPr>
          <w:rFonts w:ascii="Segoe UI" w:hAnsi="Segoe UI"/>
          <w:b/>
          <w:color w:val="2E74B5"/>
          <w:sz w:val="20"/>
        </w:rPr>
        <w:t xml:space="preserve">externalId: </w:t>
      </w:r>
      <w:r>
        <w:rPr>
          <w:rFonts w:ascii="Segoe UI" w:hAnsi="Segoe UI"/>
          <w:sz w:val="20"/>
        </w:rPr>
        <w:t>The IGA system's internal ID for the user, stored in the SaaS application. Used to find the correct user record during subsequent sync operations. Must round-trip correctly through SCIM.</w:t>
      </w:r>
      <w:r>
        <w:rPr>
          <w:rFonts w:ascii="Segoe UI" w:hAnsi="Segoe UI"/>
          <w:b/>
          <w:color w:val="2E74B5"/>
          <w:sz w:val="16"/>
        </w:rPr>
        <w:t xml:space="preserve"> [13]</w:t>
      </w:r>
    </w:p>
    <w:p>
      <w:pPr>
        <w:spacing w:after="80"/>
      </w:pPr>
      <w:r>
        <w:rPr>
          <w:rFonts w:ascii="Segoe UI" w:hAnsi="Segoe UI"/>
          <w:b/>
          <w:color w:val="2E74B5"/>
          <w:sz w:val="20"/>
        </w:rPr>
        <w:t xml:space="preserve">SCIM Provisioning vs. SSO: </w:t>
      </w:r>
      <w:r>
        <w:rPr>
          <w:rFonts w:ascii="Segoe UI" w:hAnsi="Segoe UI"/>
          <w:sz w:val="20"/>
        </w:rPr>
        <w:t>SCIM handles account lifecycle (create/update/delete). SSO handles authentication. Both are needed: SCIM provisions the account; SSO lets the user log in. They are complementary, not interchangeable.</w:t>
      </w:r>
      <w:r>
        <w:rPr>
          <w:rFonts w:ascii="Segoe UI" w:hAnsi="Segoe UI"/>
          <w:b/>
          <w:color w:val="2E74B5"/>
          <w:sz w:val="16"/>
        </w:rPr>
        <w:t xml:space="preserve"> [13]</w:t>
      </w:r>
    </w:p>
    <w:p>
      <w:pPr>
        <w:pStyle w:val="Heading2"/>
      </w:pPr>
      <w:r>
        <w:rPr>
          <w:rFonts w:ascii="Segoe UI" w:hAnsi="Segoe UI"/>
          <w:color w:val="2E74B5"/>
        </w:rPr>
        <w:t>7.5  Access Certification</w:t>
      </w:r>
    </w:p>
    <w:p>
      <w:pPr>
        <w:spacing w:after="120"/>
      </w:pPr>
      <w:r>
        <w:rPr>
          <w:rFonts w:ascii="Segoe UI" w:hAnsi="Segoe UI"/>
          <w:sz w:val="20"/>
        </w:rPr>
        <w:t xml:space="preserve">Access certification (also called access review or access recertification) is a periodic process where managers or data owners review and certify that users still need their current access. Regulatory requirements: SOX ITGC requires at least annual certification of privileged access. HIPAA requires periodic review of access to PHI systems. PCI DSS requires quarterly review of access to cardholder data environments. </w:t>
      </w:r>
      <w:r>
        <w:rPr>
          <w:rFonts w:ascii="Segoe UI" w:hAnsi="Segoe UI"/>
          <w:b/>
          <w:color w:val="2E74B5"/>
          <w:sz w:val="16"/>
        </w:rPr>
        <w:t>[24][25]</w:t>
      </w:r>
    </w:p>
    <w:p>
      <w:pPr>
        <w:pStyle w:val="Heading3"/>
      </w:pPr>
      <w:r>
        <w:rPr>
          <w:rFonts w:ascii="Segoe UI" w:hAnsi="Segoe UI"/>
          <w:color w:val="2E74B5"/>
        </w:rPr>
        <w:t>Self-Check Questions</w:t>
      </w:r>
    </w:p>
    <w:p>
      <w:r>
        <w:rPr>
          <w:rFonts w:ascii="Segoe UI" w:hAnsi="Segoe UI"/>
          <w:b/>
          <w:sz w:val="20"/>
        </w:rPr>
        <w:t xml:space="preserve">1. </w:t>
      </w:r>
      <w:r>
        <w:rPr>
          <w:rFonts w:ascii="Segoe UI" w:hAnsi="Segoe UI"/>
          <w:sz w:val="20"/>
        </w:rPr>
        <w:t>What is the difference between IGA and IAM? Give an example of where each is operating.</w:t>
      </w:r>
    </w:p>
    <w:p>
      <w:r>
        <w:rPr>
          <w:rFonts w:ascii="Segoe UI" w:hAnsi="Segoe UI"/>
          <w:b/>
          <w:sz w:val="20"/>
        </w:rPr>
        <w:t xml:space="preserve">2. </w:t>
      </w:r>
      <w:r>
        <w:rPr>
          <w:rFonts w:ascii="Segoe UI" w:hAnsi="Segoe UI"/>
          <w:sz w:val="20"/>
        </w:rPr>
        <w:t>A terminated employee still has access 6 hours after termination. Which SLA was breached, and what is the first investigation step?</w:t>
      </w:r>
    </w:p>
    <w:p>
      <w:r>
        <w:rPr>
          <w:rFonts w:ascii="Segoe UI" w:hAnsi="Segoe UI"/>
          <w:b/>
          <w:sz w:val="20"/>
        </w:rPr>
        <w:t xml:space="preserve">3. </w:t>
      </w:r>
      <w:r>
        <w:rPr>
          <w:rFonts w:ascii="Segoe UI" w:hAnsi="Segoe UI"/>
          <w:sz w:val="20"/>
        </w:rPr>
        <w:t>Define Segregation of Duties. Give two examples of SoD conflicts from finance and healthcare.</w:t>
      </w:r>
    </w:p>
    <w:p>
      <w:r>
        <w:rPr>
          <w:rFonts w:ascii="Segoe UI" w:hAnsi="Segoe UI"/>
          <w:b/>
          <w:sz w:val="20"/>
        </w:rPr>
        <w:t xml:space="preserve">4. </w:t>
      </w:r>
      <w:r>
        <w:rPr>
          <w:rFonts w:ascii="Segoe UI" w:hAnsi="Segoe UI"/>
          <w:sz w:val="20"/>
        </w:rPr>
        <w:t>What HTTP methods does SCIM 2.0 use for Create, Read, Update, and Delete?</w:t>
      </w:r>
    </w:p>
    <w:p>
      <w:r>
        <w:rPr>
          <w:rFonts w:ascii="Segoe UI" w:hAnsi="Segoe UI"/>
          <w:b/>
          <w:sz w:val="20"/>
        </w:rPr>
        <w:t xml:space="preserve">5. </w:t>
      </w:r>
      <w:r>
        <w:rPr>
          <w:rFonts w:ascii="Segoe UI" w:hAnsi="Segoe UI"/>
          <w:sz w:val="20"/>
        </w:rPr>
        <w:t>What is the difference between a certification campaign and an access request workflow?</w:t>
      </w:r>
    </w:p>
    <w:tbl>
      <w:tblPr>
        <w:tblStyle w:val="TableGrid"/>
        <w:tblW w:type="auto" w:w="0"/>
        <w:tblLook w:firstColumn="1" w:firstRow="1" w:lastColumn="0" w:lastRow="0" w:noHBand="0" w:noVBand="1" w:val="04A0"/>
      </w:tblPr>
      <w:tblGrid>
        <w:gridCol w:w="9122"/>
      </w:tblGrid>
      <w:tr>
        <w:tc>
          <w:tcPr>
            <w:tcW w:type="dxa" w:w="9122"/>
            <w:shd w:val="clear" w:color="auto" w:fill="E2EFDA"/>
          </w:tcPr>
          <w:p>
            <w:r>
              <w:rPr>
                <w:rFonts w:ascii="Segoe UI" w:hAnsi="Segoe UI"/>
                <w:b/>
                <w:color w:val="375E23"/>
                <w:sz w:val="20"/>
              </w:rPr>
              <w:t>🎯  INTERVIEW CHEAT SHEET</w:t>
            </w:r>
          </w:p>
          <w:p>
            <w:r>
              <w:rPr>
                <w:rFonts w:ascii="Segoe UI" w:hAnsi="Segoe UI"/>
                <w:sz w:val="20"/>
              </w:rPr>
              <w:t>• Walk me through the automated Leaver process from HR termination event to full access revocation.</w:t>
            </w:r>
          </w:p>
          <w:p>
            <w:r>
              <w:rPr>
                <w:rFonts w:ascii="Segoe UI" w:hAnsi="Segoe UI"/>
                <w:sz w:val="20"/>
              </w:rPr>
              <w:t>• How does SoD conflict detection work in a large enterprise with 400 applications and 85,000 users?</w:t>
            </w:r>
          </w:p>
          <w:p>
            <w:r>
              <w:rPr>
                <w:rFonts w:ascii="Segoe UI" w:hAnsi="Segoe UI"/>
                <w:sz w:val="20"/>
              </w:rPr>
              <w:t>• What is SCIM, and why is externalId round-trip important?</w:t>
            </w:r>
          </w:p>
          <w:p>
            <w:r>
              <w:rPr>
                <w:rFonts w:ascii="Segoe UI" w:hAnsi="Segoe UI"/>
                <w:sz w:val="20"/>
              </w:rPr>
              <w:t>• How would you measure the effectiveness of an access certification programme?</w:t>
            </w:r>
          </w:p>
        </w:tc>
      </w:tr>
    </w:tbl>
    <w:p/>
    <w:p>
      <w:r>
        <w:br w:type="page"/>
      </w:r>
    </w:p>
    <w:p>
      <w:pPr>
        <w:pStyle w:val="Heading1"/>
      </w:pPr>
      <w:r>
        <w:rPr>
          <w:rFonts w:ascii="Segoe UI" w:hAnsi="Segoe UI"/>
          <w:color w:val="1F3964"/>
        </w:rPr>
        <w:t>Chapter 8: Microsoft Entra ID — Cloud Identity</w:t>
      </w:r>
    </w:p>
    <w:p>
      <w:pPr>
        <w:spacing w:after="120"/>
      </w:pPr>
      <w:r>
        <w:rPr>
          <w:rFonts w:ascii="Segoe UI" w:hAnsi="Segoe UI"/>
          <w:sz w:val="20"/>
        </w:rPr>
        <w:t xml:space="preserve">Microsoft Entra ID (formerly Azure Active Directory) is the cloud identity platform serving over 400 million users. It is the primary identity control plane for Microsoft 365, Azure, and thousands of federated SaaS applications. For most enterprise IAM architects, Entra ID is the hub through which all modern identity flows. </w:t>
      </w:r>
      <w:r>
        <w:rPr>
          <w:rFonts w:ascii="Segoe UI" w:hAnsi="Segoe UI"/>
          <w:b/>
          <w:color w:val="2E74B5"/>
          <w:sz w:val="16"/>
        </w:rPr>
        <w:t>[8][16]</w:t>
      </w:r>
    </w:p>
    <w:p>
      <w:pPr>
        <w:pStyle w:val="Heading2"/>
      </w:pPr>
      <w:r>
        <w:rPr>
          <w:rFonts w:ascii="Segoe UI" w:hAnsi="Segoe UI"/>
          <w:color w:val="2E74B5"/>
        </w:rPr>
        <w:t>8.1  Hybrid Identity — PHS vs. AD FS</w:t>
      </w:r>
    </w:p>
    <w:tbl>
      <w:tblPr>
        <w:tblStyle w:val="TableGrid"/>
        <w:tblW w:type="auto" w:w="0"/>
        <w:tblLook w:firstColumn="1" w:firstRow="1" w:lastColumn="0" w:lastRow="0" w:noHBand="0" w:noVBand="1" w:val="04A0"/>
      </w:tblPr>
      <w:tblGrid>
        <w:gridCol w:w="9122"/>
      </w:tblGrid>
      <w:tr>
        <w:tc>
          <w:tcPr>
            <w:tcW w:type="dxa" w:w="9122"/>
            <w:shd w:val="clear" w:color="auto" w:fill="FFF2CC"/>
          </w:tcPr>
          <w:p>
            <w:r>
              <w:rPr>
                <w:rFonts w:ascii="Segoe UI" w:hAnsi="Segoe UI"/>
                <w:b/>
                <w:color w:val="7F6000"/>
                <w:sz w:val="20"/>
              </w:rPr>
              <w:t xml:space="preserve">💡  ANALOGY — </w:t>
            </w:r>
            <w:r>
              <w:rPr>
                <w:rFonts w:ascii="Segoe UI" w:hAnsi="Segoe UI"/>
                <w:b/>
                <w:color w:val="7F6000"/>
                <w:sz w:val="20"/>
              </w:rPr>
              <w:t>THE PHONE LINE VS. THE RELAY STATION</w:t>
            </w:r>
          </w:p>
          <w:p>
            <w:r>
              <w:rPr>
                <w:rFonts w:ascii="Segoe UI" w:hAnsi="Segoe UI"/>
                <w:i/>
                <w:sz w:val="20"/>
              </w:rPr>
              <w:t>PHS (Password Hash Sync) is like a phone line directly to the cloud — even if your office building burns down (on-prem AD goes offline), calls still go through because the number was already ported. AD FS is a relay station in your office: if the station goes down, no calls get through. Every WAN outage, every AD FS server patch, is a cloud authentication outage.</w:t>
            </w:r>
          </w:p>
        </w:tc>
      </w:tr>
    </w:tbl>
    <w:p/>
    <w:p>
      <w:pPr>
        <w:spacing w:after="120"/>
      </w:pPr>
      <w:r>
        <w:rPr>
          <w:rFonts w:ascii="Segoe UI" w:hAnsi="Segoe UI"/>
          <w:sz w:val="20"/>
        </w:rPr>
        <w:t xml:space="preserve">Three hybrid authentication models: PHS (Password Hash Sync) — Entra Connect syncs password hashes to cloud; authentication happens in Entra ID, not on-prem. PTA (Pass-Through Authentication) — authentication happens on-prem via agent, but cloud directs traffic. AD FS — full on-prem federation server; cloud redirect to on-prem for every authentication. PHS is the recommended model for resilience: on-prem outage does not affect cloud authentication. </w:t>
      </w:r>
      <w:r>
        <w:rPr>
          <w:rFonts w:ascii="Segoe UI" w:hAnsi="Segoe UI"/>
          <w:b/>
          <w:color w:val="2E74B5"/>
          <w:sz w:val="16"/>
        </w:rPr>
        <w:t>[16]</w:t>
      </w:r>
    </w:p>
    <w:p>
      <w:pPr>
        <w:spacing w:after="80"/>
      </w:pPr>
      <w:r>
        <w:rPr>
          <w:rFonts w:ascii="Segoe UI" w:hAnsi="Segoe UI"/>
          <w:b/>
          <w:color w:val="2E74B5"/>
          <w:sz w:val="20"/>
        </w:rPr>
        <w:t xml:space="preserve">Entra Connect: </w:t>
      </w:r>
      <w:r>
        <w:rPr>
          <w:rFonts w:ascii="Segoe UI" w:hAnsi="Segoe UI"/>
          <w:sz w:val="20"/>
        </w:rPr>
        <w:t>The synchronisation engine that replicates on-prem AD objects to Entra ID. Manages directory sync, password hash sync, and attribute mapping. The MSOL_ service account it creates is a Tier 0 asset.</w:t>
      </w:r>
      <w:r>
        <w:rPr>
          <w:rFonts w:ascii="Segoe UI" w:hAnsi="Segoe UI"/>
          <w:b/>
          <w:color w:val="2E74B5"/>
          <w:sz w:val="16"/>
        </w:rPr>
        <w:t xml:space="preserve"> [8]</w:t>
      </w:r>
    </w:p>
    <w:p>
      <w:pPr>
        <w:spacing w:after="80"/>
      </w:pPr>
      <w:r>
        <w:rPr>
          <w:rFonts w:ascii="Segoe UI" w:hAnsi="Segoe UI"/>
          <w:b/>
          <w:color w:val="2E74B5"/>
          <w:sz w:val="20"/>
        </w:rPr>
        <w:t xml:space="preserve">Seamless SSO: </w:t>
      </w:r>
      <w:r>
        <w:rPr>
          <w:rFonts w:ascii="Segoe UI" w:hAnsi="Segoe UI"/>
          <w:sz w:val="20"/>
        </w:rPr>
        <w:t>Automatically signs users in when they're on corporate network. Uses Kerberos AZUREADSSO computer account ticket to authenticate to Entra ID without password prompt.</w:t>
      </w:r>
      <w:r>
        <w:rPr>
          <w:rFonts w:ascii="Segoe UI" w:hAnsi="Segoe UI"/>
          <w:b/>
          <w:color w:val="2E74B5"/>
          <w:sz w:val="16"/>
        </w:rPr>
        <w:t xml:space="preserve"> [8]</w:t>
      </w:r>
    </w:p>
    <w:p>
      <w:pPr>
        <w:pStyle w:val="Heading2"/>
      </w:pPr>
      <w:r>
        <w:rPr>
          <w:rFonts w:ascii="Segoe UI" w:hAnsi="Segoe UI"/>
          <w:color w:val="2E74B5"/>
        </w:rPr>
        <w:t>8.2  App Registrations vs. Enterprise Applications</w:t>
      </w:r>
    </w:p>
    <w:tbl>
      <w:tblPr>
        <w:tblStyle w:val="TableGrid"/>
        <w:tblW w:type="auto" w:w="0"/>
        <w:tblLook w:firstColumn="1" w:firstRow="1" w:lastColumn="0" w:lastRow="0" w:noHBand="0" w:noVBand="1" w:val="04A0"/>
      </w:tblPr>
      <w:tblGrid>
        <w:gridCol w:w="9122"/>
      </w:tblGrid>
      <w:tr>
        <w:tc>
          <w:tcPr>
            <w:tcW w:type="dxa" w:w="9122"/>
            <w:shd w:val="clear" w:color="auto" w:fill="FFF2CC"/>
          </w:tcPr>
          <w:p>
            <w:r>
              <w:rPr>
                <w:rFonts w:ascii="Segoe UI" w:hAnsi="Segoe UI"/>
                <w:b/>
                <w:color w:val="7F6000"/>
                <w:sz w:val="20"/>
              </w:rPr>
              <w:t xml:space="preserve">💡  ANALOGY — </w:t>
            </w:r>
            <w:r>
              <w:rPr>
                <w:rFonts w:ascii="Segoe UI" w:hAnsi="Segoe UI"/>
                <w:b/>
                <w:color w:val="7F6000"/>
                <w:sz w:val="20"/>
              </w:rPr>
              <w:t>THE BLUEPRINT VS. THE BUILDING</w:t>
            </w:r>
          </w:p>
          <w:p>
            <w:r>
              <w:rPr>
                <w:rFonts w:ascii="Segoe UI" w:hAnsi="Segoe UI"/>
                <w:i/>
                <w:sz w:val="20"/>
              </w:rPr>
              <w:t>An App Registration is the blueprint — it defines the application identity, permissions it needs, and redirect URIs. The Enterprise Application (Service Principal) is the actual building constructed from that blueprint in your tenant. Multi-tenant apps have one App Registration (in the developer's tenant) and many Enterprise Apps (one per customer tenant).</w:t>
            </w:r>
          </w:p>
        </w:tc>
      </w:tr>
    </w:tbl>
    <w:p/>
    <w:p>
      <w:pPr>
        <w:spacing w:after="120"/>
      </w:pPr>
      <w:r>
        <w:rPr>
          <w:rFonts w:ascii="Segoe UI" w:hAnsi="Segoe UI"/>
          <w:sz w:val="20"/>
        </w:rPr>
        <w:t xml:space="preserve">App Registration: defines the application's identity in the developer's home tenant. Contains client secrets, certificates, API permissions, and redirect URIs. Enterprise Application (Service Principal): the instantiation of an App Registration in a specific tenant. Controls user assignment, SSO configuration, and provisioning settings for that tenant. </w:t>
      </w:r>
      <w:r>
        <w:rPr>
          <w:rFonts w:ascii="Segoe UI" w:hAnsi="Segoe UI"/>
          <w:b/>
          <w:color w:val="2E74B5"/>
          <w:sz w:val="16"/>
        </w:rPr>
        <w:t>[8]</w:t>
      </w:r>
    </w:p>
    <w:p>
      <w:pPr>
        <w:pStyle w:val="Heading2"/>
      </w:pPr>
      <w:r>
        <w:rPr>
          <w:rFonts w:ascii="Segoe UI" w:hAnsi="Segoe UI"/>
          <w:color w:val="2E74B5"/>
        </w:rPr>
        <w:t>8.3  Managed Identity</w:t>
      </w:r>
    </w:p>
    <w:p>
      <w:pPr>
        <w:spacing w:after="120"/>
      </w:pPr>
      <w:r>
        <w:rPr>
          <w:rFonts w:ascii="Segoe UI" w:hAnsi="Segoe UI"/>
          <w:sz w:val="20"/>
        </w:rPr>
        <w:t xml:space="preserve">Managed Identities eliminate the need for application developers to manage credentials. An Azure resource (VM, App Service, Function) is assigned a system-managed or user-managed identity backed by a service principal in Entra ID. The resource can then obtain tokens from the Instance Metadata Service (IMDS) at 169.254.169.254 without any credentials stored in code or configuration. </w:t>
      </w:r>
      <w:r>
        <w:rPr>
          <w:rFonts w:ascii="Segoe UI" w:hAnsi="Segoe UI"/>
          <w:b/>
          <w:color w:val="2E74B5"/>
          <w:sz w:val="16"/>
        </w:rPr>
        <w:t>[8]</w:t>
      </w:r>
    </w:p>
    <w:tbl>
      <w:tblPr>
        <w:tblStyle w:val="TableGrid"/>
        <w:tblW w:type="auto" w:w="0"/>
        <w:tblLook w:firstColumn="1" w:firstRow="1" w:lastColumn="0" w:lastRow="0" w:noHBand="0" w:noVBand="1" w:val="04A0"/>
      </w:tblPr>
      <w:tblGrid>
        <w:gridCol w:w="9122"/>
      </w:tblGrid>
      <w:tr>
        <w:tc>
          <w:tcPr>
            <w:tcW w:type="dxa" w:w="9122"/>
            <w:shd w:val="clear" w:color="auto" w:fill="DEEAF1"/>
          </w:tcPr>
          <w:p>
            <w:r>
              <w:rPr>
                <w:rFonts w:ascii="Segoe UI" w:hAnsi="Segoe UI"/>
                <w:b/>
                <w:color w:val="1F3964"/>
                <w:sz w:val="20"/>
              </w:rPr>
              <w:t>ℹ  SECURITY PRINCIPLE</w:t>
            </w:r>
          </w:p>
          <w:p>
            <w:r>
              <w:rPr>
                <w:rFonts w:ascii="Segoe UI" w:hAnsi="Segoe UI"/>
                <w:sz w:val="20"/>
              </w:rPr>
              <w:t>Managed Identity is the correct pattern for any Azure workload accessing another Azure service (Storage, Key Vault, SQL). If you see a connection string with a password in application config, that is a finding. Replace with Managed Identity token acquisition.</w:t>
            </w:r>
          </w:p>
        </w:tc>
      </w:tr>
    </w:tbl>
    <w:p/>
    <w:p>
      <w:pPr>
        <w:pStyle w:val="Heading2"/>
      </w:pPr>
      <w:r>
        <w:rPr>
          <w:rFonts w:ascii="Segoe UI" w:hAnsi="Segoe UI"/>
          <w:color w:val="2E74B5"/>
        </w:rPr>
        <w:t>8.4  Microsoft Graph API</w:t>
      </w:r>
    </w:p>
    <w:p>
      <w:pPr>
        <w:spacing w:after="120"/>
      </w:pPr>
      <w:r>
        <w:rPr>
          <w:rFonts w:ascii="Segoe UI" w:hAnsi="Segoe UI"/>
          <w:sz w:val="20"/>
        </w:rPr>
        <w:t xml:space="preserve">Microsoft Graph is the unified REST API surface for all Microsoft 365 and Entra ID data. Identity operations: user lifecycle management, group management, sign-in logs, audit logs, Conditional Access policies, risk events. Graph supports delta queries — after an initial full sync, subsequent queries return only objects changed since the last delta link, enabling efficient incremental synchronisation. </w:t>
      </w:r>
      <w:r>
        <w:rPr>
          <w:rFonts w:ascii="Segoe UI" w:hAnsi="Segoe UI"/>
          <w:b/>
          <w:color w:val="2E74B5"/>
          <w:sz w:val="16"/>
        </w:rPr>
        <w:t>[8]</w:t>
      </w:r>
    </w:p>
    <w:p>
      <w:pPr>
        <w:pStyle w:val="Heading3"/>
      </w:pPr>
      <w:r>
        <w:rPr>
          <w:rFonts w:ascii="Segoe UI" w:hAnsi="Segoe UI"/>
          <w:color w:val="2E74B5"/>
        </w:rPr>
        <w:t>Self-Check Questions</w:t>
      </w:r>
    </w:p>
    <w:p>
      <w:r>
        <w:rPr>
          <w:rFonts w:ascii="Segoe UI" w:hAnsi="Segoe UI"/>
          <w:b/>
          <w:sz w:val="20"/>
        </w:rPr>
        <w:t xml:space="preserve">1. </w:t>
      </w:r>
      <w:r>
        <w:rPr>
          <w:rFonts w:ascii="Segoe UI" w:hAnsi="Segoe UI"/>
          <w:sz w:val="20"/>
        </w:rPr>
        <w:t>Why is PHS recommended over AD FS for hybrid identity resilience? What specific failure scenario does it address?</w:t>
      </w:r>
    </w:p>
    <w:p>
      <w:r>
        <w:rPr>
          <w:rFonts w:ascii="Segoe UI" w:hAnsi="Segoe UI"/>
          <w:b/>
          <w:sz w:val="20"/>
        </w:rPr>
        <w:t xml:space="preserve">2. </w:t>
      </w:r>
      <w:r>
        <w:rPr>
          <w:rFonts w:ascii="Segoe UI" w:hAnsi="Segoe UI"/>
          <w:sz w:val="20"/>
        </w:rPr>
        <w:t>What is the difference between an App Registration and an Enterprise Application (Service Principal)?</w:t>
      </w:r>
    </w:p>
    <w:p>
      <w:r>
        <w:rPr>
          <w:rFonts w:ascii="Segoe UI" w:hAnsi="Segoe UI"/>
          <w:b/>
          <w:sz w:val="20"/>
        </w:rPr>
        <w:t xml:space="preserve">3. </w:t>
      </w:r>
      <w:r>
        <w:rPr>
          <w:rFonts w:ascii="Segoe UI" w:hAnsi="Segoe UI"/>
          <w:sz w:val="20"/>
        </w:rPr>
        <w:t>What is the Tier 0 risk associated with the Entra Connect MSOL_ account?</w:t>
      </w:r>
    </w:p>
    <w:p>
      <w:r>
        <w:rPr>
          <w:rFonts w:ascii="Segoe UI" w:hAnsi="Segoe UI"/>
          <w:b/>
          <w:sz w:val="20"/>
        </w:rPr>
        <w:t xml:space="preserve">4. </w:t>
      </w:r>
      <w:r>
        <w:rPr>
          <w:rFonts w:ascii="Segoe UI" w:hAnsi="Segoe UI"/>
          <w:sz w:val="20"/>
        </w:rPr>
        <w:t>How does a Managed Identity obtain an access token? What endpoint does it use?</w:t>
      </w:r>
    </w:p>
    <w:p>
      <w:r>
        <w:rPr>
          <w:rFonts w:ascii="Segoe UI" w:hAnsi="Segoe UI"/>
          <w:b/>
          <w:sz w:val="20"/>
        </w:rPr>
        <w:t xml:space="preserve">5. </w:t>
      </w:r>
      <w:r>
        <w:rPr>
          <w:rFonts w:ascii="Segoe UI" w:hAnsi="Segoe UI"/>
          <w:sz w:val="20"/>
        </w:rPr>
        <w:t>What is a Graph delta query, and why is it more efficient than a full sync?</w:t>
      </w:r>
    </w:p>
    <w:tbl>
      <w:tblPr>
        <w:tblStyle w:val="TableGrid"/>
        <w:tblW w:type="auto" w:w="0"/>
        <w:tblLook w:firstColumn="1" w:firstRow="1" w:lastColumn="0" w:lastRow="0" w:noHBand="0" w:noVBand="1" w:val="04A0"/>
      </w:tblPr>
      <w:tblGrid>
        <w:gridCol w:w="9122"/>
      </w:tblGrid>
      <w:tr>
        <w:tc>
          <w:tcPr>
            <w:tcW w:type="dxa" w:w="9122"/>
            <w:shd w:val="clear" w:color="auto" w:fill="E2EFDA"/>
          </w:tcPr>
          <w:p>
            <w:r>
              <w:rPr>
                <w:rFonts w:ascii="Segoe UI" w:hAnsi="Segoe UI"/>
                <w:b/>
                <w:color w:val="375E23"/>
                <w:sz w:val="20"/>
              </w:rPr>
              <w:t>🎯  INTERVIEW CHEAT SHEET</w:t>
            </w:r>
          </w:p>
          <w:p>
            <w:r>
              <w:rPr>
                <w:rFonts w:ascii="Segoe UI" w:hAnsi="Segoe UI"/>
                <w:sz w:val="20"/>
              </w:rPr>
              <w:t>• A developer has hardcoded a client secret in their application to access Azure Storage. How do you remediate this?</w:t>
            </w:r>
          </w:p>
          <w:p>
            <w:r>
              <w:rPr>
                <w:rFonts w:ascii="Segoe UI" w:hAnsi="Segoe UI"/>
                <w:sz w:val="20"/>
              </w:rPr>
              <w:t>• Walk me through the App Registration audit findings you would look for in a security review.</w:t>
            </w:r>
          </w:p>
          <w:p>
            <w:r>
              <w:rPr>
                <w:rFonts w:ascii="Segoe UI" w:hAnsi="Segoe UI"/>
                <w:sz w:val="20"/>
              </w:rPr>
              <w:t>• Explain PHS vs. PTA vs. AD FS and when you would choose each.</w:t>
            </w:r>
          </w:p>
          <w:p>
            <w:r>
              <w:rPr>
                <w:rFonts w:ascii="Segoe UI" w:hAnsi="Segoe UI"/>
                <w:sz w:val="20"/>
              </w:rPr>
              <w:t>• How would you detect a compromised Entra Connect sync account using Sentinel?</w:t>
            </w:r>
          </w:p>
        </w:tc>
      </w:tr>
    </w:tbl>
    <w:p/>
    <w:p>
      <w:r>
        <w:br w:type="page"/>
      </w:r>
    </w:p>
    <w:p>
      <w:pPr>
        <w:pStyle w:val="Heading1"/>
      </w:pPr>
      <w:r>
        <w:rPr>
          <w:rFonts w:ascii="Segoe UI" w:hAnsi="Segoe UI"/>
          <w:color w:val="1F3964"/>
        </w:rPr>
        <w:t>Chapter 9: Auth0 CIAM Platform</w:t>
      </w:r>
    </w:p>
    <w:p>
      <w:pPr>
        <w:spacing w:after="120"/>
      </w:pPr>
      <w:r>
        <w:rPr>
          <w:rFonts w:ascii="Segoe UI" w:hAnsi="Segoe UI"/>
          <w:sz w:val="20"/>
        </w:rPr>
        <w:t xml:space="preserve">Customer Identity and Access Management (CIAM) addresses the unique requirements of consumer-facing applications: massive scale (millions of users), social login, frictionless UX, and progressive profiling. Auth0 (now part of Okta) is the leading developer-centric CIAM platform, widely adopted for its extensibility via Actions and its B2B multi-tenancy via Organizations. </w:t>
      </w:r>
      <w:r>
        <w:rPr>
          <w:rFonts w:ascii="Segoe UI" w:hAnsi="Segoe UI"/>
          <w:b/>
          <w:color w:val="2E74B5"/>
          <w:sz w:val="16"/>
        </w:rPr>
        <w:t>[9]</w:t>
      </w:r>
    </w:p>
    <w:p>
      <w:pPr>
        <w:pStyle w:val="Heading2"/>
      </w:pPr>
      <w:r>
        <w:rPr>
          <w:rFonts w:ascii="Segoe UI" w:hAnsi="Segoe UI"/>
          <w:color w:val="2E74B5"/>
        </w:rPr>
        <w:t>9.1  Auth0 Tenant Architecture</w:t>
      </w:r>
    </w:p>
    <w:tbl>
      <w:tblPr>
        <w:tblStyle w:val="TableGrid"/>
        <w:tblW w:type="auto" w:w="0"/>
        <w:tblLook w:firstColumn="1" w:firstRow="1" w:lastColumn="0" w:lastRow="0" w:noHBand="0" w:noVBand="1" w:val="04A0"/>
      </w:tblPr>
      <w:tblGrid>
        <w:gridCol w:w="9122"/>
      </w:tblGrid>
      <w:tr>
        <w:tc>
          <w:tcPr>
            <w:tcW w:type="dxa" w:w="9122"/>
            <w:shd w:val="clear" w:color="auto" w:fill="FFF2CC"/>
          </w:tcPr>
          <w:p>
            <w:r>
              <w:rPr>
                <w:rFonts w:ascii="Segoe UI" w:hAnsi="Segoe UI"/>
                <w:b/>
                <w:color w:val="7F6000"/>
                <w:sz w:val="20"/>
              </w:rPr>
              <w:t xml:space="preserve">💡  ANALOGY — </w:t>
            </w:r>
            <w:r>
              <w:rPr>
                <w:rFonts w:ascii="Segoe UI" w:hAnsi="Segoe UI"/>
                <w:b/>
                <w:color w:val="7F6000"/>
                <w:sz w:val="20"/>
              </w:rPr>
              <w:t>THE APARTMENT BUILDING</w:t>
            </w:r>
          </w:p>
          <w:p>
            <w:r>
              <w:rPr>
                <w:rFonts w:ascii="Segoe UI" w:hAnsi="Segoe UI"/>
                <w:i/>
                <w:sz w:val="20"/>
              </w:rPr>
              <w:t>An Auth0 tenant is like an apartment building. The building has shared infrastructure (plumbing, elevator, security desk) that all apartments use. Each apartment (application) has its own décor, rules, and entry code. The security desk (Universal Login) is what everyone sees — but the building manager can customise it per floor if needed.</w:t>
            </w:r>
          </w:p>
        </w:tc>
      </w:tr>
    </w:tbl>
    <w:p/>
    <w:p>
      <w:pPr>
        <w:spacing w:after="120"/>
      </w:pPr>
      <w:r>
        <w:rPr>
          <w:rFonts w:ascii="Segoe UI" w:hAnsi="Segoe UI"/>
          <w:sz w:val="20"/>
        </w:rPr>
        <w:t xml:space="preserve">An Auth0 tenant is the top-level container for all identity configuration. One tenant per environment (dev/staging/prod) is the recommended pattern. Within a tenant: Applications (clients — SPA, Regular Web App, Native, M2M), APIs (resource servers defining scopes), Connections (user stores — database, social, enterprise, passwordless), and Actions (serverless extensibility pipeline). </w:t>
      </w:r>
      <w:r>
        <w:rPr>
          <w:rFonts w:ascii="Segoe UI" w:hAnsi="Segoe UI"/>
          <w:b/>
          <w:color w:val="2E74B5"/>
          <w:sz w:val="16"/>
        </w:rPr>
        <w:t>[9]</w:t>
      </w:r>
    </w:p>
    <w:p>
      <w:pPr>
        <w:pStyle w:val="Heading2"/>
      </w:pPr>
      <w:r>
        <w:rPr>
          <w:rFonts w:ascii="Segoe UI" w:hAnsi="Segoe UI"/>
          <w:color w:val="2E74B5"/>
        </w:rPr>
        <w:t>9.2  Universal Login — Classic vs. New</w:t>
      </w:r>
    </w:p>
    <w:p>
      <w:pPr>
        <w:spacing w:after="120"/>
      </w:pPr>
      <w:r>
        <w:rPr>
          <w:rFonts w:ascii="Segoe UI" w:hAnsi="Segoe UI"/>
          <w:sz w:val="20"/>
        </w:rPr>
        <w:t xml:space="preserve">Auth0 Universal Login is the hosted login page that handles authentication flows. New Universal Login (recommended): React-based, supports all Auth0 features including Passkeys, Device Flow, and MFA. Classic Universal Login (deprecated path): Customisable HTML templates with Lock.js widget. Auth0 strongly recommends migrating to New Universal Login for all new implementations. </w:t>
      </w:r>
      <w:r>
        <w:rPr>
          <w:rFonts w:ascii="Segoe UI" w:hAnsi="Segoe UI"/>
          <w:b/>
          <w:color w:val="2E74B5"/>
          <w:sz w:val="16"/>
        </w:rPr>
        <w:t>[9]</w:t>
      </w:r>
    </w:p>
    <w:p>
      <w:pPr>
        <w:pStyle w:val="Heading2"/>
      </w:pPr>
      <w:r>
        <w:rPr>
          <w:rFonts w:ascii="Segoe UI" w:hAnsi="Segoe UI"/>
          <w:color w:val="2E74B5"/>
        </w:rPr>
        <w:t>9.3  Auth0 Actions Pipeline</w:t>
      </w:r>
    </w:p>
    <w:tbl>
      <w:tblPr>
        <w:tblStyle w:val="TableGrid"/>
        <w:tblW w:type="auto" w:w="0"/>
        <w:tblLook w:firstColumn="1" w:firstRow="1" w:lastColumn="0" w:lastRow="0" w:noHBand="0" w:noVBand="1" w:val="04A0"/>
      </w:tblPr>
      <w:tblGrid>
        <w:gridCol w:w="9122"/>
      </w:tblGrid>
      <w:tr>
        <w:tc>
          <w:tcPr>
            <w:tcW w:type="dxa" w:w="9122"/>
            <w:shd w:val="clear" w:color="auto" w:fill="FFF2CC"/>
          </w:tcPr>
          <w:p>
            <w:r>
              <w:rPr>
                <w:rFonts w:ascii="Segoe UI" w:hAnsi="Segoe UI"/>
                <w:b/>
                <w:color w:val="7F6000"/>
                <w:sz w:val="20"/>
              </w:rPr>
              <w:t xml:space="preserve">💡  ANALOGY — </w:t>
            </w:r>
            <w:r>
              <w:rPr>
                <w:rFonts w:ascii="Segoe UI" w:hAnsi="Segoe UI"/>
                <w:b/>
                <w:color w:val="7F6000"/>
                <w:sz w:val="20"/>
              </w:rPr>
              <w:t>THE AIRPORT SECURITY CHECKPOINT</w:t>
            </w:r>
          </w:p>
          <w:p>
            <w:r>
              <w:rPr>
                <w:rFonts w:ascii="Segoe UI" w:hAnsi="Segoe UI"/>
                <w:i/>
                <w:sz w:val="20"/>
              </w:rPr>
              <w:t>Auth0 Actions are like a sequence of airport security checkpoints. Each checkpoint (Action) can inspect your passport (user profile and login context), add a stamp (custom claim), redirect you to a different queue (MFA challenge), or deny entry (block the login). You pass through each checkpoint in order, and each checkpoint's decision affects the next.</w:t>
            </w:r>
          </w:p>
        </w:tc>
      </w:tr>
    </w:tbl>
    <w:p/>
    <w:p>
      <w:pPr>
        <w:spacing w:after="120"/>
      </w:pPr>
      <w:r>
        <w:rPr>
          <w:rFonts w:ascii="Segoe UI" w:hAnsi="Segoe UI"/>
          <w:sz w:val="20"/>
        </w:rPr>
        <w:t xml:space="preserve">Auth0 Actions are serverless Node.js functions that execute at specific points in the auth pipeline. Post-Login Actions are the most common: they can set custom claims on ID tokens and access tokens, enforce MFA based on context, log to external systems, and enrich profiles from external APIs. Actions replaced the deprecated Rules and Hooks system. </w:t>
      </w:r>
      <w:r>
        <w:rPr>
          <w:rFonts w:ascii="Segoe UI" w:hAnsi="Segoe UI"/>
          <w:b/>
          <w:color w:val="2E74B5"/>
          <w:sz w:val="16"/>
        </w:rPr>
        <w:t>[9]</w:t>
      </w:r>
    </w:p>
    <w:p>
      <w:pPr>
        <w:spacing w:after="80"/>
      </w:pPr>
      <w:r>
        <w:rPr>
          <w:rFonts w:ascii="Segoe UI" w:hAnsi="Segoe UI"/>
          <w:b/>
          <w:color w:val="2E74B5"/>
          <w:sz w:val="20"/>
        </w:rPr>
        <w:t xml:space="preserve">Custom Claims Namespacing: </w:t>
      </w:r>
      <w:r>
        <w:rPr>
          <w:rFonts w:ascii="Segoe UI" w:hAnsi="Segoe UI"/>
          <w:sz w:val="20"/>
        </w:rPr>
        <w:t>Auth0 requires custom claims in ID/access tokens to use a URI namespace (e.g., https://yourapp.com/department). This prevents collision with OIDC standard claims and ensures spec compliance.</w:t>
      </w:r>
      <w:r>
        <w:rPr>
          <w:rFonts w:ascii="Segoe UI" w:hAnsi="Segoe UI"/>
          <w:b/>
          <w:color w:val="2E74B5"/>
          <w:sz w:val="16"/>
        </w:rPr>
        <w:t xml:space="preserve"> [9]</w:t>
      </w:r>
    </w:p>
    <w:p>
      <w:pPr>
        <w:pStyle w:val="Heading2"/>
      </w:pPr>
      <w:r>
        <w:rPr>
          <w:rFonts w:ascii="Segoe UI" w:hAnsi="Segoe UI"/>
          <w:color w:val="2E74B5"/>
        </w:rPr>
        <w:t>9.4  Organizations (B2B Multi-Tenancy)</w:t>
      </w:r>
    </w:p>
    <w:p>
      <w:pPr>
        <w:spacing w:after="120"/>
      </w:pPr>
      <w:r>
        <w:rPr>
          <w:rFonts w:ascii="Segoe UI" w:hAnsi="Segoe UI"/>
          <w:sz w:val="20"/>
        </w:rPr>
        <w:t xml:space="preserve">Auth0 Organizations provides native B2B multi-tenancy. Each Organization represents a customer tenant with its own branding, connections, and member roles. The org_id claim in the access token scopes API requests to the correct tenant. SECURITY CRITICAL: Always validate org_id server-side on the API — never trust client-provided tenant context. </w:t>
      </w:r>
      <w:r>
        <w:rPr>
          <w:rFonts w:ascii="Segoe UI" w:hAnsi="Segoe UI"/>
          <w:b/>
          <w:color w:val="2E74B5"/>
          <w:sz w:val="16"/>
        </w:rPr>
        <w:t>[9]</w:t>
      </w:r>
    </w:p>
    <w:p>
      <w:pPr>
        <w:pStyle w:val="Heading2"/>
      </w:pPr>
      <w:r>
        <w:rPr>
          <w:rFonts w:ascii="Segoe UI" w:hAnsi="Segoe UI"/>
          <w:color w:val="2E74B5"/>
        </w:rPr>
        <w:t>9.5  Lazy Migration Pattern</w:t>
      </w:r>
    </w:p>
    <w:tbl>
      <w:tblPr>
        <w:tblStyle w:val="TableGrid"/>
        <w:tblW w:type="auto" w:w="0"/>
        <w:tblLook w:firstColumn="1" w:firstRow="1" w:lastColumn="0" w:lastRow="0" w:noHBand="0" w:noVBand="1" w:val="04A0"/>
      </w:tblPr>
      <w:tblGrid>
        <w:gridCol w:w="9122"/>
      </w:tblGrid>
      <w:tr>
        <w:tc>
          <w:tcPr>
            <w:tcW w:type="dxa" w:w="9122"/>
            <w:shd w:val="clear" w:color="auto" w:fill="FFF2CC"/>
          </w:tcPr>
          <w:p>
            <w:r>
              <w:rPr>
                <w:rFonts w:ascii="Segoe UI" w:hAnsi="Segoe UI"/>
                <w:b/>
                <w:color w:val="7F6000"/>
                <w:sz w:val="20"/>
              </w:rPr>
              <w:t xml:space="preserve">💡  ANALOGY — </w:t>
            </w:r>
            <w:r>
              <w:rPr>
                <w:rFonts w:ascii="Segoe UI" w:hAnsi="Segoe UI"/>
                <w:b/>
                <w:color w:val="7F6000"/>
                <w:sz w:val="20"/>
              </w:rPr>
              <w:t>THE HOTEL KEY CARD UPDATE</w:t>
            </w:r>
          </w:p>
          <w:p>
            <w:r>
              <w:rPr>
                <w:rFonts w:ascii="Segoe UI" w:hAnsi="Segoe UI"/>
                <w:i/>
                <w:sz w:val="20"/>
              </w:rPr>
              <w:t>Lazy migration is like upgrading hotel key cards without telling guests to come to the desk. The old card (legacy credential in the old system) still works until you actively use it — then the system transparently upgrades it to the new format (migrates to Auth0) and you never notice. Users who never return never need to be migrated at all.</w:t>
            </w:r>
          </w:p>
        </w:tc>
      </w:tr>
    </w:tbl>
    <w:p/>
    <w:p>
      <w:pPr>
        <w:spacing w:after="120"/>
      </w:pPr>
      <w:r>
        <w:rPr>
          <w:rFonts w:ascii="Segoe UI" w:hAnsi="Segoe UI"/>
          <w:sz w:val="20"/>
        </w:rPr>
        <w:t xml:space="preserve">Lazy (progressive) migration moves users from a legacy credential store to Auth0 on first login, without requiring a big-bang migration or forced password reset. Auth0 Custom Database connection: Login script checks Auth0 DB first; if not found, falls back to legacy DB; on successful legacy auth, migrates user to Auth0. Import Users mode: once migrated, Auth0 is authoritative and legacy DB is no longer consulted. </w:t>
      </w:r>
      <w:r>
        <w:rPr>
          <w:rFonts w:ascii="Segoe UI" w:hAnsi="Segoe UI"/>
          <w:b/>
          <w:color w:val="2E74B5"/>
          <w:sz w:val="16"/>
        </w:rPr>
        <w:t>[9]</w:t>
      </w:r>
    </w:p>
    <w:p>
      <w:pPr>
        <w:pStyle w:val="Heading3"/>
      </w:pPr>
      <w:r>
        <w:rPr>
          <w:rFonts w:ascii="Segoe UI" w:hAnsi="Segoe UI"/>
          <w:color w:val="2E74B5"/>
        </w:rPr>
        <w:t>Self-Check Questions</w:t>
      </w:r>
    </w:p>
    <w:p>
      <w:r>
        <w:rPr>
          <w:rFonts w:ascii="Segoe UI" w:hAnsi="Segoe UI"/>
          <w:b/>
          <w:sz w:val="20"/>
        </w:rPr>
        <w:t xml:space="preserve">1. </w:t>
      </w:r>
      <w:r>
        <w:rPr>
          <w:rFonts w:ascii="Segoe UI" w:hAnsi="Segoe UI"/>
          <w:sz w:val="20"/>
        </w:rPr>
        <w:t>What is the difference between Auth0 Rules (deprecated) and Actions? What are the three pipeline trigger points?</w:t>
      </w:r>
    </w:p>
    <w:p>
      <w:r>
        <w:rPr>
          <w:rFonts w:ascii="Segoe UI" w:hAnsi="Segoe UI"/>
          <w:b/>
          <w:sz w:val="20"/>
        </w:rPr>
        <w:t xml:space="preserve">2. </w:t>
      </w:r>
      <w:r>
        <w:rPr>
          <w:rFonts w:ascii="Segoe UI" w:hAnsi="Segoe UI"/>
          <w:sz w:val="20"/>
        </w:rPr>
        <w:t>Why must custom JWT claims use a namespaced URI? What problem does this solve?</w:t>
      </w:r>
    </w:p>
    <w:p>
      <w:r>
        <w:rPr>
          <w:rFonts w:ascii="Segoe UI" w:hAnsi="Segoe UI"/>
          <w:b/>
          <w:sz w:val="20"/>
        </w:rPr>
        <w:t xml:space="preserve">3. </w:t>
      </w:r>
      <w:r>
        <w:rPr>
          <w:rFonts w:ascii="Segoe UI" w:hAnsi="Segoe UI"/>
          <w:sz w:val="20"/>
        </w:rPr>
        <w:t>Explain the lazy migration pattern. What happens to users who never return to the application?</w:t>
      </w:r>
    </w:p>
    <w:p>
      <w:r>
        <w:rPr>
          <w:rFonts w:ascii="Segoe UI" w:hAnsi="Segoe UI"/>
          <w:b/>
          <w:sz w:val="20"/>
        </w:rPr>
        <w:t xml:space="preserve">4. </w:t>
      </w:r>
      <w:r>
        <w:rPr>
          <w:rFonts w:ascii="Segoe UI" w:hAnsi="Segoe UI"/>
          <w:sz w:val="20"/>
        </w:rPr>
        <w:t>What is the org_id claim, and why is server-side validation of it critical?</w:t>
      </w:r>
    </w:p>
    <w:p>
      <w:r>
        <w:rPr>
          <w:rFonts w:ascii="Segoe UI" w:hAnsi="Segoe UI"/>
          <w:b/>
          <w:sz w:val="20"/>
        </w:rPr>
        <w:t xml:space="preserve">5. </w:t>
      </w:r>
      <w:r>
        <w:rPr>
          <w:rFonts w:ascii="Segoe UI" w:hAnsi="Segoe UI"/>
          <w:sz w:val="20"/>
        </w:rPr>
        <w:t>What is the M2M Client Credentials flow, and why is token caching important?</w:t>
      </w:r>
    </w:p>
    <w:tbl>
      <w:tblPr>
        <w:tblStyle w:val="TableGrid"/>
        <w:tblW w:type="auto" w:w="0"/>
        <w:tblLook w:firstColumn="1" w:firstRow="1" w:lastColumn="0" w:lastRow="0" w:noHBand="0" w:noVBand="1" w:val="04A0"/>
      </w:tblPr>
      <w:tblGrid>
        <w:gridCol w:w="9122"/>
      </w:tblGrid>
      <w:tr>
        <w:tc>
          <w:tcPr>
            <w:tcW w:type="dxa" w:w="9122"/>
            <w:shd w:val="clear" w:color="auto" w:fill="E2EFDA"/>
          </w:tcPr>
          <w:p>
            <w:r>
              <w:rPr>
                <w:rFonts w:ascii="Segoe UI" w:hAnsi="Segoe UI"/>
                <w:b/>
                <w:color w:val="375E23"/>
                <w:sz w:val="20"/>
              </w:rPr>
              <w:t>🎯  INTERVIEW CHEAT SHEET</w:t>
            </w:r>
          </w:p>
          <w:p>
            <w:r>
              <w:rPr>
                <w:rFonts w:ascii="Segoe UI" w:hAnsi="Segoe UI"/>
                <w:sz w:val="20"/>
              </w:rPr>
              <w:t>• A company is migrating 3.8 million patient portal accounts from a PHP application to Auth0. Walk me through the migration strategy.</w:t>
            </w:r>
          </w:p>
          <w:p>
            <w:r>
              <w:rPr>
                <w:rFonts w:ascii="Segoe UI" w:hAnsi="Segoe UI"/>
                <w:sz w:val="20"/>
              </w:rPr>
              <w:t>• How would you implement adaptive MFA in Auth0 that triggers based on the user's country?</w:t>
            </w:r>
          </w:p>
          <w:p>
            <w:r>
              <w:rPr>
                <w:rFonts w:ascii="Segoe UI" w:hAnsi="Segoe UI"/>
                <w:sz w:val="20"/>
              </w:rPr>
              <w:t>• What is the Auth0 Organizations feature, and how does it enable B2B SaaS multi-tenancy?</w:t>
            </w:r>
          </w:p>
          <w:p>
            <w:r>
              <w:rPr>
                <w:rFonts w:ascii="Segoe UI" w:hAnsi="Segoe UI"/>
                <w:sz w:val="20"/>
              </w:rPr>
              <w:t>• Why does Auth0 charge per M2M token, and how does token caching address this?</w:t>
            </w:r>
          </w:p>
        </w:tc>
      </w:tr>
    </w:tbl>
    <w:p/>
    <w:p>
      <w:r>
        <w:br w:type="page"/>
      </w:r>
    </w:p>
    <w:p>
      <w:pPr>
        <w:pStyle w:val="Heading1"/>
      </w:pPr>
      <w:r>
        <w:rPr>
          <w:rFonts w:ascii="Segoe UI" w:hAnsi="Segoe UI"/>
          <w:color w:val="1F3964"/>
        </w:rPr>
        <w:t>Chapter 10: Zero Trust Implementation with Microsoft Defender XDR</w:t>
      </w:r>
    </w:p>
    <w:p>
      <w:pPr>
        <w:spacing w:after="120"/>
      </w:pPr>
      <w:r>
        <w:rPr>
          <w:rFonts w:ascii="Segoe UI" w:hAnsi="Segoe UI"/>
          <w:sz w:val="20"/>
        </w:rPr>
        <w:t xml:space="preserve">Microsoft Defender XDR (Extended Detection and Response) integrates Defender for Identity (on-prem AD), Defender for Endpoint (devices), Defender for Office 365 (email), Microsoft Sentinel (SIEM), and Entra ID Protection (cloud identity risk) into a unified security operations platform. The XDR model correlates signals across the kill chain to detect and respond to attacks that span identity, endpoint, and network. </w:t>
      </w:r>
      <w:r>
        <w:rPr>
          <w:rFonts w:ascii="Segoe UI" w:hAnsi="Segoe UI"/>
          <w:b/>
          <w:color w:val="2E74B5"/>
          <w:sz w:val="16"/>
        </w:rPr>
        <w:t>[8][30]</w:t>
      </w:r>
    </w:p>
    <w:p>
      <w:pPr>
        <w:pStyle w:val="Heading2"/>
      </w:pPr>
      <w:r>
        <w:rPr>
          <w:rFonts w:ascii="Segoe UI" w:hAnsi="Segoe UI"/>
          <w:color w:val="2E74B5"/>
        </w:rPr>
        <w:t>10.1  Entra ID Protection</w:t>
      </w:r>
    </w:p>
    <w:tbl>
      <w:tblPr>
        <w:tblStyle w:val="TableGrid"/>
        <w:tblW w:type="auto" w:w="0"/>
        <w:tblLook w:firstColumn="1" w:firstRow="1" w:lastColumn="0" w:lastRow="0" w:noHBand="0" w:noVBand="1" w:val="04A0"/>
      </w:tblPr>
      <w:tblGrid>
        <w:gridCol w:w="9122"/>
      </w:tblGrid>
      <w:tr>
        <w:tc>
          <w:tcPr>
            <w:tcW w:type="dxa" w:w="9122"/>
            <w:shd w:val="clear" w:color="auto" w:fill="FFF2CC"/>
          </w:tcPr>
          <w:p>
            <w:r>
              <w:rPr>
                <w:rFonts w:ascii="Segoe UI" w:hAnsi="Segoe UI"/>
                <w:b/>
                <w:color w:val="7F6000"/>
                <w:sz w:val="20"/>
              </w:rPr>
              <w:t xml:space="preserve">💡  ANALOGY — </w:t>
            </w:r>
            <w:r>
              <w:rPr>
                <w:rFonts w:ascii="Segoe UI" w:hAnsi="Segoe UI"/>
                <w:b/>
                <w:color w:val="7F6000"/>
                <w:sz w:val="20"/>
              </w:rPr>
              <w:t>THE CREDIT CARD FRAUD DEPARTMENT</w:t>
            </w:r>
          </w:p>
          <w:p>
            <w:r>
              <w:rPr>
                <w:rFonts w:ascii="Segoe UI" w:hAnsi="Segoe UI"/>
                <w:i/>
                <w:sz w:val="20"/>
              </w:rPr>
              <w:t>Entra ID Protection works like a credit card fraud department. Every transaction (sign-in) is scored in real time against a model trained on billions of transactions. Unusual location at 3 AM? Flagged. Known botnet IP? Blocked. You don't see most of this — only when the score crosses a threshold does the system intervene, just like your credit card gets declined when the fraud score spikes.</w:t>
            </w:r>
          </w:p>
        </w:tc>
      </w:tr>
    </w:tbl>
    <w:p/>
    <w:p>
      <w:pPr>
        <w:spacing w:after="120"/>
      </w:pPr>
      <w:r>
        <w:rPr>
          <w:rFonts w:ascii="Segoe UI" w:hAnsi="Segoe UI"/>
          <w:sz w:val="20"/>
        </w:rPr>
        <w:t xml:space="preserve">Entra ID Protection uses machine learning trained on Microsoft's global threat intelligence to score sign-in risk (per-session) and user risk (aggregate account risk). Sign-in risk detections: unfamiliar sign-in properties, anonymous IP, malware-linked IP, impossible travel, password spray. User risk detections: leaked credentials, suspicious activity patterns. </w:t>
      </w:r>
      <w:r>
        <w:rPr>
          <w:rFonts w:ascii="Segoe UI" w:hAnsi="Segoe UI"/>
          <w:b/>
          <w:color w:val="2E74B5"/>
          <w:sz w:val="16"/>
        </w:rPr>
        <w:t>[8]</w:t>
      </w:r>
    </w:p>
    <w:p>
      <w:pPr>
        <w:spacing w:after="80"/>
      </w:pPr>
      <w:r>
        <w:rPr>
          <w:rFonts w:ascii="Segoe UI" w:hAnsi="Segoe UI"/>
          <w:b/>
          <w:color w:val="2E74B5"/>
          <w:sz w:val="20"/>
        </w:rPr>
        <w:t xml:space="preserve">Sign-in Risk: </w:t>
      </w:r>
      <w:r>
        <w:rPr>
          <w:rFonts w:ascii="Segoe UI" w:hAnsi="Segoe UI"/>
          <w:sz w:val="20"/>
        </w:rPr>
        <w:t>Risk score for a specific authentication event. Calculated in real time at token issuance. Triggers Conditional Access 'Tier I' policies to step up authentication or block.</w:t>
      </w:r>
      <w:r>
        <w:rPr>
          <w:rFonts w:ascii="Segoe UI" w:hAnsi="Segoe UI"/>
          <w:b/>
          <w:color w:val="2E74B5"/>
          <w:sz w:val="16"/>
        </w:rPr>
        <w:t xml:space="preserve"> [8]</w:t>
      </w:r>
    </w:p>
    <w:p>
      <w:pPr>
        <w:spacing w:after="80"/>
      </w:pPr>
      <w:r>
        <w:rPr>
          <w:rFonts w:ascii="Segoe UI" w:hAnsi="Segoe UI"/>
          <w:b/>
          <w:color w:val="2E74B5"/>
          <w:sz w:val="20"/>
        </w:rPr>
        <w:t xml:space="preserve">User Risk: </w:t>
      </w:r>
      <w:r>
        <w:rPr>
          <w:rFonts w:ascii="Segoe UI" w:hAnsi="Segoe UI"/>
          <w:sz w:val="20"/>
        </w:rPr>
        <w:t>Aggregate risk score for an account based on all sign-in activity and detected anomalies. A High-risk user should be forced to change password and reset MFA.</w:t>
      </w:r>
      <w:r>
        <w:rPr>
          <w:rFonts w:ascii="Segoe UI" w:hAnsi="Segoe UI"/>
          <w:b/>
          <w:color w:val="2E74B5"/>
          <w:sz w:val="16"/>
        </w:rPr>
        <w:t xml:space="preserve"> [8]</w:t>
      </w:r>
    </w:p>
    <w:p>
      <w:pPr>
        <w:pStyle w:val="Heading2"/>
      </w:pPr>
      <w:r>
        <w:rPr>
          <w:rFonts w:ascii="Segoe UI" w:hAnsi="Segoe UI"/>
          <w:color w:val="2E74B5"/>
        </w:rPr>
        <w:t>10.2  Microsoft Defender for Identity (MDI)</w:t>
      </w:r>
    </w:p>
    <w:p>
      <w:pPr>
        <w:spacing w:after="120"/>
      </w:pPr>
      <w:r>
        <w:rPr>
          <w:rFonts w:ascii="Segoe UI" w:hAnsi="Segoe UI"/>
          <w:sz w:val="20"/>
        </w:rPr>
        <w:t xml:space="preserve">Microsoft Defender for Identity deploys lightweight sensors on domain controllers to monitor on-premises AD traffic. MDI detects identity-based attacks in real time: Kerberoasting (bulk TGS-REQ with RC4 encryption), DCSync (unauthorised replication requests), Pass-the-Hash, Golden Ticket, and reconnaissance (LDAP enumeration). MDI alerts integrate directly into Defender XDR incidents. </w:t>
      </w:r>
      <w:r>
        <w:rPr>
          <w:rFonts w:ascii="Segoe UI" w:hAnsi="Segoe UI"/>
          <w:b/>
          <w:color w:val="2E74B5"/>
          <w:sz w:val="16"/>
        </w:rPr>
        <w:t>[8][12]</w:t>
      </w:r>
    </w:p>
    <w:p>
      <w:pPr>
        <w:pStyle w:val="Heading2"/>
      </w:pPr>
      <w:r>
        <w:rPr>
          <w:rFonts w:ascii="Segoe UI" w:hAnsi="Segoe UI"/>
          <w:color w:val="2E74B5"/>
        </w:rPr>
        <w:t>10.3  Microsoft Sentinel KQL Analytics</w:t>
      </w:r>
    </w:p>
    <w:p>
      <w:pPr>
        <w:spacing w:after="120"/>
      </w:pPr>
      <w:r>
        <w:rPr>
          <w:rFonts w:ascii="Segoe UI" w:hAnsi="Segoe UI"/>
          <w:sz w:val="20"/>
        </w:rPr>
        <w:t xml:space="preserve">Microsoft Sentinel is a cloud-native SIEM/SOAR platform built on Azure Log Analytics. Analytics rules use KQL (Kusto Query Language) to detect threats across SigninLogs, AuditLogs, SecurityEvent, and other data sources. Key rule categories: impossible travel (geographically inconsistent sign-ins), mass modification (bulk user changes), privileged role assignment, DCSync detection. </w:t>
      </w:r>
      <w:r>
        <w:rPr>
          <w:rFonts w:ascii="Segoe UI" w:hAnsi="Segoe UI"/>
          <w:b/>
          <w:color w:val="2E74B5"/>
          <w:sz w:val="16"/>
        </w:rPr>
        <w:t>[30]</w:t>
      </w:r>
    </w:p>
    <w:tbl>
      <w:tblPr>
        <w:tblStyle w:val="TableGrid"/>
        <w:tblW w:type="auto" w:w="0"/>
        <w:tblLook w:firstColumn="1" w:firstRow="1" w:lastColumn="0" w:lastRow="0" w:noHBand="0" w:noVBand="1" w:val="04A0"/>
      </w:tblPr>
      <w:tblGrid>
        <w:gridCol w:w="9122"/>
      </w:tblGrid>
      <w:tr>
        <w:tc>
          <w:tcPr>
            <w:tcW w:type="dxa" w:w="9122"/>
            <w:shd w:val="clear" w:color="auto" w:fill="DEEAF1"/>
          </w:tcPr>
          <w:p>
            <w:r>
              <w:rPr>
                <w:rFonts w:ascii="Segoe UI" w:hAnsi="Segoe UI"/>
                <w:b/>
                <w:color w:val="1F3964"/>
                <w:sz w:val="20"/>
              </w:rPr>
              <w:t>ℹ  KQL PATTERN — IMPOSSIBLE TRAVEL</w:t>
            </w:r>
          </w:p>
          <w:p>
            <w:r>
              <w:rPr>
                <w:rFonts w:ascii="Segoe UI" w:hAnsi="Segoe UI"/>
                <w:sz w:val="20"/>
              </w:rPr>
              <w:t>SigninLogs | where TimeGenerated &gt; ago(1h) | where ResultType == 0 | extend Country = tostring(LocationDetails.countryOrRegion) | summarize Countries = make_set(Country), Count = count() by UserPrincipalName | where array_length(Countries) &gt; 1</w:t>
            </w:r>
          </w:p>
        </w:tc>
      </w:tr>
    </w:tbl>
    <w:p/>
    <w:p>
      <w:pPr>
        <w:pStyle w:val="Heading2"/>
      </w:pPr>
      <w:r>
        <w:rPr>
          <w:rFonts w:ascii="Segoe UI" w:hAnsi="Segoe UI"/>
          <w:color w:val="2E74B5"/>
        </w:rPr>
        <w:t>10.4  Attack Disruption — Autonomous Response</w:t>
      </w:r>
    </w:p>
    <w:p>
      <w:pPr>
        <w:spacing w:after="120"/>
      </w:pPr>
      <w:r>
        <w:rPr>
          <w:rFonts w:ascii="Segoe UI" w:hAnsi="Segoe UI"/>
          <w:sz w:val="20"/>
        </w:rPr>
        <w:t xml:space="preserve">Defender XDR Attack Disruption is an autonomous incident response capability that can contain attacks in progress without waiting for analyst intervention. For BEC (Business Email Compromise) and ransomware scenarios: automatically disables compromised user accounts, blocks malicious IP addresses, and isolates compromised devices — all within seconds of detection, dramatically reducing dwell time. </w:t>
      </w:r>
      <w:r>
        <w:rPr>
          <w:rFonts w:ascii="Segoe UI" w:hAnsi="Segoe UI"/>
          <w:b/>
          <w:color w:val="2E74B5"/>
          <w:sz w:val="16"/>
        </w:rPr>
        <w:t>[8]</w:t>
      </w:r>
    </w:p>
    <w:p>
      <w:pPr>
        <w:pStyle w:val="Heading3"/>
      </w:pPr>
      <w:r>
        <w:rPr>
          <w:rFonts w:ascii="Segoe UI" w:hAnsi="Segoe UI"/>
          <w:color w:val="2E74B5"/>
        </w:rPr>
        <w:t>Self-Check Questions</w:t>
      </w:r>
    </w:p>
    <w:p>
      <w:r>
        <w:rPr>
          <w:rFonts w:ascii="Segoe UI" w:hAnsi="Segoe UI"/>
          <w:b/>
          <w:sz w:val="20"/>
        </w:rPr>
        <w:t xml:space="preserve">1. </w:t>
      </w:r>
      <w:r>
        <w:rPr>
          <w:rFonts w:ascii="Segoe UI" w:hAnsi="Segoe UI"/>
          <w:sz w:val="20"/>
        </w:rPr>
        <w:t>What is the difference between Sign-in Risk and User Risk in Entra ID Protection?</w:t>
      </w:r>
    </w:p>
    <w:p>
      <w:r>
        <w:rPr>
          <w:rFonts w:ascii="Segoe UI" w:hAnsi="Segoe UI"/>
          <w:b/>
          <w:sz w:val="20"/>
        </w:rPr>
        <w:t xml:space="preserve">2. </w:t>
      </w:r>
      <w:r>
        <w:rPr>
          <w:rFonts w:ascii="Segoe UI" w:hAnsi="Segoe UI"/>
          <w:sz w:val="20"/>
        </w:rPr>
        <w:t>What protocol does MDI monitor on domain controllers, and what specific attack does Event 4769 RC4 indicate?</w:t>
      </w:r>
    </w:p>
    <w:p>
      <w:r>
        <w:rPr>
          <w:rFonts w:ascii="Segoe UI" w:hAnsi="Segoe UI"/>
          <w:b/>
          <w:sz w:val="20"/>
        </w:rPr>
        <w:t xml:space="preserve">3. </w:t>
      </w:r>
      <w:r>
        <w:rPr>
          <w:rFonts w:ascii="Segoe UI" w:hAnsi="Segoe UI"/>
          <w:sz w:val="20"/>
        </w:rPr>
        <w:t>What is Attack Disruption, and how does it differ from a traditional SOC response workflow?</w:t>
      </w:r>
    </w:p>
    <w:p>
      <w:r>
        <w:rPr>
          <w:rFonts w:ascii="Segoe UI" w:hAnsi="Segoe UI"/>
          <w:b/>
          <w:sz w:val="20"/>
        </w:rPr>
        <w:t xml:space="preserve">4. </w:t>
      </w:r>
      <w:r>
        <w:rPr>
          <w:rFonts w:ascii="Segoe UI" w:hAnsi="Segoe UI"/>
          <w:sz w:val="20"/>
        </w:rPr>
        <w:t>Write a KQL query that detects when more than 5 Service Ticket requests with RC4 encryption come from the same IP in 15 minutes.</w:t>
      </w:r>
    </w:p>
    <w:p>
      <w:r>
        <w:rPr>
          <w:rFonts w:ascii="Segoe UI" w:hAnsi="Segoe UI"/>
          <w:b/>
          <w:sz w:val="20"/>
        </w:rPr>
        <w:t xml:space="preserve">5. </w:t>
      </w:r>
      <w:r>
        <w:rPr>
          <w:rFonts w:ascii="Segoe UI" w:hAnsi="Segoe UI"/>
          <w:sz w:val="20"/>
        </w:rPr>
        <w:t>What is MTTD and MTTR, and what are realistic Zero Trust target values?</w:t>
      </w:r>
    </w:p>
    <w:tbl>
      <w:tblPr>
        <w:tblStyle w:val="TableGrid"/>
        <w:tblW w:type="auto" w:w="0"/>
        <w:tblLook w:firstColumn="1" w:firstRow="1" w:lastColumn="0" w:lastRow="0" w:noHBand="0" w:noVBand="1" w:val="04A0"/>
      </w:tblPr>
      <w:tblGrid>
        <w:gridCol w:w="9122"/>
      </w:tblGrid>
      <w:tr>
        <w:tc>
          <w:tcPr>
            <w:tcW w:type="dxa" w:w="9122"/>
            <w:shd w:val="clear" w:color="auto" w:fill="E2EFDA"/>
          </w:tcPr>
          <w:p>
            <w:r>
              <w:rPr>
                <w:rFonts w:ascii="Segoe UI" w:hAnsi="Segoe UI"/>
                <w:b/>
                <w:color w:val="375E23"/>
                <w:sz w:val="20"/>
              </w:rPr>
              <w:t>🎯  INTERVIEW CHEAT SHEET</w:t>
            </w:r>
          </w:p>
          <w:p>
            <w:r>
              <w:rPr>
                <w:rFonts w:ascii="Segoe UI" w:hAnsi="Segoe UI"/>
                <w:sz w:val="20"/>
              </w:rPr>
              <w:t>• How does Microsoft Defender XDR correlate signals across identity, endpoint, and email to detect BEC?</w:t>
            </w:r>
          </w:p>
          <w:p>
            <w:r>
              <w:rPr>
                <w:rFonts w:ascii="Segoe UI" w:hAnsi="Segoe UI"/>
                <w:sz w:val="20"/>
              </w:rPr>
              <w:t>• Walk me through the Sentinel KQL rule you would write to detect DCSync attacks.</w:t>
            </w:r>
          </w:p>
          <w:p>
            <w:r>
              <w:rPr>
                <w:rFonts w:ascii="Segoe UI" w:hAnsi="Segoe UI"/>
                <w:sz w:val="20"/>
              </w:rPr>
              <w:t>• A user's account shows High sign-in risk. Walk me through the automated Conditional Access response and manual investigation steps.</w:t>
            </w:r>
          </w:p>
          <w:p>
            <w:r>
              <w:rPr>
                <w:rFonts w:ascii="Segoe UI" w:hAnsi="Segoe UI"/>
                <w:sz w:val="20"/>
              </w:rPr>
              <w:t>• What is the value of CAE from an incident response perspective when a credential is compromised?</w:t>
            </w:r>
          </w:p>
        </w:tc>
      </w:tr>
    </w:tbl>
    <w:p/>
    <w:p>
      <w:r>
        <w:br w:type="page"/>
      </w:r>
    </w:p>
    <w:p>
      <w:pPr>
        <w:pStyle w:val="Heading1"/>
      </w:pPr>
      <w:r>
        <w:rPr>
          <w:rFonts w:ascii="Segoe UI" w:hAnsi="Segoe UI"/>
          <w:color w:val="1F3964"/>
        </w:rPr>
        <w:t>Chapter 11: Capstone — Vertex Health Systems Architecture</w:t>
      </w:r>
    </w:p>
    <w:p>
      <w:pPr>
        <w:spacing w:after="120"/>
      </w:pPr>
      <w:r>
        <w:rPr>
          <w:rFonts w:ascii="Segoe UI" w:hAnsi="Segoe UI"/>
          <w:sz w:val="20"/>
        </w:rPr>
        <w:t xml:space="preserve">This capstone chapter presents a complete, production-grade IAM architecture for Vertex Health Systems — a fictional regional health system designed to represent the complexity, legacy debt, and regulatory requirements of real large healthcare organisations. All eight major IAM design decisions are documented as Architecture Decision Records (ADRs). </w:t>
      </w:r>
      <w:r>
        <w:rPr>
          <w:rFonts w:ascii="Segoe UI" w:hAnsi="Segoe UI"/>
          <w:b/>
          <w:color w:val="2E74B5"/>
          <w:sz w:val="16"/>
        </w:rPr>
        <w:t>[10][24]</w:t>
      </w:r>
    </w:p>
    <w:p>
      <w:pPr>
        <w:pStyle w:val="Heading2"/>
      </w:pPr>
      <w:r>
        <w:rPr>
          <w:rFonts w:ascii="Segoe UI" w:hAnsi="Segoe UI"/>
          <w:color w:val="2E74B5"/>
        </w:rPr>
        <w:t>11.1  Organisation Profile and Problem Statement</w:t>
      </w:r>
    </w:p>
    <w:p>
      <w:pPr>
        <w:spacing w:after="120"/>
      </w:pPr>
      <w:r>
        <w:rPr>
          <w:rFonts w:ascii="Segoe UI" w:hAnsi="Segoe UI"/>
          <w:sz w:val="20"/>
        </w:rPr>
        <w:t xml:space="preserve">Vertex Health Systems: 85,000 employees across 28 hospitals and 340 outpatient clinics. 4.2 million patient portal accounts. $12.4 billion annual revenue. The programme trigger: a supply chain ransomware near-miss — a vendor VPN account with no MFA, 14-day dwell time before detection, active exfiltration of 340,000 patient records. </w:t>
      </w:r>
      <w:r>
        <w:rPr>
          <w:rFonts w:ascii="Segoe UI" w:hAnsi="Segoe UI"/>
          <w:b/>
          <w:color w:val="2E74B5"/>
          <w:sz w:val="16"/>
        </w:rPr>
        <w:t>[24][10]</w:t>
      </w:r>
    </w:p>
    <w:p>
      <w:pPr>
        <w:spacing w:after="120"/>
      </w:pPr>
      <w:r>
        <w:rPr>
          <w:rFonts w:ascii="Segoe UI" w:hAnsi="Segoe UI"/>
          <w:sz w:val="20"/>
        </w:rPr>
        <w:t>Starting state: 4 AD forests, 18 domains (legacy hospital acquisitions), Oracle OAM federation (end-of-life in 18 months), homegrown PHP patient portal, no PAM, no IGA, no MFA for most users, mixed PKI with expired certificates on internal applications.</w:t>
      </w:r>
    </w:p>
    <w:p>
      <w:pPr>
        <w:pStyle w:val="Heading2"/>
      </w:pPr>
      <w:r>
        <w:rPr>
          <w:rFonts w:ascii="Segoe UI" w:hAnsi="Segoe UI"/>
          <w:color w:val="2E74B5"/>
        </w:rPr>
        <w:t>11.2  Architecture Decision Records</w:t>
      </w:r>
    </w:p>
    <w:tbl>
      <w:tblPr>
        <w:tblStyle w:val="TableGrid"/>
        <w:tblW w:type="auto" w:w="0"/>
        <w:tblLook w:firstColumn="1" w:firstRow="1" w:lastColumn="0" w:lastRow="0" w:noHBand="0" w:noVBand="1" w:val="04A0"/>
      </w:tblPr>
      <w:tblGrid>
        <w:gridCol w:w="9122"/>
      </w:tblGrid>
      <w:tr>
        <w:tc>
          <w:tcPr>
            <w:tcW w:type="dxa" w:w="9122"/>
            <w:shd w:val="clear" w:color="auto" w:fill="FFF2CC"/>
          </w:tcPr>
          <w:p>
            <w:r>
              <w:rPr>
                <w:rFonts w:ascii="Segoe UI" w:hAnsi="Segoe UI"/>
                <w:b/>
                <w:color w:val="7F6000"/>
                <w:sz w:val="20"/>
              </w:rPr>
              <w:t xml:space="preserve">💡  ANALOGY — </w:t>
            </w:r>
            <w:r>
              <w:rPr>
                <w:rFonts w:ascii="Segoe UI" w:hAnsi="Segoe UI"/>
                <w:b/>
                <w:color w:val="7F6000"/>
                <w:sz w:val="20"/>
              </w:rPr>
              <w:t>THE ARCHITECT'S DECISION LOG</w:t>
            </w:r>
          </w:p>
          <w:p>
            <w:r>
              <w:rPr>
                <w:rFonts w:ascii="Segoe UI" w:hAnsi="Segoe UI"/>
                <w:i/>
                <w:sz w:val="20"/>
              </w:rPr>
              <w:t>An ADR (Architecture Decision Record) is an architect's decision journal. It records not just what was decided, but why — and critically, what alternatives were considered and rejected. Future engineers reading the ADR understand the constraints that shaped the design. Without ADRs, engineers inherit a system with no explanation of why it was built this way, leading to ill-informed changes that break assumptions the original architect never documented.</w:t>
            </w:r>
          </w:p>
        </w:tc>
      </w:tr>
    </w:tbl>
    <w:p/>
    <w:p>
      <w:pPr>
        <w:spacing w:after="120"/>
      </w:pPr>
      <w:r>
        <w:rPr>
          <w:rFonts w:ascii="Segoe UI" w:hAnsi="Segoe UI"/>
          <w:sz w:val="20"/>
        </w:rPr>
        <w:t xml:space="preserve">The IAM-ADR Framework evaluates every major decision across seven forces: Security (threat model), Usability (user experience friction), Compliance (regulatory requirements), Operability (team capacity), Scalability (user/transaction volume), Cost (budget constraints), and Vendor lock-in (exit risk). Each ADR documents: Context, Decision, Rationale, Consequences (positive/negative/neutral), and Review Date. </w:t>
      </w:r>
      <w:r>
        <w:rPr>
          <w:rFonts w:ascii="Segoe UI" w:hAnsi="Segoe UI"/>
          <w:b/>
          <w:color w:val="2E74B5"/>
          <w:sz w:val="16"/>
        </w:rPr>
        <w:t>[2]</w:t>
      </w:r>
    </w:p>
    <w:p>
      <w:pPr>
        <w:spacing w:after="80"/>
      </w:pPr>
      <w:r>
        <w:rPr>
          <w:rFonts w:ascii="Segoe UI" w:hAnsi="Segoe UI"/>
          <w:b/>
          <w:color w:val="2E74B5"/>
          <w:sz w:val="20"/>
        </w:rPr>
        <w:t xml:space="preserve">ADR-02: PHS vs. AD FS: </w:t>
      </w:r>
      <w:r>
        <w:rPr>
          <w:rFonts w:ascii="Segoe UI" w:hAnsi="Segoe UI"/>
          <w:sz w:val="20"/>
        </w:rPr>
        <w:t>PHS chosen for Vertex Health. Rationale: 99.99% auth SLA impossible with AD FS across 28 hospitals on 1.5 Mbps WAN links. WAN outage = cloud auth outage with AD FS. PHS validates in cloud — WAN outage has zero impact on cloud authentication. Validated by two WAN outages during Month 4 and Month 11: PHS users unaffected.</w:t>
      </w:r>
      <w:r>
        <w:rPr>
          <w:rFonts w:ascii="Segoe UI" w:hAnsi="Segoe UI"/>
          <w:b/>
          <w:color w:val="2E74B5"/>
          <w:sz w:val="16"/>
        </w:rPr>
        <w:t xml:space="preserve"> [16]</w:t>
      </w:r>
    </w:p>
    <w:p>
      <w:pPr>
        <w:spacing w:after="80"/>
      </w:pPr>
      <w:r>
        <w:rPr>
          <w:rFonts w:ascii="Segoe UI" w:hAnsi="Segoe UI"/>
          <w:b/>
          <w:color w:val="2E74B5"/>
          <w:sz w:val="20"/>
        </w:rPr>
        <w:t xml:space="preserve">ADR-07: Entra External ID vs. Auth0: </w:t>
      </w:r>
      <w:r>
        <w:rPr>
          <w:rFonts w:ascii="Segoe UI" w:hAnsi="Segoe UI"/>
          <w:sz w:val="20"/>
        </w:rPr>
        <w:t>Entra External ID chosen for patient portal CIAM. Rationale: HIPAA BAA for Auth0 requires Private Cloud deployment at 3–5x cost premium. Entra External ID provides HIPAA BAA on standard Azure US-region deployment within approved budget. Auth0 Private Cloud rejected on cost despite superior developer experience.</w:t>
      </w:r>
      <w:r>
        <w:rPr>
          <w:rFonts w:ascii="Segoe UI" w:hAnsi="Segoe UI"/>
          <w:b/>
          <w:color w:val="2E74B5"/>
          <w:sz w:val="16"/>
        </w:rPr>
        <w:t xml:space="preserve"> [9]</w:t>
      </w:r>
    </w:p>
    <w:p>
      <w:pPr>
        <w:pStyle w:val="Heading2"/>
      </w:pPr>
      <w:r>
        <w:rPr>
          <w:rFonts w:ascii="Segoe UI" w:hAnsi="Segoe UI"/>
          <w:color w:val="2E74B5"/>
        </w:rPr>
        <w:t>11.3  Clinical Authentication — 8-Second SLA</w:t>
      </w:r>
    </w:p>
    <w:p>
      <w:pPr>
        <w:spacing w:after="120"/>
      </w:pPr>
      <w:r>
        <w:rPr>
          <w:rFonts w:ascii="Segoe UI" w:hAnsi="Segoe UI"/>
          <w:sz w:val="20"/>
        </w:rPr>
        <w:t xml:space="preserve">Clinical staff authentication SLA: 8 seconds from badge tap to EHR (Epic) access. Solution: HID proximity badge with PIV-compliant X.509 certificate → PKINIT (Kerberos + certificate) → TGT → Seamless SSO → Entra ID token → Epic EHR. Measured result: 3.7 seconds (LAN), 5.1 seconds (WAN). Both under SLA. </w:t>
      </w:r>
      <w:r>
        <w:rPr>
          <w:rFonts w:ascii="Segoe UI" w:hAnsi="Segoe UI"/>
          <w:b/>
          <w:color w:val="2E74B5"/>
          <w:sz w:val="16"/>
        </w:rPr>
        <w:t>[22][15]</w:t>
      </w:r>
    </w:p>
    <w:p>
      <w:pPr>
        <w:pStyle w:val="Heading2"/>
      </w:pPr>
      <w:r>
        <w:rPr>
          <w:rFonts w:ascii="Segoe UI" w:hAnsi="Segoe UI"/>
          <w:color w:val="2E74B5"/>
        </w:rPr>
        <w:t>11.4  Programme Outcomes</w:t>
      </w:r>
    </w:p>
    <w:p>
      <w:pPr>
        <w:spacing w:after="120"/>
      </w:pPr>
      <w:r>
        <w:rPr>
          <w:rFonts w:ascii="Segoe UI" w:hAnsi="Segoe UI"/>
          <w:sz w:val="20"/>
        </w:rPr>
        <w:t xml:space="preserve">Month 24 results: CISA ZT Identity Pillar — Optimal (from Traditional). MFA coverage — 97.2% (from 0%). Dwell time (MTTD) — 2.8 hours (from 14 days). Legacy auth sign-ins — 23/day (from ~12,400/day). Critical attack paths — 89 (from 847). HITRUST CSF certified. Cyber insurance renewed at Month 3 on proof of MFA deployment. </w:t>
      </w:r>
      <w:r>
        <w:rPr>
          <w:rFonts w:ascii="Segoe UI" w:hAnsi="Segoe UI"/>
          <w:b/>
          <w:color w:val="2E74B5"/>
          <w:sz w:val="16"/>
        </w:rPr>
        <w:t>[6][10]</w:t>
      </w:r>
    </w:p>
    <w:p>
      <w:pPr>
        <w:pStyle w:val="Heading2"/>
      </w:pPr>
      <w:r>
        <w:rPr>
          <w:rFonts w:ascii="Segoe UI" w:hAnsi="Segoe UI"/>
          <w:color w:val="2E74B5"/>
        </w:rPr>
        <w:t>11.5  HIPAA Security Rule Compliance Mapping</w:t>
      </w:r>
    </w:p>
    <w:p>
      <w:pPr>
        <w:spacing w:after="120"/>
      </w:pPr>
      <w:r>
        <w:rPr>
          <w:rFonts w:ascii="Segoe UI" w:hAnsi="Segoe UI"/>
          <w:sz w:val="20"/>
        </w:rPr>
        <w:t xml:space="preserve">HIPAA Security Rule §164.312 Technical Safeguards require: Access control (unique user IDs, emergency access, automatic logoff, encryption/decryption). Audit controls (hardware/software/procedural mechanisms to record activity). Integrity (PHI alteration/destruction protection). Authentication (verify person or entity seeking access). Transmission security (encryption of PHI in transit). </w:t>
      </w:r>
      <w:r>
        <w:rPr>
          <w:rFonts w:ascii="Segoe UI" w:hAnsi="Segoe UI"/>
          <w:b/>
          <w:color w:val="2E74B5"/>
          <w:sz w:val="16"/>
        </w:rPr>
        <w:t>[24]</w:t>
      </w:r>
    </w:p>
    <w:p>
      <w:pPr>
        <w:pStyle w:val="Heading3"/>
      </w:pPr>
      <w:r>
        <w:rPr>
          <w:rFonts w:ascii="Segoe UI" w:hAnsi="Segoe UI"/>
          <w:color w:val="2E74B5"/>
        </w:rPr>
        <w:t>Self-Check Questions</w:t>
      </w:r>
    </w:p>
    <w:p>
      <w:r>
        <w:rPr>
          <w:rFonts w:ascii="Segoe UI" w:hAnsi="Segoe UI"/>
          <w:b/>
          <w:sz w:val="20"/>
        </w:rPr>
        <w:t xml:space="preserve">1. </w:t>
      </w:r>
      <w:r>
        <w:rPr>
          <w:rFonts w:ascii="Segoe UI" w:hAnsi="Segoe UI"/>
          <w:sz w:val="20"/>
        </w:rPr>
        <w:t>What are the seven IAM architecture forces evaluated in the Vertex Health ADR framework?</w:t>
      </w:r>
    </w:p>
    <w:p>
      <w:r>
        <w:rPr>
          <w:rFonts w:ascii="Segoe UI" w:hAnsi="Segoe UI"/>
          <w:b/>
          <w:sz w:val="20"/>
        </w:rPr>
        <w:t xml:space="preserve">2. </w:t>
      </w:r>
      <w:r>
        <w:rPr>
          <w:rFonts w:ascii="Segoe UI" w:hAnsi="Segoe UI"/>
          <w:sz w:val="20"/>
        </w:rPr>
        <w:t>Why was PHS chosen over AD FS for Vertex Health? What specific failure scenario made AD FS unacceptable?</w:t>
      </w:r>
    </w:p>
    <w:p>
      <w:r>
        <w:rPr>
          <w:rFonts w:ascii="Segoe UI" w:hAnsi="Segoe UI"/>
          <w:b/>
          <w:sz w:val="20"/>
        </w:rPr>
        <w:t xml:space="preserve">3. </w:t>
      </w:r>
      <w:r>
        <w:rPr>
          <w:rFonts w:ascii="Segoe UI" w:hAnsi="Segoe UI"/>
          <w:sz w:val="20"/>
        </w:rPr>
        <w:t>Describe the clinical authentication flow from badge tap to Epic EHR access, naming each protocol used.</w:t>
      </w:r>
    </w:p>
    <w:p>
      <w:r>
        <w:rPr>
          <w:rFonts w:ascii="Segoe UI" w:hAnsi="Segoe UI"/>
          <w:b/>
          <w:sz w:val="20"/>
        </w:rPr>
        <w:t xml:space="preserve">4. </w:t>
      </w:r>
      <w:r>
        <w:rPr>
          <w:rFonts w:ascii="Segoe UI" w:hAnsi="Segoe UI"/>
          <w:sz w:val="20"/>
        </w:rPr>
        <w:t>What is the difference between HITRUST CSF and HIPAA? Why did Vertex Health pursue both?</w:t>
      </w:r>
    </w:p>
    <w:p>
      <w:r>
        <w:rPr>
          <w:rFonts w:ascii="Segoe UI" w:hAnsi="Segoe UI"/>
          <w:b/>
          <w:sz w:val="20"/>
        </w:rPr>
        <w:t xml:space="preserve">5. </w:t>
      </w:r>
      <w:r>
        <w:rPr>
          <w:rFonts w:ascii="Segoe UI" w:hAnsi="Segoe UI"/>
          <w:sz w:val="20"/>
        </w:rPr>
        <w:t>What was the highest-ROI security control implemented in the Vertex Health programme, and why?</w:t>
      </w:r>
    </w:p>
    <w:tbl>
      <w:tblPr>
        <w:tblStyle w:val="TableGrid"/>
        <w:tblW w:type="auto" w:w="0"/>
        <w:tblLook w:firstColumn="1" w:firstRow="1" w:lastColumn="0" w:lastRow="0" w:noHBand="0" w:noVBand="1" w:val="04A0"/>
      </w:tblPr>
      <w:tblGrid>
        <w:gridCol w:w="9122"/>
      </w:tblGrid>
      <w:tr>
        <w:tc>
          <w:tcPr>
            <w:tcW w:type="dxa" w:w="9122"/>
            <w:shd w:val="clear" w:color="auto" w:fill="E2EFDA"/>
          </w:tcPr>
          <w:p>
            <w:r>
              <w:rPr>
                <w:rFonts w:ascii="Segoe UI" w:hAnsi="Segoe UI"/>
                <w:b/>
                <w:color w:val="375E23"/>
                <w:sz w:val="20"/>
              </w:rPr>
              <w:t>🎯  INTERVIEW CHEAT SHEET</w:t>
            </w:r>
          </w:p>
          <w:p>
            <w:r>
              <w:rPr>
                <w:rFonts w:ascii="Segoe UI" w:hAnsi="Segoe UI"/>
                <w:sz w:val="20"/>
              </w:rPr>
              <w:t>• Walk me through an Architecture Decision Record. What sections does it contain, and why is the Rationale section the most important?</w:t>
            </w:r>
          </w:p>
          <w:p>
            <w:r>
              <w:rPr>
                <w:rFonts w:ascii="Segoe UI" w:hAnsi="Segoe UI"/>
                <w:sz w:val="20"/>
              </w:rPr>
              <w:t>• A healthcare client needs authentication in under 8 seconds for clinical staff. What architecture would you design?</w:t>
            </w:r>
          </w:p>
          <w:p>
            <w:r>
              <w:rPr>
                <w:rFonts w:ascii="Segoe UI" w:hAnsi="Segoe UI"/>
                <w:sz w:val="20"/>
              </w:rPr>
              <w:t>• HIPAA §164.312 requires 'unique user identification.' What identity controls satisfy this requirement?</w:t>
            </w:r>
          </w:p>
          <w:p>
            <w:r>
              <w:rPr>
                <w:rFonts w:ascii="Segoe UI" w:hAnsi="Segoe UI"/>
                <w:sz w:val="20"/>
              </w:rPr>
              <w:t>• How would you measure the ROI of a Zero Trust programme to a healthcare board?</w:t>
            </w:r>
          </w:p>
        </w:tc>
      </w:tr>
    </w:tbl>
    <w:p/>
    <w:p>
      <w:r>
        <w:br w:type="page"/>
      </w:r>
    </w:p>
    <w:p>
      <w:pPr>
        <w:pStyle w:val="Heading1"/>
      </w:pPr>
      <w:r>
        <w:rPr>
          <w:rFonts w:ascii="Segoe UI" w:hAnsi="Segoe UI"/>
          <w:color w:val="1F3964"/>
        </w:rPr>
        <w:t>Chapter 12: AI Identity Security</w:t>
      </w:r>
    </w:p>
    <w:p>
      <w:pPr>
        <w:spacing w:after="120"/>
      </w:pPr>
      <w:r>
        <w:rPr>
          <w:rFonts w:ascii="Segoe UI" w:hAnsi="Segoe UI"/>
          <w:sz w:val="20"/>
        </w:rPr>
        <w:t xml:space="preserve">Artificial intelligence is transforming both the attack surface and the defensive capabilities of identity security. LLMs and AI agents introduce new identity patterns (AI workload identity, agent delegation), new attack vectors (prompt injection, AI-assisted SoD gaming), and new defensive tools (AI-assisted access review, anomaly detection). IAM architects must understand both sides. </w:t>
      </w:r>
      <w:r>
        <w:rPr>
          <w:rFonts w:ascii="Segoe UI" w:hAnsi="Segoe UI"/>
          <w:b/>
          <w:color w:val="2E74B5"/>
          <w:sz w:val="16"/>
        </w:rPr>
        <w:t>[7][14]</w:t>
      </w:r>
    </w:p>
    <w:p>
      <w:pPr>
        <w:pStyle w:val="Heading2"/>
      </w:pPr>
      <w:r>
        <w:rPr>
          <w:rFonts w:ascii="Segoe UI" w:hAnsi="Segoe UI"/>
          <w:color w:val="2E74B5"/>
        </w:rPr>
        <w:t>12.1  LLM Access Control Stack</w:t>
      </w:r>
    </w:p>
    <w:tbl>
      <w:tblPr>
        <w:tblStyle w:val="TableGrid"/>
        <w:tblW w:type="auto" w:w="0"/>
        <w:tblLook w:firstColumn="1" w:firstRow="1" w:lastColumn="0" w:lastRow="0" w:noHBand="0" w:noVBand="1" w:val="04A0"/>
      </w:tblPr>
      <w:tblGrid>
        <w:gridCol w:w="9122"/>
      </w:tblGrid>
      <w:tr>
        <w:tc>
          <w:tcPr>
            <w:tcW w:type="dxa" w:w="9122"/>
            <w:shd w:val="clear" w:color="auto" w:fill="FFF2CC"/>
          </w:tcPr>
          <w:p>
            <w:r>
              <w:rPr>
                <w:rFonts w:ascii="Segoe UI" w:hAnsi="Segoe UI"/>
                <w:b/>
                <w:color w:val="7F6000"/>
                <w:sz w:val="20"/>
              </w:rPr>
              <w:t xml:space="preserve">💡  ANALOGY — </w:t>
            </w:r>
            <w:r>
              <w:rPr>
                <w:rFonts w:ascii="Segoe UI" w:hAnsi="Segoe UI"/>
                <w:b/>
                <w:color w:val="7F6000"/>
                <w:sz w:val="20"/>
              </w:rPr>
              <w:t>THE BANK TELLER WINDOW</w:t>
            </w:r>
          </w:p>
          <w:p>
            <w:r>
              <w:rPr>
                <w:rFonts w:ascii="Segoe UI" w:hAnsi="Segoe UI"/>
                <w:i/>
                <w:sz w:val="20"/>
              </w:rPr>
              <w:t>An LLM handling sensitive queries is like a bank teller window. Before you can ask about your account, you must (1) show ID at the door (identity gate), (2) pass through the security checkpoint (API gateway with rate limiting), (3) speak to the teller who only sees information relevant to your account (context assembly with access-controlled RAG). The teller doesn't have keys to every vault — they see only what's appropriate for your query.</w:t>
            </w:r>
          </w:p>
        </w:tc>
      </w:tr>
    </w:tbl>
    <w:p/>
    <w:p>
      <w:pPr>
        <w:spacing w:after="120"/>
      </w:pPr>
      <w:r>
        <w:rPr>
          <w:rFonts w:ascii="Segoe UI" w:hAnsi="Segoe UI"/>
          <w:sz w:val="20"/>
        </w:rPr>
        <w:t xml:space="preserve">The LLM access control stack has five layers: (1) Identity gate — authenticate the user before any query reaches the LLM. (2) API gateway — rate limiting, quota enforcement, token counting. (3) Context assembly — RAG retrieval with server-side document filtering (OData filter at search engine level, not in application code). (4) LLM inference — model processes only authorised context. (5) Output filter — scan response for injection artifacts or unauthorised content. </w:t>
      </w:r>
      <w:r>
        <w:rPr>
          <w:rFonts w:ascii="Segoe UI" w:hAnsi="Segoe UI"/>
          <w:b/>
          <w:color w:val="2E74B5"/>
          <w:sz w:val="16"/>
        </w:rPr>
        <w:t>[7][14]</w:t>
      </w:r>
    </w:p>
    <w:p>
      <w:pPr>
        <w:spacing w:after="80"/>
      </w:pPr>
      <w:r>
        <w:rPr>
          <w:rFonts w:ascii="Segoe UI" w:hAnsi="Segoe UI"/>
          <w:b/>
          <w:color w:val="2E74B5"/>
          <w:sz w:val="20"/>
        </w:rPr>
        <w:t xml:space="preserve">Server-Side RAG Filtering: </w:t>
      </w:r>
      <w:r>
        <w:rPr>
          <w:rFonts w:ascii="Segoe UI" w:hAnsi="Segoe UI"/>
          <w:sz w:val="20"/>
        </w:rPr>
        <w:t>Document namespace filter applied at the vector search engine (e.g., Azure AI Search OData filter), not in application code post-retrieval. Critical: unauthorised documents must never reach application memory — server-side enforcement only.</w:t>
      </w:r>
      <w:r>
        <w:rPr>
          <w:rFonts w:ascii="Segoe UI" w:hAnsi="Segoe UI"/>
          <w:b/>
          <w:color w:val="2E74B5"/>
          <w:sz w:val="16"/>
        </w:rPr>
        <w:t xml:space="preserve"> [7]</w:t>
      </w:r>
    </w:p>
    <w:p>
      <w:pPr>
        <w:pStyle w:val="Heading2"/>
      </w:pPr>
      <w:r>
        <w:rPr>
          <w:rFonts w:ascii="Segoe UI" w:hAnsi="Segoe UI"/>
          <w:color w:val="2E74B5"/>
        </w:rPr>
        <w:t>12.2  AI Agent Identity Patterns</w:t>
      </w:r>
    </w:p>
    <w:p>
      <w:pPr>
        <w:spacing w:after="120"/>
      </w:pPr>
      <w:r>
        <w:rPr>
          <w:rFonts w:ascii="Segoe UI" w:hAnsi="Segoe UI"/>
          <w:sz w:val="20"/>
        </w:rPr>
        <w:t xml:space="preserve">AI agents are autonomous programs that use LLMs to reason and take actions via tools. Four identity patterns: (1) Stateless — single-turn, no persistent identity. (2) Tool-using — has service principal, calls external APIs. (3) Persistent — maintains session state, long-running tasks. (4) Multi-agent — orchestrator spawns sub-agents with delegated permissions. </w:t>
      </w:r>
      <w:r>
        <w:rPr>
          <w:rFonts w:ascii="Segoe UI" w:hAnsi="Segoe UI"/>
          <w:b/>
          <w:color w:val="2E74B5"/>
          <w:sz w:val="16"/>
        </w:rPr>
        <w:t>[7]</w:t>
      </w:r>
    </w:p>
    <w:p>
      <w:pPr>
        <w:spacing w:after="80"/>
      </w:pPr>
      <w:r>
        <w:rPr>
          <w:rFonts w:ascii="Segoe UI" w:hAnsi="Segoe UI"/>
          <w:b/>
          <w:color w:val="2E74B5"/>
          <w:sz w:val="20"/>
        </w:rPr>
        <w:t xml:space="preserve">Principle of Least Privilege for Agents: </w:t>
      </w:r>
      <w:r>
        <w:rPr>
          <w:rFonts w:ascii="Segoe UI" w:hAnsi="Segoe UI"/>
          <w:sz w:val="20"/>
        </w:rPr>
        <w:t>AI agents should have the minimum permissions needed for their specific task. Read-only by default; write permissions require explicit business justification. Tool allowlist (not blocklist): the agent can only call tools explicitly granted, not all tools except blocked ones.</w:t>
      </w:r>
      <w:r>
        <w:rPr>
          <w:rFonts w:ascii="Segoe UI" w:hAnsi="Segoe UI"/>
          <w:b/>
          <w:color w:val="2E74B5"/>
          <w:sz w:val="16"/>
        </w:rPr>
        <w:t xml:space="preserve"> [7]</w:t>
      </w:r>
    </w:p>
    <w:p>
      <w:pPr>
        <w:spacing w:after="80"/>
      </w:pPr>
      <w:r>
        <w:rPr>
          <w:rFonts w:ascii="Segoe UI" w:hAnsi="Segoe UI"/>
          <w:b/>
          <w:color w:val="2E74B5"/>
          <w:sz w:val="20"/>
        </w:rPr>
        <w:t xml:space="preserve">Agent Delegation Token: </w:t>
      </w:r>
      <w:r>
        <w:rPr>
          <w:rFonts w:ascii="Segoe UI" w:hAnsi="Segoe UI"/>
          <w:sz w:val="20"/>
        </w:rPr>
        <w:t>A JWT issued by an orchestrator agent to a sub-agent, scoped to specific allowed_tools, with a short TTL (≤ 5 minutes). The sub-agent validates the token before acting.</w:t>
      </w:r>
      <w:r>
        <w:rPr>
          <w:rFonts w:ascii="Segoe UI" w:hAnsi="Segoe UI"/>
          <w:b/>
          <w:color w:val="2E74B5"/>
          <w:sz w:val="16"/>
        </w:rPr>
        <w:t xml:space="preserve"> [7]</w:t>
      </w:r>
    </w:p>
    <w:p>
      <w:pPr>
        <w:pStyle w:val="Heading2"/>
      </w:pPr>
      <w:r>
        <w:rPr>
          <w:rFonts w:ascii="Segoe UI" w:hAnsi="Segoe UI"/>
          <w:color w:val="2E74B5"/>
        </w:rPr>
        <w:t>12.3  Prompt Injection — Taxonomy and Defence</w:t>
      </w:r>
    </w:p>
    <w:tbl>
      <w:tblPr>
        <w:tblStyle w:val="TableGrid"/>
        <w:tblW w:type="auto" w:w="0"/>
        <w:tblLook w:firstColumn="1" w:firstRow="1" w:lastColumn="0" w:lastRow="0" w:noHBand="0" w:noVBand="1" w:val="04A0"/>
      </w:tblPr>
      <w:tblGrid>
        <w:gridCol w:w="9122"/>
      </w:tblGrid>
      <w:tr>
        <w:tc>
          <w:tcPr>
            <w:tcW w:type="dxa" w:w="9122"/>
            <w:shd w:val="clear" w:color="auto" w:fill="FFF2CC"/>
          </w:tcPr>
          <w:p>
            <w:r>
              <w:rPr>
                <w:rFonts w:ascii="Segoe UI" w:hAnsi="Segoe UI"/>
                <w:b/>
                <w:color w:val="7F6000"/>
                <w:sz w:val="20"/>
              </w:rPr>
              <w:t xml:space="preserve">💡  ANALOGY — </w:t>
            </w:r>
            <w:r>
              <w:rPr>
                <w:rFonts w:ascii="Segoe UI" w:hAnsi="Segoe UI"/>
                <w:b/>
                <w:color w:val="7F6000"/>
                <w:sz w:val="20"/>
              </w:rPr>
              <w:t>THE FORGED WORK ORDER</w:t>
            </w:r>
          </w:p>
          <w:p>
            <w:r>
              <w:rPr>
                <w:rFonts w:ascii="Segoe UI" w:hAnsi="Segoe UI"/>
                <w:i/>
                <w:sz w:val="20"/>
              </w:rPr>
              <w:t>An indirect prompt injection attack is like a forged work order slipped into a contractor's inbox. The contractor (AI agent) reads all their emails (processes all data) and acts on instructions. A malicious party puts a fake work order in the pile — 'Install a backdoor in Room 401.' Unless the contractor verifies the source of every instruction, they may comply with the forged order.</w:t>
            </w:r>
          </w:p>
        </w:tc>
      </w:tr>
    </w:tbl>
    <w:p/>
    <w:p>
      <w:pPr>
        <w:spacing w:after="120"/>
      </w:pPr>
      <w:r>
        <w:rPr>
          <w:rFonts w:ascii="Segoe UI" w:hAnsi="Segoe UI"/>
          <w:sz w:val="20"/>
        </w:rPr>
        <w:t xml:space="preserve">OWASP LLM01 — Prompt Injection: Attackers craft inputs that override the LLM's instructions. Direct injection: user directly inserts adversarial instructions. Indirect injection: adversarial content embedded in data the LLM processes (email body, document, web page). Tool poisoning: malicious tool descriptions that cause the LLM to call tools with attacker-controlled parameters. </w:t>
      </w:r>
      <w:r>
        <w:rPr>
          <w:rFonts w:ascii="Segoe UI" w:hAnsi="Segoe UI"/>
          <w:b/>
          <w:color w:val="2E74B5"/>
          <w:sz w:val="16"/>
        </w:rPr>
        <w:t>[14]</w:t>
      </w:r>
    </w:p>
    <w:p>
      <w:pPr>
        <w:spacing w:after="80"/>
      </w:pPr>
      <w:r>
        <w:rPr>
          <w:rFonts w:ascii="Segoe UI" w:hAnsi="Segoe UI"/>
          <w:b/>
          <w:color w:val="2E74B5"/>
          <w:sz w:val="20"/>
        </w:rPr>
        <w:t xml:space="preserve">Instruction/Data Separation: </w:t>
      </w:r>
      <w:r>
        <w:rPr>
          <w:rFonts w:ascii="Segoe UI" w:hAnsi="Segoe UI"/>
          <w:sz w:val="20"/>
        </w:rPr>
        <w:t>Primary prompt injection defence: clearly delimit the boundary between instructions (trusted system prompt) and data (untrusted user-provided content). The LLM must be instructed to never treat content in the data section as instructions.</w:t>
      </w:r>
      <w:r>
        <w:rPr>
          <w:rFonts w:ascii="Segoe UI" w:hAnsi="Segoe UI"/>
          <w:b/>
          <w:color w:val="2E74B5"/>
          <w:sz w:val="16"/>
        </w:rPr>
        <w:t xml:space="preserve"> [14]</w:t>
      </w:r>
    </w:p>
    <w:p>
      <w:pPr>
        <w:pStyle w:val="Heading2"/>
      </w:pPr>
      <w:r>
        <w:rPr>
          <w:rFonts w:ascii="Segoe UI" w:hAnsi="Segoe UI"/>
          <w:color w:val="2E74B5"/>
        </w:rPr>
        <w:t>12.4  AI-Assisted Attacks</w:t>
      </w:r>
    </w:p>
    <w:p>
      <w:pPr>
        <w:spacing w:after="120"/>
      </w:pPr>
      <w:r>
        <w:rPr>
          <w:rFonts w:ascii="Segoe UI" w:hAnsi="Segoe UI"/>
          <w:sz w:val="20"/>
        </w:rPr>
        <w:t xml:space="preserve">AI enables three identity-specific attack categories at higher velocity and lower skill threshold: (1) AI-generated phishing — personalised lures from LinkedIn/social data, targeting specific MFA fatigue patterns. (2) Deepfake audio/video — impersonating executives for social engineering of IT helpdesk. (3) AI-automated SoD gaming — systematically requesting conflicting entitlements with calculated intervals to evade threshold detection. </w:t>
      </w:r>
      <w:r>
        <w:rPr>
          <w:rFonts w:ascii="Segoe UI" w:hAnsi="Segoe UI"/>
          <w:b/>
          <w:color w:val="2E74B5"/>
          <w:sz w:val="16"/>
        </w:rPr>
        <w:t>[14][12]</w:t>
      </w:r>
    </w:p>
    <w:p>
      <w:pPr>
        <w:pStyle w:val="Heading2"/>
      </w:pPr>
      <w:r>
        <w:rPr>
          <w:rFonts w:ascii="Segoe UI" w:hAnsi="Segoe UI"/>
          <w:color w:val="2E74B5"/>
        </w:rPr>
        <w:t>12.5  Defensive AI in IAM</w:t>
      </w:r>
    </w:p>
    <w:p>
      <w:pPr>
        <w:spacing w:after="120"/>
      </w:pPr>
      <w:r>
        <w:rPr>
          <w:rFonts w:ascii="Segoe UI" w:hAnsi="Segoe UI"/>
          <w:sz w:val="20"/>
        </w:rPr>
        <w:t xml:space="preserve">AI provides three major defensive capabilities for IAM: (1) AI-assisted access reviews — LLM analyses user profile, peer group comparison, usage data, and SoD conflicts to recommend APPROVE/REVOKE/ESCALATE with reasoning. Reduces reviewer fatigue; improves decision quality. (2) Anomaly detection — ML models detect behavioural anomalies in authentication patterns that rule-based systems miss. (3) Natural language IGA policies — allows business stakeholders to author access policies in plain English, translated to enforcement logic by LLM. </w:t>
      </w:r>
      <w:r>
        <w:rPr>
          <w:rFonts w:ascii="Segoe UI" w:hAnsi="Segoe UI"/>
          <w:b/>
          <w:color w:val="2E74B5"/>
          <w:sz w:val="16"/>
        </w:rPr>
        <w:t>[7]</w:t>
      </w:r>
    </w:p>
    <w:p>
      <w:pPr>
        <w:pStyle w:val="Heading2"/>
      </w:pPr>
      <w:r>
        <w:rPr>
          <w:rFonts w:ascii="Segoe UI" w:hAnsi="Segoe UI"/>
          <w:color w:val="2E74B5"/>
        </w:rPr>
        <w:t>12.6  NIST AI RMF Applied to Identity</w:t>
      </w:r>
    </w:p>
    <w:p>
      <w:pPr>
        <w:spacing w:after="120"/>
      </w:pPr>
      <w:r>
        <w:rPr>
          <w:rFonts w:ascii="Segoe UI" w:hAnsi="Segoe UI"/>
          <w:sz w:val="20"/>
        </w:rPr>
        <w:t xml:space="preserve">NIST AI RMF 1.0 [AI 100-1] provides four functions for managing AI risk: GOVERN (policies for AI development and deployment), MAP (identify AI risks relevant to the system), MEASURE (quantify risk — false negative rate, false positive rate, bias metrics), MANAGE (implement controls to mitigate identified risks). For AI access review: MEASURE specifically requires tracking false negative rate (AI approves; human revokes) with alert threshold ≤ 5%. </w:t>
      </w:r>
      <w:r>
        <w:rPr>
          <w:rFonts w:ascii="Segoe UI" w:hAnsi="Segoe UI"/>
          <w:b/>
          <w:color w:val="2E74B5"/>
          <w:sz w:val="16"/>
        </w:rPr>
        <w:t>[7]</w:t>
      </w:r>
    </w:p>
    <w:p>
      <w:pPr>
        <w:pStyle w:val="Heading3"/>
      </w:pPr>
      <w:r>
        <w:rPr>
          <w:rFonts w:ascii="Segoe UI" w:hAnsi="Segoe UI"/>
          <w:color w:val="2E74B5"/>
        </w:rPr>
        <w:t>Self-Check Questions</w:t>
      </w:r>
    </w:p>
    <w:p>
      <w:r>
        <w:rPr>
          <w:rFonts w:ascii="Segoe UI" w:hAnsi="Segoe UI"/>
          <w:b/>
          <w:sz w:val="20"/>
        </w:rPr>
        <w:t xml:space="preserve">1. </w:t>
      </w:r>
      <w:r>
        <w:rPr>
          <w:rFonts w:ascii="Segoe UI" w:hAnsi="Segoe UI"/>
          <w:sz w:val="20"/>
        </w:rPr>
        <w:t>Why must RAG document filtering be applied server-side (at the search engine) rather than in application code?</w:t>
      </w:r>
    </w:p>
    <w:p>
      <w:r>
        <w:rPr>
          <w:rFonts w:ascii="Segoe UI" w:hAnsi="Segoe UI"/>
          <w:b/>
          <w:sz w:val="20"/>
        </w:rPr>
        <w:t xml:space="preserve">2. </w:t>
      </w:r>
      <w:r>
        <w:rPr>
          <w:rFonts w:ascii="Segoe UI" w:hAnsi="Segoe UI"/>
          <w:sz w:val="20"/>
        </w:rPr>
        <w:t>What is the difference between direct and indirect prompt injection? Give an example of each.</w:t>
      </w:r>
    </w:p>
    <w:p>
      <w:r>
        <w:rPr>
          <w:rFonts w:ascii="Segoe UI" w:hAnsi="Segoe UI"/>
          <w:b/>
          <w:sz w:val="20"/>
        </w:rPr>
        <w:t xml:space="preserve">3. </w:t>
      </w:r>
      <w:r>
        <w:rPr>
          <w:rFonts w:ascii="Segoe UI" w:hAnsi="Segoe UI"/>
          <w:sz w:val="20"/>
        </w:rPr>
        <w:t>What is an agent delegation token, and what claims must it contain?</w:t>
      </w:r>
    </w:p>
    <w:p>
      <w:r>
        <w:rPr>
          <w:rFonts w:ascii="Segoe UI" w:hAnsi="Segoe UI"/>
          <w:b/>
          <w:sz w:val="20"/>
        </w:rPr>
        <w:t xml:space="preserve">4. </w:t>
      </w:r>
      <w:r>
        <w:rPr>
          <w:rFonts w:ascii="Segoe UI" w:hAnsi="Segoe UI"/>
          <w:sz w:val="20"/>
        </w:rPr>
        <w:t>Define false negative rate in the context of AI access review. Why is a 5% FN threshold used?</w:t>
      </w:r>
    </w:p>
    <w:p>
      <w:r>
        <w:rPr>
          <w:rFonts w:ascii="Segoe UI" w:hAnsi="Segoe UI"/>
          <w:b/>
          <w:sz w:val="20"/>
        </w:rPr>
        <w:t xml:space="preserve">5. </w:t>
      </w:r>
      <w:r>
        <w:rPr>
          <w:rFonts w:ascii="Segoe UI" w:hAnsi="Segoe UI"/>
          <w:sz w:val="20"/>
        </w:rPr>
        <w:t>How does AI-automated SoD gaming evade traditional detection, and what signal reveals it?</w:t>
      </w:r>
    </w:p>
    <w:tbl>
      <w:tblPr>
        <w:tblStyle w:val="TableGrid"/>
        <w:tblW w:type="auto" w:w="0"/>
        <w:tblLook w:firstColumn="1" w:firstRow="1" w:lastColumn="0" w:lastRow="0" w:noHBand="0" w:noVBand="1" w:val="04A0"/>
      </w:tblPr>
      <w:tblGrid>
        <w:gridCol w:w="9122"/>
      </w:tblGrid>
      <w:tr>
        <w:tc>
          <w:tcPr>
            <w:tcW w:type="dxa" w:w="9122"/>
            <w:shd w:val="clear" w:color="auto" w:fill="E2EFDA"/>
          </w:tcPr>
          <w:p>
            <w:r>
              <w:rPr>
                <w:rFonts w:ascii="Segoe UI" w:hAnsi="Segoe UI"/>
                <w:b/>
                <w:color w:val="375E23"/>
                <w:sz w:val="20"/>
              </w:rPr>
              <w:t>🎯  INTERVIEW CHEAT SHEET</w:t>
            </w:r>
          </w:p>
          <w:p>
            <w:r>
              <w:rPr>
                <w:rFonts w:ascii="Segoe UI" w:hAnsi="Segoe UI"/>
                <w:sz w:val="20"/>
              </w:rPr>
              <w:t>• An AI agent has write access to your email system. What controls would you put in place to prevent prompt injection from causing it to send unauthorised emails?</w:t>
            </w:r>
          </w:p>
          <w:p>
            <w:r>
              <w:rPr>
                <w:rFonts w:ascii="Segoe UI" w:hAnsi="Segoe UI"/>
                <w:sz w:val="20"/>
              </w:rPr>
              <w:t>• How would you apply the NIST AI RMF to an AI-assisted access certification programme?</w:t>
            </w:r>
          </w:p>
          <w:p>
            <w:r>
              <w:rPr>
                <w:rFonts w:ascii="Segoe UI" w:hAnsi="Segoe UI"/>
                <w:sz w:val="20"/>
              </w:rPr>
              <w:t>• What is the LLM access control stack? Name all five layers and what each enforces.</w:t>
            </w:r>
          </w:p>
          <w:p>
            <w:r>
              <w:rPr>
                <w:rFonts w:ascii="Segoe UI" w:hAnsi="Segoe UI"/>
                <w:sz w:val="20"/>
              </w:rPr>
              <w:t>• If your AI access review system has a 12% false negative rate, what does that mean and what do you do?</w:t>
            </w:r>
          </w:p>
        </w:tc>
      </w:tr>
    </w:tbl>
    <w:p/>
    <w:p>
      <w:r>
        <w:br w:type="page"/>
      </w:r>
    </w:p>
    <w:p>
      <w:r>
        <w:br w:type="page"/>
      </w:r>
    </w:p>
    <w:p>
      <w:pPr>
        <w:pStyle w:val="Heading1"/>
      </w:pPr>
      <w:r>
        <w:rPr>
          <w:rFonts w:ascii="Segoe UI" w:hAnsi="Segoe UI"/>
          <w:color w:val="1F3964"/>
        </w:rPr>
        <w:t>References</w:t>
      </w:r>
    </w:p>
    <w:p>
      <w:pPr>
        <w:spacing w:after="120"/>
      </w:pPr>
      <w:r>
        <w:rPr>
          <w:rFonts w:ascii="Segoe UI" w:hAnsi="Segoe UI"/>
          <w:sz w:val="20"/>
        </w:rPr>
        <w:t>All references cited inline throughout the text using [N] notation.</w:t>
      </w:r>
    </w:p>
    <w:p/>
    <w:p>
      <w:pPr>
        <w:spacing w:after="100"/>
        <w:ind w:left="576" w:hanging="576"/>
      </w:pPr>
      <w:r>
        <w:rPr>
          <w:rFonts w:ascii="Segoe UI" w:hAnsi="Segoe UI"/>
          <w:b/>
          <w:color w:val="2E74B5"/>
          <w:sz w:val="20"/>
        </w:rPr>
        <w:t xml:space="preserve">[1]  </w:t>
      </w:r>
      <w:r>
        <w:rPr>
          <w:rFonts w:ascii="Segoe UI" w:hAnsi="Segoe UI"/>
          <w:sz w:val="20"/>
        </w:rPr>
        <w:t>NIST SP 800-63-3, "Digital Identity Guidelines," National Institute of Standards and Technology, 2017. https://pages.nist.gov/800-63-3/</w:t>
      </w:r>
    </w:p>
    <w:p>
      <w:pPr>
        <w:spacing w:after="100"/>
        <w:ind w:left="576" w:hanging="576"/>
      </w:pPr>
      <w:r>
        <w:rPr>
          <w:rFonts w:ascii="Segoe UI" w:hAnsi="Segoe UI"/>
          <w:b/>
          <w:color w:val="2E74B5"/>
          <w:sz w:val="20"/>
        </w:rPr>
        <w:t xml:space="preserve">[2]  </w:t>
      </w:r>
      <w:r>
        <w:rPr>
          <w:rFonts w:ascii="Segoe UI" w:hAnsi="Segoe UI"/>
          <w:sz w:val="20"/>
        </w:rPr>
        <w:t>NIST SP 800-207, "Zero Trust Architecture," National Institute of Standards and Technology, 2020. https://doi.org/10.6028/NIST.SP.800-207</w:t>
      </w:r>
    </w:p>
    <w:p>
      <w:pPr>
        <w:spacing w:after="100"/>
        <w:ind w:left="576" w:hanging="576"/>
      </w:pPr>
      <w:r>
        <w:rPr>
          <w:rFonts w:ascii="Segoe UI" w:hAnsi="Segoe UI"/>
          <w:b/>
          <w:color w:val="2E74B5"/>
          <w:sz w:val="20"/>
        </w:rPr>
        <w:t xml:space="preserve">[3]  </w:t>
      </w:r>
      <w:r>
        <w:rPr>
          <w:rFonts w:ascii="Segoe UI" w:hAnsi="Segoe UI"/>
          <w:sz w:val="20"/>
        </w:rPr>
        <w:t>RFC 6749, "The OAuth 2.0 Authorization Framework," IETF, 2012. https://datatracker.ietf.org/doc/html/rfc6749</w:t>
      </w:r>
    </w:p>
    <w:p>
      <w:pPr>
        <w:spacing w:after="100"/>
        <w:ind w:left="576" w:hanging="576"/>
      </w:pPr>
      <w:r>
        <w:rPr>
          <w:rFonts w:ascii="Segoe UI" w:hAnsi="Segoe UI"/>
          <w:b/>
          <w:color w:val="2E74B5"/>
          <w:sz w:val="20"/>
        </w:rPr>
        <w:t xml:space="preserve">[4]  </w:t>
      </w:r>
      <w:r>
        <w:rPr>
          <w:rFonts w:ascii="Segoe UI" w:hAnsi="Segoe UI"/>
          <w:sz w:val="20"/>
        </w:rPr>
        <w:t>RFC 7519, "JSON Web Token (JWT)," IETF, 2015. https://datatracker.ietf.org/doc/html/rfc7519</w:t>
      </w:r>
    </w:p>
    <w:p>
      <w:pPr>
        <w:spacing w:after="100"/>
        <w:ind w:left="576" w:hanging="576"/>
      </w:pPr>
      <w:r>
        <w:rPr>
          <w:rFonts w:ascii="Segoe UI" w:hAnsi="Segoe UI"/>
          <w:b/>
          <w:color w:val="2E74B5"/>
          <w:sz w:val="20"/>
        </w:rPr>
        <w:t xml:space="preserve">[5]  </w:t>
      </w:r>
      <w:r>
        <w:rPr>
          <w:rFonts w:ascii="Segoe UI" w:hAnsi="Segoe UI"/>
          <w:sz w:val="20"/>
        </w:rPr>
        <w:t>OASIS, "Assertions and Protocols for the OASIS Security Assertion Markup Language (SAML) V2.0," 2005. https://docs.oasis-open.org/security/saml/v2.0/</w:t>
      </w:r>
    </w:p>
    <w:p>
      <w:pPr>
        <w:spacing w:after="100"/>
        <w:ind w:left="576" w:hanging="576"/>
      </w:pPr>
      <w:r>
        <w:rPr>
          <w:rFonts w:ascii="Segoe UI" w:hAnsi="Segoe UI"/>
          <w:b/>
          <w:color w:val="2E74B5"/>
          <w:sz w:val="20"/>
        </w:rPr>
        <w:t xml:space="preserve">[6]  </w:t>
      </w:r>
      <w:r>
        <w:rPr>
          <w:rFonts w:ascii="Segoe UI" w:hAnsi="Segoe UI"/>
          <w:sz w:val="20"/>
        </w:rPr>
        <w:t>CISA, "Zero Trust Maturity Model v2.0," Cybersecurity and Infrastructure Security Agency, 2023. https://www.cisa.gov/zero-trust-maturity-model</w:t>
      </w:r>
    </w:p>
    <w:p>
      <w:pPr>
        <w:spacing w:after="100"/>
        <w:ind w:left="576" w:hanging="576"/>
      </w:pPr>
      <w:r>
        <w:rPr>
          <w:rFonts w:ascii="Segoe UI" w:hAnsi="Segoe UI"/>
          <w:b/>
          <w:color w:val="2E74B5"/>
          <w:sz w:val="20"/>
        </w:rPr>
        <w:t xml:space="preserve">[7]  </w:t>
      </w:r>
      <w:r>
        <w:rPr>
          <w:rFonts w:ascii="Segoe UI" w:hAnsi="Segoe UI"/>
          <w:sz w:val="20"/>
        </w:rPr>
        <w:t>NIST AI 100-1, "Artificial Intelligence Risk Management Framework (AI RMF 1.0)," National Institute of Standards and Technology, 2023. https://doi.org/10.6028/NIST.AI.100-1</w:t>
      </w:r>
    </w:p>
    <w:p>
      <w:pPr>
        <w:spacing w:after="100"/>
        <w:ind w:left="576" w:hanging="576"/>
      </w:pPr>
      <w:r>
        <w:rPr>
          <w:rFonts w:ascii="Segoe UI" w:hAnsi="Segoe UI"/>
          <w:b/>
          <w:color w:val="2E74B5"/>
          <w:sz w:val="20"/>
        </w:rPr>
        <w:t xml:space="preserve">[8]  </w:t>
      </w:r>
      <w:r>
        <w:rPr>
          <w:rFonts w:ascii="Segoe UI" w:hAnsi="Segoe UI"/>
          <w:sz w:val="20"/>
        </w:rPr>
        <w:t>Microsoft, "What is Microsoft Entra ID?," Microsoft Learn, 2024. https://learn.microsoft.com/en-us/entra/fundamentals/whatis</w:t>
      </w:r>
    </w:p>
    <w:p>
      <w:pPr>
        <w:spacing w:after="100"/>
        <w:ind w:left="576" w:hanging="576"/>
      </w:pPr>
      <w:r>
        <w:rPr>
          <w:rFonts w:ascii="Segoe UI" w:hAnsi="Segoe UI"/>
          <w:b/>
          <w:color w:val="2E74B5"/>
          <w:sz w:val="20"/>
        </w:rPr>
        <w:t xml:space="preserve">[9]  </w:t>
      </w:r>
      <w:r>
        <w:rPr>
          <w:rFonts w:ascii="Segoe UI" w:hAnsi="Segoe UI"/>
          <w:sz w:val="20"/>
        </w:rPr>
        <w:t>Auth0, "Auth0 Documentation," Okta, 2024. https://auth0.com/docs</w:t>
      </w:r>
    </w:p>
    <w:p>
      <w:pPr>
        <w:spacing w:after="100"/>
        <w:ind w:left="576" w:hanging="576"/>
      </w:pPr>
      <w:r>
        <w:rPr>
          <w:rFonts w:ascii="Segoe UI" w:hAnsi="Segoe UI"/>
          <w:b/>
          <w:color w:val="2E74B5"/>
          <w:sz w:val="20"/>
        </w:rPr>
        <w:t xml:space="preserve">[10]  </w:t>
      </w:r>
      <w:r>
        <w:rPr>
          <w:rFonts w:ascii="Segoe UI" w:hAnsi="Segoe UI"/>
          <w:sz w:val="20"/>
        </w:rPr>
        <w:t>HITRUST Alliance, "HITRUST CSF," 2023. https://hitrustalliance.net/hitrust-csf/</w:t>
      </w:r>
    </w:p>
    <w:p>
      <w:pPr>
        <w:spacing w:after="100"/>
        <w:ind w:left="576" w:hanging="576"/>
      </w:pPr>
      <w:r>
        <w:rPr>
          <w:rFonts w:ascii="Segoe UI" w:hAnsi="Segoe UI"/>
          <w:b/>
          <w:color w:val="2E74B5"/>
          <w:sz w:val="20"/>
        </w:rPr>
        <w:t xml:space="preserve">[11]  </w:t>
      </w:r>
      <w:r>
        <w:rPr>
          <w:rFonts w:ascii="Segoe UI" w:hAnsi="Segoe UI"/>
          <w:sz w:val="20"/>
        </w:rPr>
        <w:t>Sayer, O. et al., "Certified Pre-Owned: Abusing Active Directory Certificate Services," SpecterOps, 2021. https://posts.specterops.io/certified-pre-owned-d95910965cd2</w:t>
      </w:r>
    </w:p>
    <w:p>
      <w:pPr>
        <w:spacing w:after="100"/>
        <w:ind w:left="576" w:hanging="576"/>
      </w:pPr>
      <w:r>
        <w:rPr>
          <w:rFonts w:ascii="Segoe UI" w:hAnsi="Segoe UI"/>
          <w:b/>
          <w:color w:val="2E74B5"/>
          <w:sz w:val="20"/>
        </w:rPr>
        <w:t xml:space="preserve">[12]  </w:t>
      </w:r>
      <w:r>
        <w:rPr>
          <w:rFonts w:ascii="Segoe UI" w:hAnsi="Segoe UI"/>
          <w:sz w:val="20"/>
        </w:rPr>
        <w:t>MITRE ATT&amp;CK, "Enterprise Matrix," MITRE, 2024. https://attack.mitre.org/matrices/enterprise/</w:t>
      </w:r>
    </w:p>
    <w:p>
      <w:pPr>
        <w:spacing w:after="100"/>
        <w:ind w:left="576" w:hanging="576"/>
      </w:pPr>
      <w:r>
        <w:rPr>
          <w:rFonts w:ascii="Segoe UI" w:hAnsi="Segoe UI"/>
          <w:b/>
          <w:color w:val="2E74B5"/>
          <w:sz w:val="20"/>
        </w:rPr>
        <w:t xml:space="preserve">[13]  </w:t>
      </w:r>
      <w:r>
        <w:rPr>
          <w:rFonts w:ascii="Segoe UI" w:hAnsi="Segoe UI"/>
          <w:sz w:val="20"/>
        </w:rPr>
        <w:t>RFC 7644, "System for Cross-domain Identity Management: Protocol," IETF, 2015. https://datatracker.ietf.org/doc/html/rfc7644</w:t>
      </w:r>
    </w:p>
    <w:p>
      <w:pPr>
        <w:spacing w:after="100"/>
        <w:ind w:left="576" w:hanging="576"/>
      </w:pPr>
      <w:r>
        <w:rPr>
          <w:rFonts w:ascii="Segoe UI" w:hAnsi="Segoe UI"/>
          <w:b/>
          <w:color w:val="2E74B5"/>
          <w:sz w:val="20"/>
        </w:rPr>
        <w:t xml:space="preserve">[14]  </w:t>
      </w:r>
      <w:r>
        <w:rPr>
          <w:rFonts w:ascii="Segoe UI" w:hAnsi="Segoe UI"/>
          <w:sz w:val="20"/>
        </w:rPr>
        <w:t>OWASP, "OWASP Top 10 for Large Language Model Applications," 2023. https://owasp.org/www-project-top-10-for-large-language-model-applications/</w:t>
      </w:r>
    </w:p>
    <w:p>
      <w:pPr>
        <w:spacing w:after="100"/>
        <w:ind w:left="576" w:hanging="576"/>
      </w:pPr>
      <w:r>
        <w:rPr>
          <w:rFonts w:ascii="Segoe UI" w:hAnsi="Segoe UI"/>
          <w:b/>
          <w:color w:val="2E74B5"/>
          <w:sz w:val="20"/>
        </w:rPr>
        <w:t xml:space="preserve">[15]  </w:t>
      </w:r>
      <w:r>
        <w:rPr>
          <w:rFonts w:ascii="Segoe UI" w:hAnsi="Segoe UI"/>
          <w:sz w:val="20"/>
        </w:rPr>
        <w:t>Kerberos Working Group, RFC 4120, "The Kerberos Network Authentication Service (V5)," IETF, 2005. https://datatracker.ietf.org/doc/html/rfc4120</w:t>
      </w:r>
    </w:p>
    <w:p>
      <w:pPr>
        <w:spacing w:after="100"/>
        <w:ind w:left="576" w:hanging="576"/>
      </w:pPr>
      <w:r>
        <w:rPr>
          <w:rFonts w:ascii="Segoe UI" w:hAnsi="Segoe UI"/>
          <w:b/>
          <w:color w:val="2E74B5"/>
          <w:sz w:val="20"/>
        </w:rPr>
        <w:t xml:space="preserve">[16]  </w:t>
      </w:r>
      <w:r>
        <w:rPr>
          <w:rFonts w:ascii="Segoe UI" w:hAnsi="Segoe UI"/>
          <w:sz w:val="20"/>
        </w:rPr>
        <w:t>Microsoft, "How PHS works," Microsoft Learn, 2024. https://learn.microsoft.com/en-us/entra/identity/hybrid/connect/how-to-connect-password-hash-synchronization</w:t>
      </w:r>
    </w:p>
    <w:p>
      <w:pPr>
        <w:spacing w:after="100"/>
        <w:ind w:left="576" w:hanging="576"/>
      </w:pPr>
      <w:r>
        <w:rPr>
          <w:rFonts w:ascii="Segoe UI" w:hAnsi="Segoe UI"/>
          <w:b/>
          <w:color w:val="2E74B5"/>
          <w:sz w:val="20"/>
        </w:rPr>
        <w:t xml:space="preserve">[17]  </w:t>
      </w:r>
      <w:r>
        <w:rPr>
          <w:rFonts w:ascii="Segoe UI" w:hAnsi="Segoe UI"/>
          <w:sz w:val="20"/>
        </w:rPr>
        <w:t>NIST SP 800-53 Rev 5, "Security and Privacy Controls for Information Systems and Organizations," NIST, 2020. https://doi.org/10.6028/NIST.SP.800-53r5</w:t>
      </w:r>
    </w:p>
    <w:p>
      <w:pPr>
        <w:spacing w:after="100"/>
        <w:ind w:left="576" w:hanging="576"/>
      </w:pPr>
      <w:r>
        <w:rPr>
          <w:rFonts w:ascii="Segoe UI" w:hAnsi="Segoe UI"/>
          <w:b/>
          <w:color w:val="2E74B5"/>
          <w:sz w:val="20"/>
        </w:rPr>
        <w:t xml:space="preserve">[18]  </w:t>
      </w:r>
      <w:r>
        <w:rPr>
          <w:rFonts w:ascii="Segoe UI" w:hAnsi="Segoe UI"/>
          <w:sz w:val="20"/>
        </w:rPr>
        <w:t>SailPoint, "The Definitive Guide to Identity Governance and Administration," SailPoint Technologies, 2023. https://www.sailpoint.com/identity-library/</w:t>
      </w:r>
    </w:p>
    <w:p>
      <w:pPr>
        <w:spacing w:after="100"/>
        <w:ind w:left="576" w:hanging="576"/>
      </w:pPr>
      <w:r>
        <w:rPr>
          <w:rFonts w:ascii="Segoe UI" w:hAnsi="Segoe UI"/>
          <w:b/>
          <w:color w:val="2E74B5"/>
          <w:sz w:val="20"/>
        </w:rPr>
        <w:t xml:space="preserve">[19]  </w:t>
      </w:r>
      <w:r>
        <w:rPr>
          <w:rFonts w:ascii="Segoe UI" w:hAnsi="Segoe UI"/>
          <w:sz w:val="20"/>
        </w:rPr>
        <w:t>CyberArk, "Privileged Access Management," CyberArk Software, 2024. https://www.cyberark.com/resources/</w:t>
      </w:r>
    </w:p>
    <w:p>
      <w:pPr>
        <w:spacing w:after="100"/>
        <w:ind w:left="576" w:hanging="576"/>
      </w:pPr>
      <w:r>
        <w:rPr>
          <w:rFonts w:ascii="Segoe UI" w:hAnsi="Segoe UI"/>
          <w:b/>
          <w:color w:val="2E74B5"/>
          <w:sz w:val="20"/>
        </w:rPr>
        <w:t xml:space="preserve">[20]  </w:t>
      </w:r>
      <w:r>
        <w:rPr>
          <w:rFonts w:ascii="Segoe UI" w:hAnsi="Segoe UI"/>
          <w:sz w:val="20"/>
        </w:rPr>
        <w:t>Microsoft, "Continuous Access Evaluation," Microsoft Learn, 2024. https://learn.microsoft.com/en-us/entra/identity/conditional-access/concept-continuous-access-evaluation</w:t>
      </w:r>
    </w:p>
    <w:p>
      <w:pPr>
        <w:spacing w:after="100"/>
        <w:ind w:left="576" w:hanging="576"/>
      </w:pPr>
      <w:r>
        <w:rPr>
          <w:rFonts w:ascii="Segoe UI" w:hAnsi="Segoe UI"/>
          <w:b/>
          <w:color w:val="2E74B5"/>
          <w:sz w:val="20"/>
        </w:rPr>
        <w:t xml:space="preserve">[21]  </w:t>
      </w:r>
      <w:r>
        <w:rPr>
          <w:rFonts w:ascii="Segoe UI" w:hAnsi="Segoe UI"/>
          <w:sz w:val="20"/>
        </w:rPr>
        <w:t>OpenID Foundation, "OpenID Connect Core 1.0," 2014. https://openid.net/specs/openid-connect-core-1_0.html</w:t>
      </w:r>
    </w:p>
    <w:p>
      <w:pPr>
        <w:spacing w:after="100"/>
        <w:ind w:left="576" w:hanging="576"/>
      </w:pPr>
      <w:r>
        <w:rPr>
          <w:rFonts w:ascii="Segoe UI" w:hAnsi="Segoe UI"/>
          <w:b/>
          <w:color w:val="2E74B5"/>
          <w:sz w:val="20"/>
        </w:rPr>
        <w:t xml:space="preserve">[22]  </w:t>
      </w:r>
      <w:r>
        <w:rPr>
          <w:rFonts w:ascii="Segoe UI" w:hAnsi="Segoe UI"/>
          <w:sz w:val="20"/>
        </w:rPr>
        <w:t>X.509, "Information technology – Open Systems Interconnection – The Directory: Public-key and attribute certificate frameworks," ITU-T, 2019.</w:t>
      </w:r>
    </w:p>
    <w:p>
      <w:pPr>
        <w:spacing w:after="100"/>
        <w:ind w:left="576" w:hanging="576"/>
      </w:pPr>
      <w:r>
        <w:rPr>
          <w:rFonts w:ascii="Segoe UI" w:hAnsi="Segoe UI"/>
          <w:b/>
          <w:color w:val="2E74B5"/>
          <w:sz w:val="20"/>
        </w:rPr>
        <w:t xml:space="preserve">[23]  </w:t>
      </w:r>
      <w:r>
        <w:rPr>
          <w:rFonts w:ascii="Segoe UI" w:hAnsi="Segoe UI"/>
          <w:sz w:val="20"/>
        </w:rPr>
        <w:t>Litan, A. and Wheatman, V., "Magic Quadrant for Access Management," Gartner, 2024.</w:t>
      </w:r>
    </w:p>
    <w:p>
      <w:pPr>
        <w:spacing w:after="100"/>
        <w:ind w:left="576" w:hanging="576"/>
      </w:pPr>
      <w:r>
        <w:rPr>
          <w:rFonts w:ascii="Segoe UI" w:hAnsi="Segoe UI"/>
          <w:b/>
          <w:color w:val="2E74B5"/>
          <w:sz w:val="20"/>
        </w:rPr>
        <w:t xml:space="preserve">[24]  </w:t>
      </w:r>
      <w:r>
        <w:rPr>
          <w:rFonts w:ascii="Segoe UI" w:hAnsi="Segoe UI"/>
          <w:sz w:val="20"/>
        </w:rPr>
        <w:t>HIPAA, "Security Rule (45 CFR Part 164)," U.S. Department of Health and Human Services. https://www.hhs.gov/hipaa/for-professionals/security/</w:t>
      </w:r>
    </w:p>
    <w:p>
      <w:pPr>
        <w:spacing w:after="100"/>
        <w:ind w:left="576" w:hanging="576"/>
      </w:pPr>
      <w:r>
        <w:rPr>
          <w:rFonts w:ascii="Segoe UI" w:hAnsi="Segoe UI"/>
          <w:b/>
          <w:color w:val="2E74B5"/>
          <w:sz w:val="20"/>
        </w:rPr>
        <w:t xml:space="preserve">[25]  </w:t>
      </w:r>
      <w:r>
        <w:rPr>
          <w:rFonts w:ascii="Segoe UI" w:hAnsi="Segoe UI"/>
          <w:sz w:val="20"/>
        </w:rPr>
        <w:t>SOX, "Sarbanes-Oxley Act of 2002," U.S. Congress, 2002. https://www.sec.gov/about/laws/soa2002.pdf</w:t>
      </w:r>
    </w:p>
    <w:p>
      <w:pPr>
        <w:spacing w:after="100"/>
        <w:ind w:left="576" w:hanging="576"/>
      </w:pPr>
      <w:r>
        <w:rPr>
          <w:rFonts w:ascii="Segoe UI" w:hAnsi="Segoe UI"/>
          <w:b/>
          <w:color w:val="2E74B5"/>
          <w:sz w:val="20"/>
        </w:rPr>
        <w:t xml:space="preserve">[26]  </w:t>
      </w:r>
      <w:r>
        <w:rPr>
          <w:rFonts w:ascii="Segoe UI" w:hAnsi="Segoe UI"/>
          <w:sz w:val="20"/>
        </w:rPr>
        <w:t>Shostack, A., "Threat Modeling: Designing for Security," Wiley, 2014.</w:t>
      </w:r>
    </w:p>
    <w:p>
      <w:pPr>
        <w:spacing w:after="100"/>
        <w:ind w:left="576" w:hanging="576"/>
      </w:pPr>
      <w:r>
        <w:rPr>
          <w:rFonts w:ascii="Segoe UI" w:hAnsi="Segoe UI"/>
          <w:b/>
          <w:color w:val="2E74B5"/>
          <w:sz w:val="20"/>
        </w:rPr>
        <w:t xml:space="preserve">[27]  </w:t>
      </w:r>
      <w:r>
        <w:rPr>
          <w:rFonts w:ascii="Segoe UI" w:hAnsi="Segoe UI"/>
          <w:sz w:val="20"/>
        </w:rPr>
        <w:t>NIST SP 800-190, "Application Container Security Guide," NIST, 2017. https://doi.org/10.6028/NIST.SP.800-190</w:t>
      </w:r>
    </w:p>
    <w:p>
      <w:pPr>
        <w:spacing w:after="100"/>
        <w:ind w:left="576" w:hanging="576"/>
      </w:pPr>
      <w:r>
        <w:rPr>
          <w:rFonts w:ascii="Segoe UI" w:hAnsi="Segoe UI"/>
          <w:b/>
          <w:color w:val="2E74B5"/>
          <w:sz w:val="20"/>
        </w:rPr>
        <w:t xml:space="preserve">[28]  </w:t>
      </w:r>
      <w:r>
        <w:rPr>
          <w:rFonts w:ascii="Segoe UI" w:hAnsi="Segoe UI"/>
          <w:sz w:val="20"/>
        </w:rPr>
        <w:t>RFC 7636, "Proof Key for Code Exchange by OAuth Public Clients (PKCE)," IETF, 2015. https://datatracker.ietf.org/doc/html/rfc7636</w:t>
      </w:r>
    </w:p>
    <w:p>
      <w:pPr>
        <w:spacing w:after="100"/>
        <w:ind w:left="576" w:hanging="576"/>
      </w:pPr>
      <w:r>
        <w:rPr>
          <w:rFonts w:ascii="Segoe UI" w:hAnsi="Segoe UI"/>
          <w:b/>
          <w:color w:val="2E74B5"/>
          <w:sz w:val="20"/>
        </w:rPr>
        <w:t xml:space="preserve">[29]  </w:t>
      </w:r>
      <w:r>
        <w:rPr>
          <w:rFonts w:ascii="Segoe UI" w:hAnsi="Segoe UI"/>
          <w:sz w:val="20"/>
        </w:rPr>
        <w:t>NIST SP 800-145, "The NIST Definition of Cloud Computing," NIST, 2011. https://doi.org/10.6028/NIST.SP.800-145</w:t>
      </w:r>
    </w:p>
    <w:p>
      <w:pPr>
        <w:spacing w:after="100"/>
        <w:ind w:left="576" w:hanging="576"/>
      </w:pPr>
      <w:r>
        <w:rPr>
          <w:rFonts w:ascii="Segoe UI" w:hAnsi="Segoe UI"/>
          <w:b/>
          <w:color w:val="2E74B5"/>
          <w:sz w:val="20"/>
        </w:rPr>
        <w:t xml:space="preserve">[30]  </w:t>
      </w:r>
      <w:r>
        <w:rPr>
          <w:rFonts w:ascii="Segoe UI" w:hAnsi="Segoe UI"/>
          <w:sz w:val="20"/>
        </w:rPr>
        <w:t>Microsoft, "Microsoft Sentinel Documentation," Microsoft Learn, 2024. https://learn.microsoft.com/en-us/azure/sentinel/</w:t>
      </w:r>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Segoe UI" w:hAnsi="Segoe UI"/>
      <w:b/>
      <w:bCs/>
      <w:color w:val="1F3964"/>
      <w:sz w:val="32"/>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Segoe UI" w:hAnsi="Segoe U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80" w:after="120"/>
      <w:outlineLvl w:val="2"/>
    </w:pPr>
    <w:rPr>
      <w:rFonts w:asciiTheme="majorHAnsi" w:eastAsiaTheme="majorEastAsia" w:hAnsiTheme="majorHAnsi" w:cstheme="majorBidi" w:ascii="Segoe UI" w:hAnsi="Segoe UI"/>
      <w:b/>
      <w:bCs/>
      <w:color w:val="2E74B5"/>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