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Calibri" w:hAnsi="Calibri"/>
          <w:b/>
          <w:color w:val="1F4E79"/>
          <w:sz w:val="48"/>
        </w:rPr>
        <w:t>LAURELSHIELD</w:t>
      </w:r>
    </w:p>
    <w:p>
      <w:pPr>
        <w:jc w:val="center"/>
      </w:pPr>
      <w:r>
        <w:rPr>
          <w:rFonts w:ascii="Calibri" w:hAnsi="Calibri"/>
          <w:b/>
          <w:sz w:val="36"/>
        </w:rPr>
        <w:t>Cyber Insurability Assurance</w:t>
      </w:r>
    </w:p>
    <w:p>
      <w:pPr>
        <w:spacing w:before="240"/>
        <w:jc w:val="center"/>
      </w:pPr>
      <w:r>
        <w:rPr>
          <w:rFonts w:ascii="Calibri" w:hAnsi="Calibri"/>
          <w:b/>
          <w:i/>
          <w:color w:val="1F4E79"/>
          <w:sz w:val="30"/>
        </w:rPr>
        <w:t>“Verify Once. Demonstrate Everywhere.”</w:t>
      </w:r>
    </w:p>
    <w:p>
      <w:pPr>
        <w:spacing w:before="360"/>
        <w:jc w:val="center"/>
      </w:pPr>
      <w:r>
        <w:rPr>
          <w:rFonts w:ascii="Calibri" w:hAnsi="Calibri"/>
          <w:b/>
          <w:sz w:val="24"/>
        </w:rPr>
        <w:t>Competitive Research, Complete Business Process, IP Protection Strategy, and Detailed Implementation of the Final MOAT</w:t>
      </w:r>
    </w:p>
    <w:p>
      <w:pPr>
        <w:spacing w:before="600"/>
        <w:jc w:val="center"/>
      </w:pPr>
      <w:r>
        <w:rPr>
          <w:rFonts w:ascii="Calibri" w:hAnsi="Calibri"/>
          <w:i/>
          <w:color w:val="595959"/>
          <w:sz w:val="21"/>
        </w:rPr>
        <w:t>Prepared for strategic development of Laurelshield Cyber Risk Assurance Infrastructure</w:t>
      </w:r>
    </w:p>
    <w:p>
      <w:pPr>
        <w:jc w:val="center"/>
      </w:pPr>
      <w:r>
        <w:rPr>
          <w:rFonts w:ascii="Calibri" w:hAnsi="Calibri"/>
          <w:color w:val="595959"/>
          <w:sz w:val="21"/>
        </w:rPr>
        <w:t>September 2026</w:t>
      </w:r>
    </w:p>
    <w:p>
      <w:pPr>
        <w:spacing w:before="2200"/>
      </w:pPr>
      <w:r>
        <w:rPr>
          <w:rFonts w:ascii="Calibri" w:hAnsi="Calibri"/>
          <w:i/>
          <w:color w:val="595959"/>
          <w:sz w:val="18"/>
        </w:rPr>
        <w:t>Important: This document is strategic and technical research, not legal, insurance, trademark, patent, privacy, accounting, or regulatory advice. Specialist Canadian and U.S. counsel should review binding agreements, trademark filings, certification-mark structures, patent strategy, privacy/data terms, insurance licensing boundaries, and conformity-assessment claims before implementation.</w:t>
      </w:r>
    </w:p>
    <w:p>
      <w:r>
        <w:rPr>
          <w:rFonts w:ascii="Calibri" w:hAnsi="Calibri"/>
          <w:sz w:val="21"/>
        </w:rPr>
        <w:br w:type="page"/>
      </w:r>
    </w:p>
    <w:p>
      <w:pPr>
        <w:pStyle w:val="Heading1"/>
        <w:keepNext/>
        <w:spacing w:before="160" w:after="80"/>
      </w:pPr>
      <w:r>
        <w:rPr>
          <w:rFonts w:ascii="Calibri" w:hAnsi="Calibri"/>
          <w:b/>
          <w:color w:val="1F4E79"/>
          <w:sz w:val="30"/>
        </w:rPr>
        <w:t>Executive Summary</w:t>
      </w:r>
    </w:p>
    <w:p>
      <w:pPr>
        <w:spacing w:after="80" w:line="259" w:lineRule="auto"/>
      </w:pPr>
      <w:r>
        <w:rPr>
          <w:rFonts w:ascii="Calibri" w:hAnsi="Calibri"/>
          <w:sz w:val="21"/>
        </w:rPr>
        <w:t>Laurelshield should not attempt to build a moat around the generic idea of cyber-insurance readiness consulting. That idea is already represented in multiple forms across insurers, cyber analytics firms, certification schemes, and independent assurance providers. The stronger opportunity is to create a portable, independently verified, continuously refreshed cybersecurity evidence layer that organizations can reuse across participating brokers, carriers, customers, investors, lenders, and other risk counterparties.</w:t>
      </w:r>
    </w:p>
    <w:p>
      <w:pPr>
        <w:spacing w:after="80" w:line="259" w:lineRule="auto"/>
      </w:pPr>
      <w:r>
        <w:rPr>
          <w:rFonts w:ascii="Calibri" w:hAnsi="Calibri"/>
          <w:sz w:val="21"/>
        </w:rPr>
        <w:t>The long-term product promise is: “Verify Once. Demonstrate Everywhere.” The customer undergoes one rigorous technical verification process. Laurelshield normalizes the evidence into a canonical control model, rates the strength and freshness of that evidence, creates a customer-controlled Cyber Risk Passport, and translates the same verified facts into the evidence views needed by multiple insurance markets. This changes Laurelshield from a consulting firm into potential cyber-risk assurance infrastructure.</w:t>
      </w:r>
    </w:p>
    <w:p>
      <w:pPr>
        <w:spacing w:after="80" w:line="259" w:lineRule="auto"/>
      </w:pPr>
      <w:r>
        <w:rPr>
          <w:rFonts w:ascii="Calibri" w:hAnsi="Calibri"/>
          <w:sz w:val="21"/>
        </w:rPr>
        <w:t>The market validates individual components of this strategy. SPECTRA combines independent certification with insurance workflows; HITRUST has connected standardized assurance to a Lloyd’s-backed cyber insurance facility; CyberCube gives brokers a “map to insurability” and real-time verification signals; Bitsight, SecurityScorecard, and Black Kite provide insurance-oriented external cyber-risk intelligence; CyberSurance in Canada markets independent assurance, insurability readiness, and ongoing assurance; and Cyber Essentials demonstrates that third-party cyber certification can have direct insurance consequences.</w:t>
      </w:r>
      <w:r>
        <w:rPr>
          <w:rFonts w:ascii="Calibri" w:hAnsi="Calibri"/>
          <w:sz w:val="21"/>
        </w:rPr>
        <w:t xml:space="preserve"> </w:t>
      </w:r>
      <w:hyperlink r:id="rId11">
        <w:r>
          <w:rPr>
            <w:rFonts w:ascii="Calibri" w:hAnsi="Calibri"/>
            <w:sz w:val="19"/>
            <w:szCs w:val="19"/>
            <w:color w:val="0563C1"/>
            <w:u w:val="single"/>
          </w:rPr>
          <w:t>[1]</w:t>
        </w:r>
      </w:hyperlink>
      <w:r>
        <w:rPr>
          <w:rFonts w:ascii="Calibri" w:hAnsi="Calibri"/>
          <w:sz w:val="19"/>
        </w:rPr>
        <w:t xml:space="preserve">, </w:t>
      </w:r>
      <w:hyperlink r:id="rId12">
        <w:r>
          <w:rPr>
            <w:rFonts w:ascii="Calibri" w:hAnsi="Calibri"/>
            <w:sz w:val="19"/>
            <w:szCs w:val="19"/>
            <w:color w:val="0563C1"/>
            <w:u w:val="single"/>
          </w:rPr>
          <w:t>[4]</w:t>
        </w:r>
      </w:hyperlink>
      <w:r>
        <w:rPr>
          <w:rFonts w:ascii="Calibri" w:hAnsi="Calibri"/>
          <w:sz w:val="19"/>
        </w:rPr>
        <w:t xml:space="preserve">, </w:t>
      </w:r>
      <w:hyperlink r:id="rId13">
        <w:r>
          <w:rPr>
            <w:rFonts w:ascii="Calibri" w:hAnsi="Calibri"/>
            <w:sz w:val="19"/>
            <w:szCs w:val="19"/>
            <w:color w:val="0563C1"/>
            <w:u w:val="single"/>
          </w:rPr>
          <w:t>[5]</w:t>
        </w:r>
      </w:hyperlink>
      <w:r>
        <w:rPr>
          <w:rFonts w:ascii="Calibri" w:hAnsi="Calibri"/>
          <w:sz w:val="19"/>
        </w:rPr>
        <w:t xml:space="preserve">, </w:t>
      </w:r>
      <w:hyperlink r:id="rId14">
        <w:r>
          <w:rPr>
            <w:rFonts w:ascii="Calibri" w:hAnsi="Calibri"/>
            <w:sz w:val="19"/>
            <w:szCs w:val="19"/>
            <w:color w:val="0563C1"/>
            <w:u w:val="single"/>
          </w:rPr>
          <w:t>[6]</w:t>
        </w:r>
      </w:hyperlink>
      <w:r>
        <w:rPr>
          <w:rFonts w:ascii="Calibri" w:hAnsi="Calibri"/>
          <w:sz w:val="19"/>
        </w:rPr>
        <w:t xml:space="preserve">, </w:t>
      </w:r>
      <w:hyperlink r:id="rId15">
        <w:r>
          <w:rPr>
            <w:rFonts w:ascii="Calibri" w:hAnsi="Calibri"/>
            <w:sz w:val="19"/>
            <w:szCs w:val="19"/>
            <w:color w:val="0563C1"/>
            <w:u w:val="single"/>
          </w:rPr>
          <w:t>[8]</w:t>
        </w:r>
      </w:hyperlink>
      <w:r>
        <w:rPr>
          <w:rFonts w:ascii="Calibri" w:hAnsi="Calibri"/>
          <w:sz w:val="19"/>
        </w:rPr>
        <w:t xml:space="preserve">, </w:t>
      </w:r>
      <w:hyperlink r:id="rId16">
        <w:r>
          <w:rPr>
            <w:rFonts w:ascii="Calibri" w:hAnsi="Calibri"/>
            <w:sz w:val="19"/>
            <w:szCs w:val="19"/>
            <w:color w:val="0563C1"/>
            <w:u w:val="single"/>
          </w:rPr>
          <w:t>[9]</w:t>
        </w:r>
      </w:hyperlink>
      <w:r>
        <w:rPr>
          <w:rFonts w:ascii="Calibri" w:hAnsi="Calibri"/>
          <w:sz w:val="19"/>
        </w:rPr>
        <w:t xml:space="preserve">, </w:t>
      </w:r>
      <w:hyperlink r:id="rId17">
        <w:r>
          <w:rPr>
            <w:rFonts w:ascii="Calibri" w:hAnsi="Calibri"/>
            <w:sz w:val="19"/>
            <w:szCs w:val="19"/>
            <w:color w:val="0563C1"/>
            <w:u w:val="single"/>
          </w:rPr>
          <w:t>[10]</w:t>
        </w:r>
      </w:hyperlink>
      <w:r>
        <w:rPr>
          <w:rFonts w:ascii="Calibri" w:hAnsi="Calibri"/>
          <w:sz w:val="19"/>
        </w:rPr>
        <w:t xml:space="preserve">, </w:t>
      </w:r>
      <w:hyperlink r:id="rId18">
        <w:r>
          <w:rPr>
            <w:rFonts w:ascii="Calibri" w:hAnsi="Calibri"/>
            <w:sz w:val="19"/>
            <w:szCs w:val="19"/>
            <w:color w:val="0563C1"/>
            <w:u w:val="single"/>
          </w:rPr>
          <w:t>[11]</w:t>
        </w:r>
      </w:hyperlink>
      <w:r>
        <w:rPr>
          <w:rFonts w:ascii="Calibri" w:hAnsi="Calibri"/>
          <w:sz w:val="19"/>
        </w:rPr>
        <w:t xml:space="preserve">, </w:t>
      </w:r>
      <w:hyperlink r:id="rId19">
        <w:r>
          <w:rPr>
            <w:rFonts w:ascii="Calibri" w:hAnsi="Calibri"/>
            <w:sz w:val="19"/>
            <w:szCs w:val="19"/>
            <w:color w:val="0563C1"/>
            <w:u w:val="single"/>
          </w:rPr>
          <w:t>[12]</w:t>
        </w:r>
      </w:hyperlink>
    </w:p>
    <w:p>
      <w:pPr>
        <w:spacing w:after="80" w:line="259" w:lineRule="auto"/>
      </w:pPr>
      <w:r>
        <w:rPr>
          <w:rFonts w:ascii="Calibri" w:hAnsi="Calibri"/>
          <w:sz w:val="21"/>
        </w:rPr>
        <w:t>The final moat is therefore not the report, score, slogan, or assessment questionnaire. It is the combined network of: (1) normalized controls, (2) deep machine-verifiable evidence, (3) a proprietary evidence-confidence model, (4) cross-carrier translation mappings, (5) a portable Cyber Risk Passport, (6) continuous assurance history, (7) embedded broker/carrier integrations, (8) underwriting outcome data, (9) claims-loss correlation data, and (10) market acceptance. A competitor can recreate a questionnaire; it cannot quickly recreate years of trusted evidence, carrier mappings, integrations, underwriting outcomes, and network adoption.</w:t>
      </w:r>
    </w:p>
    <w:p>
      <w:pPr>
        <w:pStyle w:val="Heading2"/>
        <w:keepNext/>
        <w:spacing w:before="100" w:after="80"/>
      </w:pPr>
      <w:r>
        <w:rPr>
          <w:rFonts w:ascii="Calibri" w:hAnsi="Calibri"/>
          <w:b/>
          <w:color w:val="1F4E79"/>
          <w:sz w:val="25"/>
        </w:rPr>
        <w:t>Key Strategic Decisions</w:t>
      </w:r>
    </w:p>
    <w:p>
      <w:pPr>
        <w:pStyle w:val="ListBullet"/>
        <w:spacing w:after="40" w:line="252" w:lineRule="auto"/>
      </w:pPr>
      <w:r>
        <w:rPr>
          <w:rFonts w:ascii="Calibri" w:hAnsi="Calibri"/>
          <w:sz w:val="21"/>
        </w:rPr>
        <w:t>Build Laurelshield as carrier-neutral and broker-neutral. Aon can be an early pilot or distribution partner, but the core methodology, data model, and customer portability should remain independent.</w:t>
      </w:r>
    </w:p>
    <w:p>
      <w:pPr>
        <w:pStyle w:val="ListBullet"/>
        <w:spacing w:after="40" w:line="252" w:lineRule="auto"/>
      </w:pPr>
      <w:r>
        <w:rPr>
          <w:rFonts w:ascii="Calibri" w:hAnsi="Calibri"/>
          <w:sz w:val="21"/>
        </w:rPr>
        <w:t>Design the customer as the controller of evidence sharing. A verified organization should be able to authorize one broker or multiple carriers for a defined purpose and time window, then revoke access.</w:t>
      </w:r>
    </w:p>
    <w:p>
      <w:pPr>
        <w:pStyle w:val="ListBullet"/>
        <w:spacing w:after="40" w:line="252" w:lineRule="auto"/>
      </w:pPr>
      <w:r>
        <w:rPr>
          <w:rFonts w:ascii="Calibri" w:hAnsi="Calibri"/>
          <w:sz w:val="21"/>
        </w:rPr>
        <w:t>Publish enough of the assurance standard to establish credibility, but keep carrier-specific mappings, scoring logic, anomaly-detection methods, benchmark data, and outcome models confidential as trade secrets.</w:t>
      </w:r>
    </w:p>
    <w:p>
      <w:pPr>
        <w:pStyle w:val="ListBullet"/>
        <w:spacing w:after="40" w:line="252" w:lineRule="auto"/>
      </w:pPr>
      <w:r>
        <w:rPr>
          <w:rFonts w:ascii="Calibri" w:hAnsi="Calibri"/>
          <w:sz w:val="21"/>
        </w:rPr>
        <w:t>Design the assurance scheme from the beginning around independence, competence, repeatability, evidence lineage, complaints/appeals, surveillance, and separation between remediation and certification decisions.</w:t>
      </w:r>
    </w:p>
    <w:p>
      <w:pPr>
        <w:pStyle w:val="ListBullet"/>
        <w:spacing w:after="40" w:line="252" w:lineRule="auto"/>
      </w:pPr>
      <w:r>
        <w:rPr>
          <w:rFonts w:ascii="Calibri" w:hAnsi="Calibri"/>
          <w:sz w:val="21"/>
        </w:rPr>
        <w:t>Use trademarks and potentially a certification mark to protect distinctive brand signals; copyright the written standard and software; investigate patent protection only for genuinely novel technical mechanisms; protect the most valuable mapping and outcome data as trade secrets and by contract.</w:t>
      </w:r>
    </w:p>
    <w:p>
      <w:pPr>
        <w:pStyle w:val="ListBullet"/>
        <w:spacing w:after="40" w:line="252" w:lineRule="auto"/>
      </w:pPr>
      <w:r>
        <w:rPr>
          <w:rFonts w:ascii="Calibri" w:hAnsi="Calibri"/>
          <w:sz w:val="21"/>
        </w:rPr>
        <w:t>Do not market “Cyber Insurability Assurance” as a guarantee of coverage. Laurelshield should verify cyber controls and evidence; brokers and underwriters retain insurance placement and underwriting decisions.</w:t>
      </w:r>
    </w:p>
    <w:p>
      <w:pPr>
        <w:pStyle w:val="Heading1"/>
        <w:keepNext/>
        <w:spacing w:before="160" w:after="80"/>
      </w:pPr>
      <w:r>
        <w:rPr>
          <w:rFonts w:ascii="Calibri" w:hAnsi="Calibri"/>
          <w:b/>
          <w:color w:val="1F4E79"/>
          <w:sz w:val="30"/>
        </w:rPr>
        <w:t>Table of Contents</w:t>
      </w:r>
    </w:p>
    <w:p>
      <w:pPr>
        <w:pStyle w:val="ListBullet"/>
        <w:spacing w:after="40" w:line="252" w:lineRule="auto"/>
      </w:pPr>
      <w:r>
        <w:rPr>
          <w:rFonts w:ascii="Calibri" w:hAnsi="Calibri"/>
          <w:sz w:val="21"/>
        </w:rPr>
        <w:t>1. Strategic Objective and Definition of the Final MOAT</w:t>
      </w:r>
    </w:p>
    <w:p>
      <w:pPr>
        <w:pStyle w:val="ListBullet"/>
        <w:spacing w:after="40" w:line="252" w:lineRule="auto"/>
      </w:pPr>
      <w:r>
        <w:rPr>
          <w:rFonts w:ascii="Calibri" w:hAnsi="Calibri"/>
          <w:sz w:val="21"/>
        </w:rPr>
        <w:t>2. Competitive Landscape: Who Already Does Parts of This?</w:t>
      </w:r>
    </w:p>
    <w:p>
      <w:pPr>
        <w:pStyle w:val="ListBullet"/>
        <w:spacing w:after="40" w:line="252" w:lineRule="auto"/>
      </w:pPr>
      <w:r>
        <w:rPr>
          <w:rFonts w:ascii="Calibri" w:hAnsi="Calibri"/>
          <w:sz w:val="21"/>
        </w:rPr>
        <w:t>3. White Space and Defensible Positioning</w:t>
      </w:r>
    </w:p>
    <w:p>
      <w:pPr>
        <w:pStyle w:val="ListBullet"/>
        <w:spacing w:after="40" w:line="252" w:lineRule="auto"/>
      </w:pPr>
      <w:r>
        <w:rPr>
          <w:rFonts w:ascii="Calibri" w:hAnsi="Calibri"/>
          <w:sz w:val="21"/>
        </w:rPr>
        <w:t>4. Complete End-to-End Business Process</w:t>
      </w:r>
    </w:p>
    <w:p>
      <w:pPr>
        <w:pStyle w:val="ListBullet"/>
        <w:spacing w:after="40" w:line="252" w:lineRule="auto"/>
      </w:pPr>
      <w:r>
        <w:rPr>
          <w:rFonts w:ascii="Calibri" w:hAnsi="Calibri"/>
          <w:sz w:val="21"/>
        </w:rPr>
        <w:t>5. Detailed Technology Architecture</w:t>
      </w:r>
    </w:p>
    <w:p>
      <w:pPr>
        <w:pStyle w:val="ListBullet"/>
        <w:spacing w:after="40" w:line="252" w:lineRule="auto"/>
      </w:pPr>
      <w:r>
        <w:rPr>
          <w:rFonts w:ascii="Calibri" w:hAnsi="Calibri"/>
          <w:sz w:val="21"/>
        </w:rPr>
        <w:t>6. Control, Evidence, and Passport Data Model</w:t>
      </w:r>
    </w:p>
    <w:p>
      <w:pPr>
        <w:pStyle w:val="ListBullet"/>
        <w:spacing w:after="40" w:line="252" w:lineRule="auto"/>
      </w:pPr>
      <w:r>
        <w:rPr>
          <w:rFonts w:ascii="Calibri" w:hAnsi="Calibri"/>
          <w:sz w:val="21"/>
        </w:rPr>
        <w:t>7. Product and Commercial Model</w:t>
      </w:r>
    </w:p>
    <w:p>
      <w:pPr>
        <w:pStyle w:val="ListBullet"/>
        <w:spacing w:after="40" w:line="252" w:lineRule="auto"/>
      </w:pPr>
      <w:r>
        <w:rPr>
          <w:rFonts w:ascii="Calibri" w:hAnsi="Calibri"/>
          <w:sz w:val="21"/>
        </w:rPr>
        <w:t>8. Broker Partnership Process</w:t>
      </w:r>
    </w:p>
    <w:p>
      <w:pPr>
        <w:pStyle w:val="ListBullet"/>
        <w:spacing w:after="40" w:line="252" w:lineRule="auto"/>
      </w:pPr>
      <w:r>
        <w:rPr>
          <w:rFonts w:ascii="Calibri" w:hAnsi="Calibri"/>
          <w:sz w:val="21"/>
        </w:rPr>
        <w:t>9. Carrier Partnership and Acceptance Process</w:t>
      </w:r>
    </w:p>
    <w:p>
      <w:pPr>
        <w:pStyle w:val="ListBullet"/>
        <w:spacing w:after="40" w:line="252" w:lineRule="auto"/>
      </w:pPr>
      <w:r>
        <w:rPr>
          <w:rFonts w:ascii="Calibri" w:hAnsi="Calibri"/>
          <w:sz w:val="21"/>
        </w:rPr>
        <w:t>10. Certification and Assurance Governance</w:t>
      </w:r>
    </w:p>
    <w:p>
      <w:pPr>
        <w:pStyle w:val="ListBullet"/>
        <w:spacing w:after="40" w:line="252" w:lineRule="auto"/>
      </w:pPr>
      <w:r>
        <w:rPr>
          <w:rFonts w:ascii="Calibri" w:hAnsi="Calibri"/>
          <w:sz w:val="21"/>
        </w:rPr>
        <w:t>11. Intellectual Property and Anti-Copy Protection</w:t>
      </w:r>
    </w:p>
    <w:p>
      <w:pPr>
        <w:pStyle w:val="ListBullet"/>
        <w:spacing w:after="40" w:line="252" w:lineRule="auto"/>
      </w:pPr>
      <w:r>
        <w:rPr>
          <w:rFonts w:ascii="Calibri" w:hAnsi="Calibri"/>
          <w:sz w:val="21"/>
        </w:rPr>
        <w:t>12. Detailed Final-MOAT Implementation Program</w:t>
      </w:r>
    </w:p>
    <w:p>
      <w:pPr>
        <w:pStyle w:val="ListBullet"/>
        <w:spacing w:after="40" w:line="252" w:lineRule="auto"/>
      </w:pPr>
      <w:r>
        <w:rPr>
          <w:rFonts w:ascii="Calibri" w:hAnsi="Calibri"/>
          <w:sz w:val="21"/>
        </w:rPr>
        <w:t>13. Pilot Design and Go/No-Go Criteria</w:t>
      </w:r>
    </w:p>
    <w:p>
      <w:pPr>
        <w:pStyle w:val="ListBullet"/>
        <w:spacing w:after="40" w:line="252" w:lineRule="auto"/>
      </w:pPr>
      <w:r>
        <w:rPr>
          <w:rFonts w:ascii="Calibri" w:hAnsi="Calibri"/>
          <w:sz w:val="21"/>
        </w:rPr>
        <w:t>14. Metrics, Economics, and Network Effects</w:t>
      </w:r>
    </w:p>
    <w:p>
      <w:pPr>
        <w:pStyle w:val="ListBullet"/>
        <w:spacing w:after="40" w:line="252" w:lineRule="auto"/>
      </w:pPr>
      <w:r>
        <w:rPr>
          <w:rFonts w:ascii="Calibri" w:hAnsi="Calibri"/>
          <w:sz w:val="21"/>
        </w:rPr>
        <w:t>15. Risks and Mitigations</w:t>
      </w:r>
    </w:p>
    <w:p>
      <w:pPr>
        <w:pStyle w:val="ListBullet"/>
        <w:spacing w:after="40" w:line="252" w:lineRule="auto"/>
      </w:pPr>
      <w:r>
        <w:rPr>
          <w:rFonts w:ascii="Calibri" w:hAnsi="Calibri"/>
          <w:sz w:val="21"/>
        </w:rPr>
        <w:t>16. Recommended 24-Month Execution Sequence</w:t>
      </w:r>
    </w:p>
    <w:p>
      <w:pPr>
        <w:pStyle w:val="ListBullet"/>
        <w:spacing w:after="40" w:line="252" w:lineRule="auto"/>
      </w:pPr>
      <w:r>
        <w:rPr>
          <w:rFonts w:ascii="Calibri" w:hAnsi="Calibri"/>
          <w:sz w:val="21"/>
        </w:rPr>
        <w:t>17. Final Strategic Positioning</w:t>
      </w:r>
    </w:p>
    <w:p>
      <w:pPr>
        <w:pStyle w:val="ListBullet"/>
        <w:spacing w:after="40" w:line="252" w:lineRule="auto"/>
      </w:pPr>
      <w:r>
        <w:rPr>
          <w:rFonts w:ascii="Calibri" w:hAnsi="Calibri"/>
          <w:sz w:val="21"/>
        </w:rPr>
        <w:t>References</w:t>
      </w:r>
    </w:p>
    <w:p>
      <w:pPr>
        <w:pStyle w:val="Heading1"/>
        <w:keepNext/>
        <w:spacing w:before="160" w:after="80"/>
      </w:pPr>
      <w:r>
        <w:rPr>
          <w:rFonts w:ascii="Calibri" w:hAnsi="Calibri"/>
          <w:b/>
          <w:color w:val="1F4E79"/>
          <w:sz w:val="30"/>
        </w:rPr>
        <w:t>1. Strategic Objective and Definition of the Final MOAT</w:t>
      </w:r>
    </w:p>
    <w:p>
      <w:pPr>
        <w:pStyle w:val="Heading2"/>
        <w:keepNext/>
        <w:spacing w:before="100" w:after="80"/>
      </w:pPr>
      <w:r>
        <w:rPr>
          <w:rFonts w:ascii="Calibri" w:hAnsi="Calibri"/>
          <w:b/>
          <w:color w:val="1F4E79"/>
          <w:sz w:val="25"/>
        </w:rPr>
        <w:t>1.1 Strategic objective</w:t>
      </w:r>
    </w:p>
    <w:p>
      <w:pPr>
        <w:spacing w:after="80" w:line="259" w:lineRule="auto"/>
      </w:pPr>
      <w:r>
        <w:rPr>
          <w:rFonts w:ascii="Calibri" w:hAnsi="Calibri"/>
          <w:sz w:val="21"/>
        </w:rPr>
        <w:t>Laurelshield’s long-term objective should be to become the trusted portability layer between cybersecurity evidence and cyber-insurance underwriting. The customer should be able to prove a control once, through evidence strong enough to withstand independent scrutiny, and reuse that verified fact across multiple participating insurance and risk workflows without repeating the same technical investigation each time.</w:t>
      </w:r>
    </w:p>
    <w:p>
      <w:pPr>
        <w:spacing w:after="80" w:line="259" w:lineRule="auto"/>
      </w:pPr>
      <w:r>
        <w:rPr>
          <w:rFonts w:ascii="Calibri" w:hAnsi="Calibri"/>
          <w:sz w:val="21"/>
        </w:rPr>
        <w:t>The business should therefore be designed around the proposition:</w:t>
      </w:r>
    </w:p>
    <w:p>
      <w:pPr>
        <w:spacing w:before="120" w:after="160"/>
        <w:jc w:val="center"/>
      </w:pPr>
      <w:r>
        <w:rPr>
          <w:rFonts w:ascii="Calibri" w:hAnsi="Calibri"/>
          <w:b/>
          <w:color w:val="1F4E79"/>
          <w:sz w:val="28"/>
        </w:rPr>
        <w:t>VERIFY ONCE. DEMONSTRATE EVERYWHERE.</w:t>
      </w:r>
    </w:p>
    <w:p>
      <w:pPr>
        <w:spacing w:after="80" w:line="259" w:lineRule="auto"/>
      </w:pPr>
      <w:r>
        <w:rPr>
          <w:rFonts w:ascii="Calibri" w:hAnsi="Calibri"/>
          <w:sz w:val="21"/>
        </w:rPr>
        <w:t>This phrase is a commercial positioning concept and should not be treated as legally cleared branding until trademark counsel completes a confusion and registrability search. Existing identity-verification businesses already use “verify once” language, including Verify Once, Interac’s reusable credentials, and Entrust’s identity-verification messaging, so the house mark LAURELSHIELD should remain the primary distinctive identifier.</w:t>
      </w:r>
      <w:r>
        <w:rPr>
          <w:rFonts w:ascii="Calibri" w:hAnsi="Calibri"/>
          <w:sz w:val="21"/>
        </w:rPr>
        <w:t xml:space="preserve"> </w:t>
      </w:r>
      <w:hyperlink r:id="rId20">
        <w:r>
          <w:rPr>
            <w:rFonts w:ascii="Calibri" w:hAnsi="Calibri"/>
            <w:sz w:val="19"/>
            <w:szCs w:val="19"/>
            <w:color w:val="0563C1"/>
            <w:u w:val="single"/>
          </w:rPr>
          <w:t>[26]</w:t>
        </w:r>
      </w:hyperlink>
      <w:r>
        <w:rPr>
          <w:rFonts w:ascii="Calibri" w:hAnsi="Calibri"/>
          <w:sz w:val="19"/>
        </w:rPr>
        <w:t xml:space="preserve">, </w:t>
      </w:r>
      <w:hyperlink r:id="rId21">
        <w:r>
          <w:rPr>
            <w:rFonts w:ascii="Calibri" w:hAnsi="Calibri"/>
            <w:sz w:val="19"/>
            <w:szCs w:val="19"/>
            <w:color w:val="0563C1"/>
            <w:u w:val="single"/>
          </w:rPr>
          <w:t>[27]</w:t>
        </w:r>
      </w:hyperlink>
      <w:r>
        <w:rPr>
          <w:rFonts w:ascii="Calibri" w:hAnsi="Calibri"/>
          <w:sz w:val="19"/>
        </w:rPr>
        <w:t xml:space="preserve">, </w:t>
      </w:r>
      <w:hyperlink r:id="rId22">
        <w:r>
          <w:rPr>
            <w:rFonts w:ascii="Calibri" w:hAnsi="Calibri"/>
            <w:sz w:val="19"/>
            <w:szCs w:val="19"/>
            <w:color w:val="0563C1"/>
            <w:u w:val="single"/>
          </w:rPr>
          <w:t>[28]</w:t>
        </w:r>
      </w:hyperlink>
      <w:r>
        <w:rPr>
          <w:rFonts w:ascii="Calibri" w:hAnsi="Calibri"/>
          <w:sz w:val="19"/>
        </w:rPr>
        <w:t xml:space="preserve">, </w:t>
      </w:r>
      <w:hyperlink r:id="rId23">
        <w:r>
          <w:rPr>
            <w:rFonts w:ascii="Calibri" w:hAnsi="Calibri"/>
            <w:sz w:val="19"/>
            <w:szCs w:val="19"/>
            <w:color w:val="0563C1"/>
            <w:u w:val="single"/>
          </w:rPr>
          <w:t>[13]</w:t>
        </w:r>
      </w:hyperlink>
      <w:r>
        <w:rPr>
          <w:rFonts w:ascii="Calibri" w:hAnsi="Calibri"/>
          <w:sz w:val="19"/>
        </w:rPr>
        <w:t xml:space="preserve">, </w:t>
      </w:r>
      <w:hyperlink r:id="rId24">
        <w:r>
          <w:rPr>
            <w:rFonts w:ascii="Calibri" w:hAnsi="Calibri"/>
            <w:sz w:val="19"/>
            <w:szCs w:val="19"/>
            <w:color w:val="0563C1"/>
            <w:u w:val="single"/>
          </w:rPr>
          <w:t>[25]</w:t>
        </w:r>
      </w:hyperlink>
    </w:p>
    <w:p>
      <w:pPr>
        <w:pStyle w:val="Heading2"/>
        <w:keepNext/>
        <w:spacing w:before="100" w:after="80"/>
      </w:pPr>
      <w:r>
        <w:rPr>
          <w:rFonts w:ascii="Calibri" w:hAnsi="Calibri"/>
          <w:b/>
          <w:color w:val="1F4E79"/>
          <w:sz w:val="25"/>
        </w:rPr>
        <w:t>1.2 What the final moat is — and is not</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val="true"/>
        </w:trPr>
        <w:tc>
          <w:tcPr>
            <w:tcW w:type="dxa" w:w="3389"/>
            <w:vAlign w:val="top"/>
            <w:shd w:fill="D9EAF7"/>
            <w:tcMar>
              <w:top w:w="70" w:type="dxa"/>
              <w:left w:w="80" w:type="dxa"/>
              <w:bottom w:w="70" w:type="dxa"/>
              <w:right w:w="80" w:type="dxa"/>
            </w:tcMar>
          </w:tcPr>
          <w:p>
            <w:pPr>
              <w:spacing w:after="0" w:line="240" w:lineRule="auto"/>
            </w:pPr>
            <w:r/>
            <w:r>
              <w:rPr>
                <w:rFonts w:ascii="Calibri" w:hAnsi="Calibri"/>
                <w:b/>
                <w:sz w:val="19"/>
              </w:rPr>
              <w:t>Asset / Capability</w:t>
            </w:r>
          </w:p>
        </w:tc>
        <w:tc>
          <w:tcPr>
            <w:tcW w:type="dxa" w:w="3389"/>
            <w:vAlign w:val="top"/>
            <w:shd w:fill="D9EAF7"/>
            <w:tcMar>
              <w:top w:w="70" w:type="dxa"/>
              <w:left w:w="80" w:type="dxa"/>
              <w:bottom w:w="70" w:type="dxa"/>
              <w:right w:w="80" w:type="dxa"/>
            </w:tcMar>
          </w:tcPr>
          <w:p>
            <w:pPr>
              <w:spacing w:after="0" w:line="240" w:lineRule="auto"/>
            </w:pPr>
            <w:r/>
            <w:r>
              <w:rPr>
                <w:rFonts w:ascii="Calibri" w:hAnsi="Calibri"/>
                <w:b/>
                <w:sz w:val="19"/>
              </w:rPr>
              <w:t>Moat Strength</w:t>
            </w:r>
          </w:p>
        </w:tc>
        <w:tc>
          <w:tcPr>
            <w:tcW w:type="dxa" w:w="3389"/>
            <w:vAlign w:val="top"/>
            <w:shd w:fill="D9EAF7"/>
            <w:tcMar>
              <w:top w:w="70" w:type="dxa"/>
              <w:left w:w="80" w:type="dxa"/>
              <w:bottom w:w="70" w:type="dxa"/>
              <w:right w:w="80" w:type="dxa"/>
            </w:tcMar>
          </w:tcPr>
          <w:p>
            <w:pPr>
              <w:spacing w:after="0" w:line="240" w:lineRule="auto"/>
            </w:pPr>
            <w:r/>
            <w:r>
              <w:rPr>
                <w:rFonts w:ascii="Calibri" w:hAnsi="Calibri"/>
                <w:b/>
                <w:sz w:val="19"/>
              </w:rPr>
              <w:t>Reason</w:t>
            </w:r>
          </w:p>
        </w:tc>
      </w:tr>
      <w:tr>
        <w:trPr>
          <w:cantSplit w:val="true"/>
        </w:trPr>
        <w:tc>
          <w:tcPr>
            <w:tcW w:type="dxa" w:w="3389"/>
            <w:vAlign w:val="top"/>
            <w:tcMar>
              <w:top w:w="70" w:type="dxa"/>
              <w:left w:w="80" w:type="dxa"/>
              <w:bottom w:w="70" w:type="dxa"/>
              <w:right w:w="80" w:type="dxa"/>
            </w:tcMar>
          </w:tcPr>
          <w:p>
            <w:pPr>
              <w:spacing w:after="0" w:line="240" w:lineRule="auto"/>
            </w:pPr>
            <w:r/>
            <w:r>
              <w:rPr>
                <w:rFonts w:ascii="Calibri" w:hAnsi="Calibri"/>
                <w:b w:val="0"/>
                <w:sz w:val="19"/>
              </w:rPr>
              <w:t>Generic cyber-insurance readiness assessment</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Low</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Easy for cybersecurity firms, brokers, and insurers to reproduce.</w:t>
            </w:r>
          </w:p>
        </w:tc>
      </w:tr>
      <w:tr>
        <w:trPr>
          <w:cantSplit w:val="true"/>
        </w:trPr>
        <w:tc>
          <w:tcPr>
            <w:tcW w:type="dxa" w:w="3389"/>
            <w:vAlign w:val="top"/>
            <w:tcMar>
              <w:top w:w="70" w:type="dxa"/>
              <w:left w:w="80" w:type="dxa"/>
              <w:bottom w:w="70" w:type="dxa"/>
              <w:right w:w="80" w:type="dxa"/>
            </w:tcMar>
          </w:tcPr>
          <w:p>
            <w:pPr>
              <w:spacing w:after="0" w:line="240" w:lineRule="auto"/>
            </w:pPr>
            <w:r/>
            <w:r>
              <w:rPr>
                <w:rFonts w:ascii="Calibri" w:hAnsi="Calibri"/>
                <w:b w:val="0"/>
                <w:sz w:val="19"/>
              </w:rPr>
              <w:t>Independent technical verification</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Moderate</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More credible than self-attestation but still replicable.</w:t>
            </w:r>
          </w:p>
        </w:tc>
      </w:tr>
      <w:tr>
        <w:trPr>
          <w:cantSplit w:val="true"/>
        </w:trPr>
        <w:tc>
          <w:tcPr>
            <w:tcW w:type="dxa" w:w="3389"/>
            <w:vAlign w:val="top"/>
            <w:tcMar>
              <w:top w:w="70" w:type="dxa"/>
              <w:left w:w="80" w:type="dxa"/>
              <w:bottom w:w="70" w:type="dxa"/>
              <w:right w:w="80" w:type="dxa"/>
            </w:tcMar>
          </w:tcPr>
          <w:p>
            <w:pPr>
              <w:spacing w:after="0" w:line="240" w:lineRule="auto"/>
            </w:pPr>
            <w:r/>
            <w:r>
              <w:rPr>
                <w:rFonts w:ascii="Calibri" w:hAnsi="Calibri"/>
                <w:b w:val="0"/>
                <w:sz w:val="19"/>
              </w:rPr>
              <w:t>Standardized evidence taxonomy</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Moderate</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Useful, but a competitor can build an alternative taxonomy.</w:t>
            </w:r>
          </w:p>
        </w:tc>
      </w:tr>
      <w:tr>
        <w:trPr>
          <w:cantSplit w:val="true"/>
        </w:trPr>
        <w:tc>
          <w:tcPr>
            <w:tcW w:type="dxa" w:w="3389"/>
            <w:vAlign w:val="top"/>
            <w:tcMar>
              <w:top w:w="70" w:type="dxa"/>
              <w:left w:w="80" w:type="dxa"/>
              <w:bottom w:w="70" w:type="dxa"/>
              <w:right w:w="80" w:type="dxa"/>
            </w:tcMar>
          </w:tcPr>
          <w:p>
            <w:pPr>
              <w:spacing w:after="0" w:line="240" w:lineRule="auto"/>
            </w:pPr>
            <w:r/>
            <w:r>
              <w:rPr>
                <w:rFonts w:ascii="Calibri" w:hAnsi="Calibri"/>
                <w:b w:val="0"/>
                <w:sz w:val="19"/>
              </w:rPr>
              <w:t>Portable Cyber Risk Passport</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Moderate-to-High</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Switching value increases as more counterparties accept it.</w:t>
            </w:r>
          </w:p>
        </w:tc>
      </w:tr>
      <w:tr>
        <w:trPr>
          <w:cantSplit w:val="true"/>
        </w:trPr>
        <w:tc>
          <w:tcPr>
            <w:tcW w:type="dxa" w:w="3389"/>
            <w:vAlign w:val="top"/>
            <w:tcMar>
              <w:top w:w="70" w:type="dxa"/>
              <w:left w:w="80" w:type="dxa"/>
              <w:bottom w:w="70" w:type="dxa"/>
              <w:right w:w="80" w:type="dxa"/>
            </w:tcMar>
          </w:tcPr>
          <w:p>
            <w:pPr>
              <w:spacing w:after="0" w:line="240" w:lineRule="auto"/>
            </w:pPr>
            <w:r/>
            <w:r>
              <w:rPr>
                <w:rFonts w:ascii="Calibri" w:hAnsi="Calibri"/>
                <w:b w:val="0"/>
                <w:sz w:val="19"/>
              </w:rPr>
              <w:t>Multi-carrier translation graph</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High</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Requires continuous insurer-specific mapping, validation, and trust.</w:t>
            </w:r>
          </w:p>
        </w:tc>
      </w:tr>
      <w:tr>
        <w:trPr>
          <w:cantSplit w:val="true"/>
        </w:trPr>
        <w:tc>
          <w:tcPr>
            <w:tcW w:type="dxa" w:w="3389"/>
            <w:vAlign w:val="top"/>
            <w:tcMar>
              <w:top w:w="70" w:type="dxa"/>
              <w:left w:w="80" w:type="dxa"/>
              <w:bottom w:w="70" w:type="dxa"/>
              <w:right w:w="80" w:type="dxa"/>
            </w:tcMar>
          </w:tcPr>
          <w:p>
            <w:pPr>
              <w:spacing w:after="0" w:line="240" w:lineRule="auto"/>
            </w:pPr>
            <w:r/>
            <w:r>
              <w:rPr>
                <w:rFonts w:ascii="Calibri" w:hAnsi="Calibri"/>
                <w:b w:val="0"/>
                <w:sz w:val="19"/>
              </w:rPr>
              <w:t>Continuous machine-verified evidence history</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High</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Creates longitudinal proof rather than point-in-time assertions.</w:t>
            </w:r>
          </w:p>
        </w:tc>
      </w:tr>
      <w:tr>
        <w:trPr>
          <w:cantSplit w:val="true"/>
        </w:trPr>
        <w:tc>
          <w:tcPr>
            <w:tcW w:type="dxa" w:w="3389"/>
            <w:vAlign w:val="top"/>
            <w:tcMar>
              <w:top w:w="70" w:type="dxa"/>
              <w:left w:w="80" w:type="dxa"/>
              <w:bottom w:w="70" w:type="dxa"/>
              <w:right w:w="80" w:type="dxa"/>
            </w:tcMar>
          </w:tcPr>
          <w:p>
            <w:pPr>
              <w:spacing w:after="0" w:line="240" w:lineRule="auto"/>
            </w:pPr>
            <w:r/>
            <w:r>
              <w:rPr>
                <w:rFonts w:ascii="Calibri" w:hAnsi="Calibri"/>
                <w:b w:val="0"/>
                <w:sz w:val="19"/>
              </w:rPr>
              <w:t>Broker/carrier workflow integrations</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High</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Embedded distribution creates switching costs and network effects.</w:t>
            </w:r>
          </w:p>
        </w:tc>
      </w:tr>
      <w:tr>
        <w:trPr>
          <w:cantSplit w:val="true"/>
        </w:trPr>
        <w:tc>
          <w:tcPr>
            <w:tcW w:type="dxa" w:w="3389"/>
            <w:vAlign w:val="top"/>
            <w:tcMar>
              <w:top w:w="70" w:type="dxa"/>
              <w:left w:w="80" w:type="dxa"/>
              <w:bottom w:w="70" w:type="dxa"/>
              <w:right w:w="80" w:type="dxa"/>
            </w:tcMar>
          </w:tcPr>
          <w:p>
            <w:pPr>
              <w:spacing w:after="0" w:line="240" w:lineRule="auto"/>
            </w:pPr>
            <w:r/>
            <w:r>
              <w:rPr>
                <w:rFonts w:ascii="Calibri" w:hAnsi="Calibri"/>
                <w:b w:val="0"/>
                <w:sz w:val="19"/>
              </w:rPr>
              <w:t>Underwriting and claims outcome dataset</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Very High</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Historical cross-market evidence is difficult and slow to reproduce.</w:t>
            </w:r>
          </w:p>
        </w:tc>
      </w:tr>
      <w:tr>
        <w:trPr>
          <w:cantSplit w:val="true"/>
        </w:trPr>
        <w:tc>
          <w:tcPr>
            <w:tcW w:type="dxa" w:w="3389"/>
            <w:vAlign w:val="top"/>
            <w:tcMar>
              <w:top w:w="70" w:type="dxa"/>
              <w:left w:w="80" w:type="dxa"/>
              <w:bottom w:w="70" w:type="dxa"/>
              <w:right w:w="80" w:type="dxa"/>
            </w:tcMar>
          </w:tcPr>
          <w:p>
            <w:pPr>
              <w:spacing w:after="0" w:line="240" w:lineRule="auto"/>
            </w:pPr>
            <w:r/>
            <w:r>
              <w:rPr>
                <w:rFonts w:ascii="Calibri" w:hAnsi="Calibri"/>
                <w:b w:val="0"/>
                <w:sz w:val="19"/>
              </w:rPr>
              <w:t>Market-recognized certification/assurance ecosystem</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Very High</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Trust, governance, acceptance, assessors, and network effects compound over time.</w:t>
            </w:r>
          </w:p>
        </w:tc>
      </w:tr>
    </w:tbl>
    <w:p>
      <w:pPr>
        <w:spacing w:after="40"/>
      </w:pPr>
    </w:p>
    <w:p>
      <w:pPr>
        <w:pStyle w:val="Heading2"/>
        <w:keepNext/>
        <w:spacing w:before="100" w:after="80"/>
      </w:pPr>
      <w:r>
        <w:rPr>
          <w:rFonts w:ascii="Calibri" w:hAnsi="Calibri"/>
          <w:b/>
          <w:color w:val="1F4E79"/>
          <w:sz w:val="25"/>
        </w:rPr>
        <w:t>1.3 The ten-layer moat stack</w:t>
      </w:r>
    </w:p>
    <w:p>
      <w:pPr>
        <w:pStyle w:val="ListBullet"/>
        <w:spacing w:after="40" w:line="252" w:lineRule="auto"/>
      </w:pPr>
      <w:r>
        <w:rPr>
          <w:rFonts w:ascii="Calibri" w:hAnsi="Calibri"/>
          <w:b/>
          <w:sz w:val="21"/>
        </w:rPr>
        <w:t>Layer 1 — Canonical Control Model:</w:t>
      </w:r>
      <w:r>
        <w:rPr>
          <w:rFonts w:ascii="Calibri" w:hAnsi="Calibri"/>
          <w:sz w:val="21"/>
        </w:rPr>
        <w:t xml:space="preserve"> A stable, vendor-neutral model of cyber controls that separates “what must be true” from any specific questionnaire wording.</w:t>
      </w:r>
    </w:p>
    <w:p>
      <w:pPr>
        <w:pStyle w:val="ListBullet"/>
        <w:spacing w:after="40" w:line="252" w:lineRule="auto"/>
      </w:pPr>
      <w:r>
        <w:rPr>
          <w:rFonts w:ascii="Calibri" w:hAnsi="Calibri"/>
          <w:b/>
          <w:sz w:val="21"/>
        </w:rPr>
        <w:t>Layer 2 — Evidence Verification Engine:</w:t>
      </w:r>
      <w:r>
        <w:rPr>
          <w:rFonts w:ascii="Calibri" w:hAnsi="Calibri"/>
          <w:sz w:val="21"/>
        </w:rPr>
        <w:t xml:space="preserve"> Read-only integrations, technical tests, interviews, and documentary review that prove whether the control exists and works.</w:t>
      </w:r>
    </w:p>
    <w:p>
      <w:pPr>
        <w:pStyle w:val="ListBullet"/>
        <w:spacing w:after="40" w:line="252" w:lineRule="auto"/>
      </w:pPr>
      <w:r>
        <w:rPr>
          <w:rFonts w:ascii="Calibri" w:hAnsi="Calibri"/>
          <w:b/>
          <w:sz w:val="21"/>
        </w:rPr>
        <w:t>Layer 3 — Evidence Confidence Model:</w:t>
      </w:r>
      <w:r>
        <w:rPr>
          <w:rFonts w:ascii="Calibri" w:hAnsi="Calibri"/>
          <w:sz w:val="21"/>
        </w:rPr>
        <w:t xml:space="preserve"> A formal scale that distinguishes self-attestation from documented, observed, technically verified, operationally tested, and continuously verified evidence.</w:t>
      </w:r>
    </w:p>
    <w:p>
      <w:pPr>
        <w:pStyle w:val="ListBullet"/>
        <w:spacing w:after="40" w:line="252" w:lineRule="auto"/>
      </w:pPr>
      <w:r>
        <w:rPr>
          <w:rFonts w:ascii="Calibri" w:hAnsi="Calibri"/>
          <w:b/>
          <w:sz w:val="21"/>
        </w:rPr>
        <w:t>Layer 4 — Underwriting Requirements Graph:</w:t>
      </w:r>
      <w:r>
        <w:rPr>
          <w:rFonts w:ascii="Calibri" w:hAnsi="Calibri"/>
          <w:sz w:val="21"/>
        </w:rPr>
        <w:t xml:space="preserve"> Private mappings between canonical controls and broker/carrier-specific evidence expectations.</w:t>
      </w:r>
    </w:p>
    <w:p>
      <w:pPr>
        <w:pStyle w:val="ListBullet"/>
        <w:spacing w:after="40" w:line="252" w:lineRule="auto"/>
      </w:pPr>
      <w:r>
        <w:rPr>
          <w:rFonts w:ascii="Calibri" w:hAnsi="Calibri"/>
          <w:b/>
          <w:sz w:val="21"/>
        </w:rPr>
        <w:t>Layer 5 — Cyber Risk Passport:</w:t>
      </w:r>
      <w:r>
        <w:rPr>
          <w:rFonts w:ascii="Calibri" w:hAnsi="Calibri"/>
          <w:sz w:val="21"/>
        </w:rPr>
        <w:t xml:space="preserve"> A customer-controlled, cryptographically verifiable collection of current assurance claims with scope, date, confidence, freshness, and revocation status.</w:t>
      </w:r>
    </w:p>
    <w:p>
      <w:pPr>
        <w:pStyle w:val="ListBullet"/>
        <w:spacing w:after="40" w:line="252" w:lineRule="auto"/>
      </w:pPr>
      <w:r>
        <w:rPr>
          <w:rFonts w:ascii="Calibri" w:hAnsi="Calibri"/>
          <w:b/>
          <w:sz w:val="21"/>
        </w:rPr>
        <w:t>Layer 6 — Evidence Translation:</w:t>
      </w:r>
      <w:r>
        <w:rPr>
          <w:rFonts w:ascii="Calibri" w:hAnsi="Calibri"/>
          <w:sz w:val="21"/>
        </w:rPr>
        <w:t xml:space="preserve"> The ability to produce an approved insurer/broker view from the same underlying evidence rather than repeating the assessment.</w:t>
      </w:r>
    </w:p>
    <w:p>
      <w:pPr>
        <w:pStyle w:val="ListBullet"/>
        <w:spacing w:after="40" w:line="252" w:lineRule="auto"/>
      </w:pPr>
      <w:r>
        <w:rPr>
          <w:rFonts w:ascii="Calibri" w:hAnsi="Calibri"/>
          <w:b/>
          <w:sz w:val="21"/>
        </w:rPr>
        <w:t>Layer 7 — Continuous Assurance:</w:t>
      </w:r>
      <w:r>
        <w:rPr>
          <w:rFonts w:ascii="Calibri" w:hAnsi="Calibri"/>
          <w:sz w:val="21"/>
        </w:rPr>
        <w:t xml:space="preserve"> Monitoring of controls whose state can degrade, creating evidence history and automated invalidation when required.</w:t>
      </w:r>
    </w:p>
    <w:p>
      <w:pPr>
        <w:pStyle w:val="ListBullet"/>
        <w:spacing w:after="40" w:line="252" w:lineRule="auto"/>
      </w:pPr>
      <w:r>
        <w:rPr>
          <w:rFonts w:ascii="Calibri" w:hAnsi="Calibri"/>
          <w:b/>
          <w:sz w:val="21"/>
        </w:rPr>
        <w:t>Layer 8 — Embedded Distribution:</w:t>
      </w:r>
      <w:r>
        <w:rPr>
          <w:rFonts w:ascii="Calibri" w:hAnsi="Calibri"/>
          <w:sz w:val="21"/>
        </w:rPr>
        <w:t xml:space="preserve"> Broker portals, underwriting APIs, renewal workflows, and partner integrations.</w:t>
      </w:r>
    </w:p>
    <w:p>
      <w:pPr>
        <w:pStyle w:val="ListBullet"/>
        <w:spacing w:after="40" w:line="252" w:lineRule="auto"/>
      </w:pPr>
      <w:r>
        <w:rPr>
          <w:rFonts w:ascii="Calibri" w:hAnsi="Calibri"/>
          <w:b/>
          <w:sz w:val="21"/>
        </w:rPr>
        <w:t>Layer 9 — Outcome Intelligence:</w:t>
      </w:r>
      <w:r>
        <w:rPr>
          <w:rFonts w:ascii="Calibri" w:hAnsi="Calibri"/>
          <w:sz w:val="21"/>
        </w:rPr>
        <w:t xml:space="preserve"> Quote, decline, terms, deductible, limit, premium, remediation, and eventually claims outcome data linked to verified controls.</w:t>
      </w:r>
    </w:p>
    <w:p>
      <w:pPr>
        <w:pStyle w:val="ListBullet"/>
        <w:spacing w:after="40" w:line="252" w:lineRule="auto"/>
      </w:pPr>
      <w:r>
        <w:rPr>
          <w:rFonts w:ascii="Calibri" w:hAnsi="Calibri"/>
          <w:b/>
          <w:sz w:val="21"/>
        </w:rPr>
        <w:t>Layer 10 — Trust Network:</w:t>
      </w:r>
      <w:r>
        <w:rPr>
          <w:rFonts w:ascii="Calibri" w:hAnsi="Calibri"/>
          <w:sz w:val="21"/>
        </w:rPr>
        <w:t xml:space="preserve"> Market recognition, accredited/qualified assessors, certification governance, participating brokers/carriers, and customer adoption.</w:t>
      </w:r>
    </w:p>
    <w:p>
      <w:pPr>
        <w:pStyle w:val="Heading1"/>
        <w:keepNext/>
        <w:spacing w:before="160" w:after="80"/>
      </w:pPr>
      <w:r>
        <w:rPr>
          <w:rFonts w:ascii="Calibri" w:hAnsi="Calibri"/>
          <w:b/>
          <w:color w:val="1F4E79"/>
          <w:sz w:val="30"/>
        </w:rPr>
        <w:t>2. Competitive Landscape: Who Already Does Parts of This?</w:t>
      </w:r>
    </w:p>
    <w:p>
      <w:pPr>
        <w:spacing w:after="80" w:line="259" w:lineRule="auto"/>
      </w:pPr>
      <w:r>
        <w:rPr>
          <w:rFonts w:ascii="Calibri" w:hAnsi="Calibri"/>
          <w:sz w:val="21"/>
        </w:rPr>
        <w:t>The market is not empty. Several companies already solve adjacent pieces. That is positive validation, but it means Laurelshield’s positioning must be narrower and more defensible than “cyber insurability consultant.”</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val="true"/>
        </w:trPr>
        <w:tc>
          <w:tcPr>
            <w:tcW w:type="dxa" w:w="2541"/>
            <w:vAlign w:val="top"/>
            <w:shd w:fill="D9EAF7"/>
            <w:tcMar>
              <w:top w:w="70" w:type="dxa"/>
              <w:left w:w="80" w:type="dxa"/>
              <w:bottom w:w="70" w:type="dxa"/>
              <w:right w:w="80" w:type="dxa"/>
            </w:tcMar>
          </w:tcPr>
          <w:p>
            <w:pPr>
              <w:spacing w:after="0" w:line="240" w:lineRule="auto"/>
            </w:pPr>
            <w:r/>
            <w:r>
              <w:rPr>
                <w:rFonts w:ascii="Calibri" w:hAnsi="Calibri"/>
                <w:b/>
                <w:sz w:val="19"/>
              </w:rPr>
              <w:t>Organization</w:t>
            </w:r>
          </w:p>
        </w:tc>
        <w:tc>
          <w:tcPr>
            <w:tcW w:type="dxa" w:w="2541"/>
            <w:vAlign w:val="top"/>
            <w:shd w:fill="D9EAF7"/>
            <w:tcMar>
              <w:top w:w="70" w:type="dxa"/>
              <w:left w:w="80" w:type="dxa"/>
              <w:bottom w:w="70" w:type="dxa"/>
              <w:right w:w="80" w:type="dxa"/>
            </w:tcMar>
          </w:tcPr>
          <w:p>
            <w:pPr>
              <w:spacing w:after="0" w:line="240" w:lineRule="auto"/>
            </w:pPr>
            <w:r/>
            <w:r>
              <w:rPr>
                <w:rFonts w:ascii="Calibri" w:hAnsi="Calibri"/>
                <w:b/>
                <w:sz w:val="19"/>
              </w:rPr>
              <w:t>What it already does</w:t>
            </w:r>
          </w:p>
        </w:tc>
        <w:tc>
          <w:tcPr>
            <w:tcW w:type="dxa" w:w="2541"/>
            <w:vAlign w:val="top"/>
            <w:shd w:fill="D9EAF7"/>
            <w:tcMar>
              <w:top w:w="70" w:type="dxa"/>
              <w:left w:w="80" w:type="dxa"/>
              <w:bottom w:w="70" w:type="dxa"/>
              <w:right w:w="80" w:type="dxa"/>
            </w:tcMar>
          </w:tcPr>
          <w:p>
            <w:pPr>
              <w:spacing w:after="0" w:line="240" w:lineRule="auto"/>
            </w:pPr>
            <w:r/>
            <w:r>
              <w:rPr>
                <w:rFonts w:ascii="Calibri" w:hAnsi="Calibri"/>
                <w:b/>
                <w:sz w:val="19"/>
              </w:rPr>
              <w:t>Overlap with Laurelshield</w:t>
            </w:r>
          </w:p>
        </w:tc>
        <w:tc>
          <w:tcPr>
            <w:tcW w:type="dxa" w:w="2541"/>
            <w:vAlign w:val="top"/>
            <w:shd w:fill="D9EAF7"/>
            <w:tcMar>
              <w:top w:w="70" w:type="dxa"/>
              <w:left w:w="80" w:type="dxa"/>
              <w:bottom w:w="70" w:type="dxa"/>
              <w:right w:w="80" w:type="dxa"/>
            </w:tcMar>
          </w:tcPr>
          <w:p>
            <w:pPr>
              <w:spacing w:after="0" w:line="240" w:lineRule="auto"/>
            </w:pPr>
            <w:r/>
            <w:r>
              <w:rPr>
                <w:rFonts w:ascii="Calibri" w:hAnsi="Calibri"/>
                <w:b/>
                <w:sz w:val="19"/>
              </w:rPr>
              <w:t>Strategic implication</w:t>
            </w:r>
          </w:p>
        </w:tc>
      </w:tr>
      <w:tr>
        <w:trPr>
          <w:cantSplit w:val="true"/>
        </w:trPr>
        <w:tc>
          <w:tcPr>
            <w:tcW w:type="dxa" w:w="2541"/>
            <w:vAlign w:val="top"/>
            <w:tcMar>
              <w:top w:w="70" w:type="dxa"/>
              <w:left w:w="80" w:type="dxa"/>
              <w:bottom w:w="70" w:type="dxa"/>
              <w:right w:w="80" w:type="dxa"/>
            </w:tcMar>
          </w:tcPr>
          <w:p>
            <w:pPr>
              <w:spacing w:after="0" w:line="240" w:lineRule="auto"/>
            </w:pPr>
            <w:r/>
            <w:r>
              <w:rPr>
                <w:rFonts w:ascii="Calibri" w:hAnsi="Calibri"/>
                <w:b w:val="0"/>
                <w:sz w:val="19"/>
              </w:rPr>
              <w:t>SPECTRA</w:t>
            </w:r>
          </w:p>
        </w:tc>
        <w:tc>
          <w:tcPr>
            <w:tcW w:type="dxa" w:w="2541"/>
            <w:vAlign w:val="top"/>
            <w:tcMar>
              <w:top w:w="70" w:type="dxa"/>
              <w:left w:w="80" w:type="dxa"/>
              <w:bottom w:w="70" w:type="dxa"/>
              <w:right w:w="80" w:type="dxa"/>
            </w:tcMar>
          </w:tcPr>
          <w:p>
            <w:pPr>
              <w:spacing w:after="0" w:line="240" w:lineRule="auto"/>
            </w:pPr>
            <w:r/>
            <w:r>
              <w:rPr>
                <w:rFonts w:ascii="Calibri" w:hAnsi="Calibri"/>
                <w:b w:val="0"/>
                <w:sz w:val="19"/>
              </w:rPr>
              <w:t>Independent MSP certification; insurer/broker use of validated security posture; questionnaire replacement in participating workflows.</w:t>
            </w:r>
          </w:p>
        </w:tc>
        <w:tc>
          <w:tcPr>
            <w:tcW w:type="dxa" w:w="2541"/>
            <w:vAlign w:val="top"/>
            <w:tcMar>
              <w:top w:w="70" w:type="dxa"/>
              <w:left w:w="80" w:type="dxa"/>
              <w:bottom w:w="70" w:type="dxa"/>
              <w:right w:w="80" w:type="dxa"/>
            </w:tcMar>
          </w:tcPr>
          <w:p>
            <w:pPr>
              <w:spacing w:after="0" w:line="240" w:lineRule="auto"/>
            </w:pPr>
            <w:r/>
            <w:r>
              <w:rPr>
                <w:rFonts w:ascii="Calibri" w:hAnsi="Calibri"/>
                <w:b w:val="0"/>
                <w:sz w:val="19"/>
              </w:rPr>
              <w:t>High</w:t>
            </w:r>
          </w:p>
        </w:tc>
        <w:tc>
          <w:tcPr>
            <w:tcW w:type="dxa" w:w="2541"/>
            <w:vAlign w:val="top"/>
            <w:tcMar>
              <w:top w:w="70" w:type="dxa"/>
              <w:left w:w="80" w:type="dxa"/>
              <w:bottom w:w="70" w:type="dxa"/>
              <w:right w:w="80" w:type="dxa"/>
            </w:tcMar>
          </w:tcPr>
          <w:p>
            <w:pPr>
              <w:spacing w:after="0" w:line="240" w:lineRule="auto"/>
            </w:pPr>
            <w:r/>
            <w:r>
              <w:rPr>
                <w:rFonts w:ascii="Calibri" w:hAnsi="Calibri"/>
                <w:b w:val="0"/>
                <w:sz w:val="19"/>
              </w:rPr>
              <w:t>Closest emerging precedent for independent certification linked to insurance; Laurelshield must differentiate through enterprise portability, deeper evidence, and multi-carrier translation.</w:t>
            </w:r>
          </w:p>
        </w:tc>
      </w:tr>
      <w:tr>
        <w:trPr>
          <w:cantSplit w:val="true"/>
        </w:trPr>
        <w:tc>
          <w:tcPr>
            <w:tcW w:type="dxa" w:w="2541"/>
            <w:vAlign w:val="top"/>
            <w:tcMar>
              <w:top w:w="70" w:type="dxa"/>
              <w:left w:w="80" w:type="dxa"/>
              <w:bottom w:w="70" w:type="dxa"/>
              <w:right w:w="80" w:type="dxa"/>
            </w:tcMar>
          </w:tcPr>
          <w:p>
            <w:pPr>
              <w:spacing w:after="0" w:line="240" w:lineRule="auto"/>
            </w:pPr>
            <w:r/>
            <w:r>
              <w:rPr>
                <w:rFonts w:ascii="Calibri" w:hAnsi="Calibri"/>
                <w:b w:val="0"/>
                <w:sz w:val="19"/>
              </w:rPr>
              <w:t>HITRUST</w:t>
            </w:r>
          </w:p>
        </w:tc>
        <w:tc>
          <w:tcPr>
            <w:tcW w:type="dxa" w:w="2541"/>
            <w:vAlign w:val="top"/>
            <w:tcMar>
              <w:top w:w="70" w:type="dxa"/>
              <w:left w:w="80" w:type="dxa"/>
              <w:bottom w:w="70" w:type="dxa"/>
              <w:right w:w="80" w:type="dxa"/>
            </w:tcMar>
          </w:tcPr>
          <w:p>
            <w:pPr>
              <w:spacing w:after="0" w:line="240" w:lineRule="auto"/>
            </w:pPr>
            <w:r/>
            <w:r>
              <w:rPr>
                <w:rFonts w:ascii="Calibri" w:hAnsi="Calibri"/>
                <w:b w:val="0"/>
                <w:sz w:val="19"/>
              </w:rPr>
              <w:t>Independent assurance/certification with insurance facility and streamlined underwriting for qualifying certified organizations.</w:t>
            </w:r>
          </w:p>
        </w:tc>
        <w:tc>
          <w:tcPr>
            <w:tcW w:type="dxa" w:w="2541"/>
            <w:vAlign w:val="top"/>
            <w:tcMar>
              <w:top w:w="70" w:type="dxa"/>
              <w:left w:w="80" w:type="dxa"/>
              <w:bottom w:w="70" w:type="dxa"/>
              <w:right w:w="80" w:type="dxa"/>
            </w:tcMar>
          </w:tcPr>
          <w:p>
            <w:pPr>
              <w:spacing w:after="0" w:line="240" w:lineRule="auto"/>
            </w:pPr>
            <w:r/>
            <w:r>
              <w:rPr>
                <w:rFonts w:ascii="Calibri" w:hAnsi="Calibri"/>
                <w:b w:val="0"/>
                <w:sz w:val="19"/>
              </w:rPr>
              <w:t>High</w:t>
            </w:r>
          </w:p>
        </w:tc>
        <w:tc>
          <w:tcPr>
            <w:tcW w:type="dxa" w:w="2541"/>
            <w:vAlign w:val="top"/>
            <w:tcMar>
              <w:top w:w="70" w:type="dxa"/>
              <w:left w:w="80" w:type="dxa"/>
              <w:bottom w:w="70" w:type="dxa"/>
              <w:right w:w="80" w:type="dxa"/>
            </w:tcMar>
          </w:tcPr>
          <w:p>
            <w:pPr>
              <w:spacing w:after="0" w:line="240" w:lineRule="auto"/>
            </w:pPr>
            <w:r/>
            <w:r>
              <w:rPr>
                <w:rFonts w:ascii="Calibri" w:hAnsi="Calibri"/>
                <w:b w:val="0"/>
                <w:sz w:val="19"/>
              </w:rPr>
              <w:t>Strong proof that a trusted assurance credential can materially affect insurance workflows.</w:t>
            </w:r>
          </w:p>
        </w:tc>
      </w:tr>
      <w:tr>
        <w:trPr>
          <w:cantSplit w:val="true"/>
        </w:trPr>
        <w:tc>
          <w:tcPr>
            <w:tcW w:type="dxa" w:w="2541"/>
            <w:vAlign w:val="top"/>
            <w:tcMar>
              <w:top w:w="70" w:type="dxa"/>
              <w:left w:w="80" w:type="dxa"/>
              <w:bottom w:w="70" w:type="dxa"/>
              <w:right w:w="80" w:type="dxa"/>
            </w:tcMar>
          </w:tcPr>
          <w:p>
            <w:pPr>
              <w:spacing w:after="0" w:line="240" w:lineRule="auto"/>
            </w:pPr>
            <w:r/>
            <w:r>
              <w:rPr>
                <w:rFonts w:ascii="Calibri" w:hAnsi="Calibri"/>
                <w:b w:val="0"/>
                <w:sz w:val="19"/>
              </w:rPr>
              <w:t>CyberCube</w:t>
            </w:r>
          </w:p>
        </w:tc>
        <w:tc>
          <w:tcPr>
            <w:tcW w:type="dxa" w:w="2541"/>
            <w:vAlign w:val="top"/>
            <w:tcMar>
              <w:top w:w="70" w:type="dxa"/>
              <w:left w:w="80" w:type="dxa"/>
              <w:bottom w:w="70" w:type="dxa"/>
              <w:right w:w="80" w:type="dxa"/>
            </w:tcMar>
          </w:tcPr>
          <w:p>
            <w:pPr>
              <w:spacing w:after="0" w:line="240" w:lineRule="auto"/>
            </w:pPr>
            <w:r/>
            <w:r>
              <w:rPr>
                <w:rFonts w:ascii="Calibri" w:hAnsi="Calibri"/>
                <w:b w:val="0"/>
                <w:sz w:val="19"/>
              </w:rPr>
              <w:t>Cyber insurance analytics; broker preparation; security verification signals; “map to insurability.”</w:t>
            </w:r>
          </w:p>
        </w:tc>
        <w:tc>
          <w:tcPr>
            <w:tcW w:type="dxa" w:w="2541"/>
            <w:vAlign w:val="top"/>
            <w:tcMar>
              <w:top w:w="70" w:type="dxa"/>
              <w:left w:w="80" w:type="dxa"/>
              <w:bottom w:w="70" w:type="dxa"/>
              <w:right w:w="80" w:type="dxa"/>
            </w:tcMar>
          </w:tcPr>
          <w:p>
            <w:pPr>
              <w:spacing w:after="0" w:line="240" w:lineRule="auto"/>
            </w:pPr>
            <w:r/>
            <w:r>
              <w:rPr>
                <w:rFonts w:ascii="Calibri" w:hAnsi="Calibri"/>
                <w:b w:val="0"/>
                <w:sz w:val="19"/>
              </w:rPr>
              <w:t>Medium-High</w:t>
            </w:r>
          </w:p>
        </w:tc>
        <w:tc>
          <w:tcPr>
            <w:tcW w:type="dxa" w:w="2541"/>
            <w:vAlign w:val="top"/>
            <w:tcMar>
              <w:top w:w="70" w:type="dxa"/>
              <w:left w:w="80" w:type="dxa"/>
              <w:bottom w:w="70" w:type="dxa"/>
              <w:right w:w="80" w:type="dxa"/>
            </w:tcMar>
          </w:tcPr>
          <w:p>
            <w:pPr>
              <w:spacing w:after="0" w:line="240" w:lineRule="auto"/>
            </w:pPr>
            <w:r/>
            <w:r>
              <w:rPr>
                <w:rFonts w:ascii="Calibri" w:hAnsi="Calibri"/>
                <w:b w:val="0"/>
                <w:sz w:val="19"/>
              </w:rPr>
              <w:t>Major insurance analytics incumbent; Laurelshield should focus on internal verified control evidence and portability rather than competing in catastrophe modelling.</w:t>
            </w:r>
          </w:p>
        </w:tc>
      </w:tr>
      <w:tr>
        <w:trPr>
          <w:cantSplit w:val="true"/>
        </w:trPr>
        <w:tc>
          <w:tcPr>
            <w:tcW w:type="dxa" w:w="2541"/>
            <w:vAlign w:val="top"/>
            <w:tcMar>
              <w:top w:w="70" w:type="dxa"/>
              <w:left w:w="80" w:type="dxa"/>
              <w:bottom w:w="70" w:type="dxa"/>
              <w:right w:w="80" w:type="dxa"/>
            </w:tcMar>
          </w:tcPr>
          <w:p>
            <w:pPr>
              <w:spacing w:after="0" w:line="240" w:lineRule="auto"/>
            </w:pPr>
            <w:r/>
            <w:r>
              <w:rPr>
                <w:rFonts w:ascii="Calibri" w:hAnsi="Calibri"/>
                <w:b w:val="0"/>
                <w:sz w:val="19"/>
              </w:rPr>
              <w:t>Bitsight</w:t>
            </w:r>
          </w:p>
        </w:tc>
        <w:tc>
          <w:tcPr>
            <w:tcW w:type="dxa" w:w="2541"/>
            <w:vAlign w:val="top"/>
            <w:tcMar>
              <w:top w:w="70" w:type="dxa"/>
              <w:left w:w="80" w:type="dxa"/>
              <w:bottom w:w="70" w:type="dxa"/>
              <w:right w:w="80" w:type="dxa"/>
            </w:tcMar>
          </w:tcPr>
          <w:p>
            <w:pPr>
              <w:spacing w:after="0" w:line="240" w:lineRule="auto"/>
            </w:pPr>
            <w:r/>
            <w:r>
              <w:rPr>
                <w:rFonts w:ascii="Calibri" w:hAnsi="Calibri"/>
                <w:b w:val="0"/>
                <w:sz w:val="19"/>
              </w:rPr>
              <w:t>Continuous external cyber ratings used for cyber insurance risk evaluation.</w:t>
            </w:r>
          </w:p>
        </w:tc>
        <w:tc>
          <w:tcPr>
            <w:tcW w:type="dxa" w:w="2541"/>
            <w:vAlign w:val="top"/>
            <w:tcMar>
              <w:top w:w="70" w:type="dxa"/>
              <w:left w:w="80" w:type="dxa"/>
              <w:bottom w:w="70" w:type="dxa"/>
              <w:right w:w="80" w:type="dxa"/>
            </w:tcMar>
          </w:tcPr>
          <w:p>
            <w:pPr>
              <w:spacing w:after="0" w:line="240" w:lineRule="auto"/>
            </w:pPr>
            <w:r/>
            <w:r>
              <w:rPr>
                <w:rFonts w:ascii="Calibri" w:hAnsi="Calibri"/>
                <w:b w:val="0"/>
                <w:sz w:val="19"/>
              </w:rPr>
              <w:t>Medium</w:t>
            </w:r>
          </w:p>
        </w:tc>
        <w:tc>
          <w:tcPr>
            <w:tcW w:type="dxa" w:w="2541"/>
            <w:vAlign w:val="top"/>
            <w:tcMar>
              <w:top w:w="70" w:type="dxa"/>
              <w:left w:w="80" w:type="dxa"/>
              <w:bottom w:w="70" w:type="dxa"/>
              <w:right w:w="80" w:type="dxa"/>
            </w:tcMar>
          </w:tcPr>
          <w:p>
            <w:pPr>
              <w:spacing w:after="0" w:line="240" w:lineRule="auto"/>
            </w:pPr>
            <w:r/>
            <w:r>
              <w:rPr>
                <w:rFonts w:ascii="Calibri" w:hAnsi="Calibri"/>
                <w:b w:val="0"/>
                <w:sz w:val="19"/>
              </w:rPr>
              <w:t>Useful external signal, but not sufficient proof of internal controls such as backup immutability or EDR coverage.</w:t>
            </w:r>
          </w:p>
        </w:tc>
      </w:tr>
      <w:tr>
        <w:trPr>
          <w:cantSplit w:val="true"/>
        </w:trPr>
        <w:tc>
          <w:tcPr>
            <w:tcW w:type="dxa" w:w="2541"/>
            <w:vAlign w:val="top"/>
            <w:tcMar>
              <w:top w:w="70" w:type="dxa"/>
              <w:left w:w="80" w:type="dxa"/>
              <w:bottom w:w="70" w:type="dxa"/>
              <w:right w:w="80" w:type="dxa"/>
            </w:tcMar>
          </w:tcPr>
          <w:p>
            <w:pPr>
              <w:spacing w:after="0" w:line="240" w:lineRule="auto"/>
            </w:pPr>
            <w:r/>
            <w:r>
              <w:rPr>
                <w:rFonts w:ascii="Calibri" w:hAnsi="Calibri"/>
                <w:b w:val="0"/>
                <w:sz w:val="19"/>
              </w:rPr>
              <w:t>SecurityScorecard</w:t>
            </w:r>
          </w:p>
        </w:tc>
        <w:tc>
          <w:tcPr>
            <w:tcW w:type="dxa" w:w="2541"/>
            <w:vAlign w:val="top"/>
            <w:tcMar>
              <w:top w:w="70" w:type="dxa"/>
              <w:left w:w="80" w:type="dxa"/>
              <w:bottom w:w="70" w:type="dxa"/>
              <w:right w:w="80" w:type="dxa"/>
            </w:tcMar>
          </w:tcPr>
          <w:p>
            <w:pPr>
              <w:spacing w:after="0" w:line="240" w:lineRule="auto"/>
            </w:pPr>
            <w:r/>
            <w:r>
              <w:rPr>
                <w:rFonts w:ascii="Calibri" w:hAnsi="Calibri"/>
                <w:b w:val="0"/>
                <w:sz w:val="19"/>
              </w:rPr>
              <w:t>Continuous external security ratings used in cyber-risk and insurance contexts.</w:t>
            </w:r>
          </w:p>
        </w:tc>
        <w:tc>
          <w:tcPr>
            <w:tcW w:type="dxa" w:w="2541"/>
            <w:vAlign w:val="top"/>
            <w:tcMar>
              <w:top w:w="70" w:type="dxa"/>
              <w:left w:w="80" w:type="dxa"/>
              <w:bottom w:w="70" w:type="dxa"/>
              <w:right w:w="80" w:type="dxa"/>
            </w:tcMar>
          </w:tcPr>
          <w:p>
            <w:pPr>
              <w:spacing w:after="0" w:line="240" w:lineRule="auto"/>
            </w:pPr>
            <w:r/>
            <w:r>
              <w:rPr>
                <w:rFonts w:ascii="Calibri" w:hAnsi="Calibri"/>
                <w:b w:val="0"/>
                <w:sz w:val="19"/>
              </w:rPr>
              <w:t>Medium</w:t>
            </w:r>
          </w:p>
        </w:tc>
        <w:tc>
          <w:tcPr>
            <w:tcW w:type="dxa" w:w="2541"/>
            <w:vAlign w:val="top"/>
            <w:tcMar>
              <w:top w:w="70" w:type="dxa"/>
              <w:left w:w="80" w:type="dxa"/>
              <w:bottom w:w="70" w:type="dxa"/>
              <w:right w:w="80" w:type="dxa"/>
            </w:tcMar>
          </w:tcPr>
          <w:p>
            <w:pPr>
              <w:spacing w:after="0" w:line="240" w:lineRule="auto"/>
            </w:pPr>
            <w:r/>
            <w:r>
              <w:rPr>
                <w:rFonts w:ascii="Calibri" w:hAnsi="Calibri"/>
                <w:b w:val="0"/>
                <w:sz w:val="19"/>
              </w:rPr>
              <w:t>Adjacent evidence source; potentially an input to the passport, not necessarily a direct substitute.</w:t>
            </w:r>
          </w:p>
        </w:tc>
      </w:tr>
      <w:tr>
        <w:trPr>
          <w:cantSplit w:val="true"/>
        </w:trPr>
        <w:tc>
          <w:tcPr>
            <w:tcW w:type="dxa" w:w="2541"/>
            <w:vAlign w:val="top"/>
            <w:tcMar>
              <w:top w:w="70" w:type="dxa"/>
              <w:left w:w="80" w:type="dxa"/>
              <w:bottom w:w="70" w:type="dxa"/>
              <w:right w:w="80" w:type="dxa"/>
            </w:tcMar>
          </w:tcPr>
          <w:p>
            <w:pPr>
              <w:spacing w:after="0" w:line="240" w:lineRule="auto"/>
            </w:pPr>
            <w:r/>
            <w:r>
              <w:rPr>
                <w:rFonts w:ascii="Calibri" w:hAnsi="Calibri"/>
                <w:b w:val="0"/>
                <w:sz w:val="19"/>
              </w:rPr>
              <w:t>Black Kite</w:t>
            </w:r>
          </w:p>
        </w:tc>
        <w:tc>
          <w:tcPr>
            <w:tcW w:type="dxa" w:w="2541"/>
            <w:vAlign w:val="top"/>
            <w:tcMar>
              <w:top w:w="70" w:type="dxa"/>
              <w:left w:w="80" w:type="dxa"/>
              <w:bottom w:w="70" w:type="dxa"/>
              <w:right w:w="80" w:type="dxa"/>
            </w:tcMar>
          </w:tcPr>
          <w:p>
            <w:pPr>
              <w:spacing w:after="0" w:line="240" w:lineRule="auto"/>
            </w:pPr>
            <w:r/>
            <w:r>
              <w:rPr>
                <w:rFonts w:ascii="Calibri" w:hAnsi="Calibri"/>
                <w:b w:val="0"/>
                <w:sz w:val="19"/>
              </w:rPr>
              <w:t>External cyber risk intelligence for insurers and underwriting workflows.</w:t>
            </w:r>
          </w:p>
        </w:tc>
        <w:tc>
          <w:tcPr>
            <w:tcW w:type="dxa" w:w="2541"/>
            <w:vAlign w:val="top"/>
            <w:tcMar>
              <w:top w:w="70" w:type="dxa"/>
              <w:left w:w="80" w:type="dxa"/>
              <w:bottom w:w="70" w:type="dxa"/>
              <w:right w:w="80" w:type="dxa"/>
            </w:tcMar>
          </w:tcPr>
          <w:p>
            <w:pPr>
              <w:spacing w:after="0" w:line="240" w:lineRule="auto"/>
            </w:pPr>
            <w:r/>
            <w:r>
              <w:rPr>
                <w:rFonts w:ascii="Calibri" w:hAnsi="Calibri"/>
                <w:b w:val="0"/>
                <w:sz w:val="19"/>
              </w:rPr>
              <w:t>Medium</w:t>
            </w:r>
          </w:p>
        </w:tc>
        <w:tc>
          <w:tcPr>
            <w:tcW w:type="dxa" w:w="2541"/>
            <w:vAlign w:val="top"/>
            <w:tcMar>
              <w:top w:w="70" w:type="dxa"/>
              <w:left w:w="80" w:type="dxa"/>
              <w:bottom w:w="70" w:type="dxa"/>
              <w:right w:w="80" w:type="dxa"/>
            </w:tcMar>
          </w:tcPr>
          <w:p>
            <w:pPr>
              <w:spacing w:after="0" w:line="240" w:lineRule="auto"/>
            </w:pPr>
            <w:r/>
            <w:r>
              <w:rPr>
                <w:rFonts w:ascii="Calibri" w:hAnsi="Calibri"/>
                <w:b w:val="0"/>
                <w:sz w:val="19"/>
              </w:rPr>
              <w:t>Strong external-risk layer; Laurelshield differentiates through inside-out evidence verification and assurance.</w:t>
            </w:r>
          </w:p>
        </w:tc>
      </w:tr>
      <w:tr>
        <w:trPr>
          <w:cantSplit w:val="true"/>
        </w:trPr>
        <w:tc>
          <w:tcPr>
            <w:tcW w:type="dxa" w:w="2541"/>
            <w:vAlign w:val="top"/>
            <w:tcMar>
              <w:top w:w="70" w:type="dxa"/>
              <w:left w:w="80" w:type="dxa"/>
              <w:bottom w:w="70" w:type="dxa"/>
              <w:right w:w="80" w:type="dxa"/>
            </w:tcMar>
          </w:tcPr>
          <w:p>
            <w:pPr>
              <w:spacing w:after="0" w:line="240" w:lineRule="auto"/>
            </w:pPr>
            <w:r/>
            <w:r>
              <w:rPr>
                <w:rFonts w:ascii="Calibri" w:hAnsi="Calibri"/>
                <w:b w:val="0"/>
                <w:sz w:val="19"/>
              </w:rPr>
              <w:t>CyberSurance Canada</w:t>
            </w:r>
          </w:p>
        </w:tc>
        <w:tc>
          <w:tcPr>
            <w:tcW w:type="dxa" w:w="2541"/>
            <w:vAlign w:val="top"/>
            <w:tcMar>
              <w:top w:w="70" w:type="dxa"/>
              <w:left w:w="80" w:type="dxa"/>
              <w:bottom w:w="70" w:type="dxa"/>
              <w:right w:w="80" w:type="dxa"/>
            </w:tcMar>
          </w:tcPr>
          <w:p>
            <w:pPr>
              <w:spacing w:after="0" w:line="240" w:lineRule="auto"/>
            </w:pPr>
            <w:r/>
            <w:r>
              <w:rPr>
                <w:rFonts w:ascii="Calibri" w:hAnsi="Calibri"/>
                <w:b w:val="0"/>
                <w:sz w:val="19"/>
              </w:rPr>
              <w:t>Independent cyber assurance, insurability readiness scorecards, ongoing assurance, underwriting-aligned reporting.</w:t>
            </w:r>
          </w:p>
        </w:tc>
        <w:tc>
          <w:tcPr>
            <w:tcW w:type="dxa" w:w="2541"/>
            <w:vAlign w:val="top"/>
            <w:tcMar>
              <w:top w:w="70" w:type="dxa"/>
              <w:left w:w="80" w:type="dxa"/>
              <w:bottom w:w="70" w:type="dxa"/>
              <w:right w:w="80" w:type="dxa"/>
            </w:tcMar>
          </w:tcPr>
          <w:p>
            <w:pPr>
              <w:spacing w:after="0" w:line="240" w:lineRule="auto"/>
            </w:pPr>
            <w:r/>
            <w:r>
              <w:rPr>
                <w:rFonts w:ascii="Calibri" w:hAnsi="Calibri"/>
                <w:b w:val="0"/>
                <w:sz w:val="19"/>
              </w:rPr>
              <w:t>High</w:t>
            </w:r>
          </w:p>
        </w:tc>
        <w:tc>
          <w:tcPr>
            <w:tcW w:type="dxa" w:w="2541"/>
            <w:vAlign w:val="top"/>
            <w:tcMar>
              <w:top w:w="70" w:type="dxa"/>
              <w:left w:w="80" w:type="dxa"/>
              <w:bottom w:w="70" w:type="dxa"/>
              <w:right w:w="80" w:type="dxa"/>
            </w:tcMar>
          </w:tcPr>
          <w:p>
            <w:pPr>
              <w:spacing w:after="0" w:line="240" w:lineRule="auto"/>
            </w:pPr>
            <w:r/>
            <w:r>
              <w:rPr>
                <w:rFonts w:ascii="Calibri" w:hAnsi="Calibri"/>
                <w:b w:val="0"/>
                <w:sz w:val="19"/>
              </w:rPr>
              <w:t>Direct Canadian adjacency; Laurelshield cannot claim the category is unique and must build stronger portability/network effects.</w:t>
            </w:r>
          </w:p>
        </w:tc>
      </w:tr>
      <w:tr>
        <w:trPr>
          <w:cantSplit w:val="true"/>
        </w:trPr>
        <w:tc>
          <w:tcPr>
            <w:tcW w:type="dxa" w:w="2541"/>
            <w:vAlign w:val="top"/>
            <w:tcMar>
              <w:top w:w="70" w:type="dxa"/>
              <w:left w:w="80" w:type="dxa"/>
              <w:bottom w:w="70" w:type="dxa"/>
              <w:right w:w="80" w:type="dxa"/>
            </w:tcMar>
          </w:tcPr>
          <w:p>
            <w:pPr>
              <w:spacing w:after="0" w:line="240" w:lineRule="auto"/>
            </w:pPr>
            <w:r/>
            <w:r>
              <w:rPr>
                <w:rFonts w:ascii="Calibri" w:hAnsi="Calibri"/>
                <w:b w:val="0"/>
                <w:sz w:val="19"/>
              </w:rPr>
              <w:t>Cyber Essentials / IASME ecosystem</w:t>
            </w:r>
          </w:p>
        </w:tc>
        <w:tc>
          <w:tcPr>
            <w:tcW w:type="dxa" w:w="2541"/>
            <w:vAlign w:val="top"/>
            <w:tcMar>
              <w:top w:w="70" w:type="dxa"/>
              <w:left w:w="80" w:type="dxa"/>
              <w:bottom w:w="70" w:type="dxa"/>
              <w:right w:w="80" w:type="dxa"/>
            </w:tcMar>
          </w:tcPr>
          <w:p>
            <w:pPr>
              <w:spacing w:after="0" w:line="240" w:lineRule="auto"/>
            </w:pPr>
            <w:r/>
            <w:r>
              <w:rPr>
                <w:rFonts w:ascii="Calibri" w:hAnsi="Calibri"/>
                <w:b w:val="0"/>
                <w:sz w:val="19"/>
              </w:rPr>
              <w:t>Government-backed cyber certification with insurance benefits for qualifying organizations.</w:t>
            </w:r>
          </w:p>
        </w:tc>
        <w:tc>
          <w:tcPr>
            <w:tcW w:type="dxa" w:w="2541"/>
            <w:vAlign w:val="top"/>
            <w:tcMar>
              <w:top w:w="70" w:type="dxa"/>
              <w:left w:w="80" w:type="dxa"/>
              <w:bottom w:w="70" w:type="dxa"/>
              <w:right w:w="80" w:type="dxa"/>
            </w:tcMar>
          </w:tcPr>
          <w:p>
            <w:pPr>
              <w:spacing w:after="0" w:line="240" w:lineRule="auto"/>
            </w:pPr>
            <w:r/>
            <w:r>
              <w:rPr>
                <w:rFonts w:ascii="Calibri" w:hAnsi="Calibri"/>
                <w:b w:val="0"/>
                <w:sz w:val="19"/>
              </w:rPr>
              <w:t>Medium-High</w:t>
            </w:r>
          </w:p>
        </w:tc>
        <w:tc>
          <w:tcPr>
            <w:tcW w:type="dxa" w:w="2541"/>
            <w:vAlign w:val="top"/>
            <w:tcMar>
              <w:top w:w="70" w:type="dxa"/>
              <w:left w:w="80" w:type="dxa"/>
              <w:bottom w:w="70" w:type="dxa"/>
              <w:right w:w="80" w:type="dxa"/>
            </w:tcMar>
          </w:tcPr>
          <w:p>
            <w:pPr>
              <w:spacing w:after="0" w:line="240" w:lineRule="auto"/>
            </w:pPr>
            <w:r/>
            <w:r>
              <w:rPr>
                <w:rFonts w:ascii="Calibri" w:hAnsi="Calibri"/>
                <w:b w:val="0"/>
                <w:sz w:val="19"/>
              </w:rPr>
              <w:t>Proof that standardized third-party verification can connect to insurance; scope is narrower than the proposed passport.</w:t>
            </w:r>
          </w:p>
        </w:tc>
      </w:tr>
      <w:tr>
        <w:trPr>
          <w:cantSplit w:val="true"/>
        </w:trPr>
        <w:tc>
          <w:tcPr>
            <w:tcW w:type="dxa" w:w="2541"/>
            <w:vAlign w:val="top"/>
            <w:tcMar>
              <w:top w:w="70" w:type="dxa"/>
              <w:left w:w="80" w:type="dxa"/>
              <w:bottom w:w="70" w:type="dxa"/>
              <w:right w:w="80" w:type="dxa"/>
            </w:tcMar>
          </w:tcPr>
          <w:p>
            <w:pPr>
              <w:spacing w:after="0" w:line="240" w:lineRule="auto"/>
            </w:pPr>
            <w:r/>
            <w:r>
              <w:rPr>
                <w:rFonts w:ascii="Calibri" w:hAnsi="Calibri"/>
                <w:b w:val="0"/>
                <w:sz w:val="19"/>
              </w:rPr>
              <w:t>Coalition</w:t>
            </w:r>
          </w:p>
        </w:tc>
        <w:tc>
          <w:tcPr>
            <w:tcW w:type="dxa" w:w="2541"/>
            <w:vAlign w:val="top"/>
            <w:tcMar>
              <w:top w:w="70" w:type="dxa"/>
              <w:left w:w="80" w:type="dxa"/>
              <w:bottom w:w="70" w:type="dxa"/>
              <w:right w:w="80" w:type="dxa"/>
            </w:tcMar>
          </w:tcPr>
          <w:p>
            <w:pPr>
              <w:spacing w:after="0" w:line="240" w:lineRule="auto"/>
            </w:pPr>
            <w:r/>
            <w:r>
              <w:rPr>
                <w:rFonts w:ascii="Calibri" w:hAnsi="Calibri"/>
                <w:b w:val="0"/>
                <w:sz w:val="19"/>
              </w:rPr>
              <w:t>Insurance integrated with cyber assessment, pre-bind security findings, remediation, monitoring, and insurability.</w:t>
            </w:r>
          </w:p>
        </w:tc>
        <w:tc>
          <w:tcPr>
            <w:tcW w:type="dxa" w:w="2541"/>
            <w:vAlign w:val="top"/>
            <w:tcMar>
              <w:top w:w="70" w:type="dxa"/>
              <w:left w:w="80" w:type="dxa"/>
              <w:bottom w:w="70" w:type="dxa"/>
              <w:right w:w="80" w:type="dxa"/>
            </w:tcMar>
          </w:tcPr>
          <w:p>
            <w:pPr>
              <w:spacing w:after="0" w:line="240" w:lineRule="auto"/>
            </w:pPr>
            <w:r/>
            <w:r>
              <w:rPr>
                <w:rFonts w:ascii="Calibri" w:hAnsi="Calibri"/>
                <w:b w:val="0"/>
                <w:sz w:val="19"/>
              </w:rPr>
              <w:t>Very High functionally</w:t>
            </w:r>
          </w:p>
        </w:tc>
        <w:tc>
          <w:tcPr>
            <w:tcW w:type="dxa" w:w="2541"/>
            <w:vAlign w:val="top"/>
            <w:tcMar>
              <w:top w:w="70" w:type="dxa"/>
              <w:left w:w="80" w:type="dxa"/>
              <w:bottom w:w="70" w:type="dxa"/>
              <w:right w:w="80" w:type="dxa"/>
            </w:tcMar>
          </w:tcPr>
          <w:p>
            <w:pPr>
              <w:spacing w:after="0" w:line="240" w:lineRule="auto"/>
            </w:pPr>
            <w:r/>
            <w:r>
              <w:rPr>
                <w:rFonts w:ascii="Calibri" w:hAnsi="Calibri"/>
                <w:b w:val="0"/>
                <w:sz w:val="19"/>
              </w:rPr>
              <w:t>The concept is validated; Laurelshield’s differentiator must be independence and portability across carriers.</w:t>
            </w:r>
          </w:p>
        </w:tc>
      </w:tr>
      <w:tr>
        <w:trPr>
          <w:cantSplit w:val="true"/>
        </w:trPr>
        <w:tc>
          <w:tcPr>
            <w:tcW w:type="dxa" w:w="2541"/>
            <w:vAlign w:val="top"/>
            <w:tcMar>
              <w:top w:w="70" w:type="dxa"/>
              <w:left w:w="80" w:type="dxa"/>
              <w:bottom w:w="70" w:type="dxa"/>
              <w:right w:w="80" w:type="dxa"/>
            </w:tcMar>
          </w:tcPr>
          <w:p>
            <w:pPr>
              <w:spacing w:after="0" w:line="240" w:lineRule="auto"/>
            </w:pPr>
            <w:r/>
            <w:r>
              <w:rPr>
                <w:rFonts w:ascii="Calibri" w:hAnsi="Calibri"/>
                <w:b w:val="0"/>
                <w:sz w:val="19"/>
              </w:rPr>
              <w:t>CFC</w:t>
            </w:r>
          </w:p>
        </w:tc>
        <w:tc>
          <w:tcPr>
            <w:tcW w:type="dxa" w:w="2541"/>
            <w:vAlign w:val="top"/>
            <w:tcMar>
              <w:top w:w="70" w:type="dxa"/>
              <w:left w:w="80" w:type="dxa"/>
              <w:bottom w:w="70" w:type="dxa"/>
              <w:right w:w="80" w:type="dxa"/>
            </w:tcMar>
          </w:tcPr>
          <w:p>
            <w:pPr>
              <w:spacing w:after="0" w:line="240" w:lineRule="auto"/>
            </w:pPr>
            <w:r/>
            <w:r>
              <w:rPr>
                <w:rFonts w:ascii="Calibri" w:hAnsi="Calibri"/>
                <w:b w:val="0"/>
                <w:sz w:val="19"/>
              </w:rPr>
              <w:t>Proactive services, scanning, threat intelligence, remediation support, and cyber expertise connected to its insurance portfolio.</w:t>
            </w:r>
          </w:p>
        </w:tc>
        <w:tc>
          <w:tcPr>
            <w:tcW w:type="dxa" w:w="2541"/>
            <w:vAlign w:val="top"/>
            <w:tcMar>
              <w:top w:w="70" w:type="dxa"/>
              <w:left w:w="80" w:type="dxa"/>
              <w:bottom w:w="70" w:type="dxa"/>
              <w:right w:w="80" w:type="dxa"/>
            </w:tcMar>
          </w:tcPr>
          <w:p>
            <w:pPr>
              <w:spacing w:after="0" w:line="240" w:lineRule="auto"/>
            </w:pPr>
            <w:r/>
            <w:r>
              <w:rPr>
                <w:rFonts w:ascii="Calibri" w:hAnsi="Calibri"/>
                <w:b w:val="0"/>
                <w:sz w:val="19"/>
              </w:rPr>
              <w:t>High</w:t>
            </w:r>
          </w:p>
        </w:tc>
        <w:tc>
          <w:tcPr>
            <w:tcW w:type="dxa" w:w="2541"/>
            <w:vAlign w:val="top"/>
            <w:tcMar>
              <w:top w:w="70" w:type="dxa"/>
              <w:left w:w="80" w:type="dxa"/>
              <w:bottom w:w="70" w:type="dxa"/>
              <w:right w:w="80" w:type="dxa"/>
            </w:tcMar>
          </w:tcPr>
          <w:p>
            <w:pPr>
              <w:spacing w:after="0" w:line="240" w:lineRule="auto"/>
            </w:pPr>
            <w:r/>
            <w:r>
              <w:rPr>
                <w:rFonts w:ascii="Calibri" w:hAnsi="Calibri"/>
                <w:b w:val="0"/>
                <w:sz w:val="19"/>
              </w:rPr>
              <w:t>Carrier/MGA-connected ecosystem; Laurelshield should provide pre-bind or portable independent evidence.</w:t>
            </w:r>
          </w:p>
        </w:tc>
      </w:tr>
      <w:tr>
        <w:trPr>
          <w:cantSplit w:val="true"/>
        </w:trPr>
        <w:tc>
          <w:tcPr>
            <w:tcW w:type="dxa" w:w="2541"/>
            <w:vAlign w:val="top"/>
            <w:tcMar>
              <w:top w:w="70" w:type="dxa"/>
              <w:left w:w="80" w:type="dxa"/>
              <w:bottom w:w="70" w:type="dxa"/>
              <w:right w:w="80" w:type="dxa"/>
            </w:tcMar>
          </w:tcPr>
          <w:p>
            <w:pPr>
              <w:spacing w:after="0" w:line="240" w:lineRule="auto"/>
            </w:pPr>
            <w:r/>
            <w:r>
              <w:rPr>
                <w:rFonts w:ascii="Calibri" w:hAnsi="Calibri"/>
                <w:b w:val="0"/>
                <w:sz w:val="19"/>
              </w:rPr>
              <w:t>BOXX / Zurich</w:t>
            </w:r>
          </w:p>
        </w:tc>
        <w:tc>
          <w:tcPr>
            <w:tcW w:type="dxa" w:w="2541"/>
            <w:vAlign w:val="top"/>
            <w:tcMar>
              <w:top w:w="70" w:type="dxa"/>
              <w:left w:w="80" w:type="dxa"/>
              <w:bottom w:w="70" w:type="dxa"/>
              <w:right w:w="80" w:type="dxa"/>
            </w:tcMar>
          </w:tcPr>
          <w:p>
            <w:pPr>
              <w:spacing w:after="0" w:line="240" w:lineRule="auto"/>
            </w:pPr>
            <w:r/>
            <w:r>
              <w:rPr>
                <w:rFonts w:ascii="Calibri" w:hAnsi="Calibri"/>
                <w:b w:val="0"/>
                <w:sz w:val="19"/>
              </w:rPr>
              <w:t>Cyber insurance plus monitoring, guidance, cyber expertise, and resilience services.</w:t>
            </w:r>
          </w:p>
        </w:tc>
        <w:tc>
          <w:tcPr>
            <w:tcW w:type="dxa" w:w="2541"/>
            <w:vAlign w:val="top"/>
            <w:tcMar>
              <w:top w:w="70" w:type="dxa"/>
              <w:left w:w="80" w:type="dxa"/>
              <w:bottom w:w="70" w:type="dxa"/>
              <w:right w:w="80" w:type="dxa"/>
            </w:tcMar>
          </w:tcPr>
          <w:p>
            <w:pPr>
              <w:spacing w:after="0" w:line="240" w:lineRule="auto"/>
            </w:pPr>
            <w:r/>
            <w:r>
              <w:rPr>
                <w:rFonts w:ascii="Calibri" w:hAnsi="Calibri"/>
                <w:b w:val="0"/>
                <w:sz w:val="19"/>
              </w:rPr>
              <w:t>High</w:t>
            </w:r>
          </w:p>
        </w:tc>
        <w:tc>
          <w:tcPr>
            <w:tcW w:type="dxa" w:w="2541"/>
            <w:vAlign w:val="top"/>
            <w:tcMar>
              <w:top w:w="70" w:type="dxa"/>
              <w:left w:w="80" w:type="dxa"/>
              <w:bottom w:w="70" w:type="dxa"/>
              <w:right w:w="80" w:type="dxa"/>
            </w:tcMar>
          </w:tcPr>
          <w:p>
            <w:pPr>
              <w:spacing w:after="0" w:line="240" w:lineRule="auto"/>
            </w:pPr>
            <w:r/>
            <w:r>
              <w:rPr>
                <w:rFonts w:ascii="Calibri" w:hAnsi="Calibri"/>
                <w:b w:val="0"/>
                <w:sz w:val="19"/>
              </w:rPr>
              <w:t>Strong insurer-connected offering; carrier-neutral portability remains the opening.</w:t>
            </w:r>
          </w:p>
        </w:tc>
      </w:tr>
      <w:tr>
        <w:trPr>
          <w:cantSplit w:val="true"/>
        </w:trPr>
        <w:tc>
          <w:tcPr>
            <w:tcW w:type="dxa" w:w="2541"/>
            <w:vAlign w:val="top"/>
            <w:tcMar>
              <w:top w:w="70" w:type="dxa"/>
              <w:left w:w="80" w:type="dxa"/>
              <w:bottom w:w="70" w:type="dxa"/>
              <w:right w:w="80" w:type="dxa"/>
            </w:tcMar>
          </w:tcPr>
          <w:p>
            <w:pPr>
              <w:spacing w:after="0" w:line="240" w:lineRule="auto"/>
            </w:pPr>
            <w:r/>
            <w:r>
              <w:rPr>
                <w:rFonts w:ascii="Calibri" w:hAnsi="Calibri"/>
                <w:b w:val="0"/>
                <w:sz w:val="19"/>
              </w:rPr>
              <w:t>Berkley Cyber Risk Solutions</w:t>
            </w:r>
          </w:p>
        </w:tc>
        <w:tc>
          <w:tcPr>
            <w:tcW w:type="dxa" w:w="2541"/>
            <w:vAlign w:val="top"/>
            <w:tcMar>
              <w:top w:w="70" w:type="dxa"/>
              <w:left w:w="80" w:type="dxa"/>
              <w:bottom w:w="70" w:type="dxa"/>
              <w:right w:w="80" w:type="dxa"/>
            </w:tcMar>
          </w:tcPr>
          <w:p>
            <w:pPr>
              <w:spacing w:after="0" w:line="240" w:lineRule="auto"/>
            </w:pPr>
            <w:r/>
            <w:r>
              <w:rPr>
                <w:rFonts w:ascii="Calibri" w:hAnsi="Calibri"/>
                <w:b w:val="0"/>
                <w:sz w:val="19"/>
              </w:rPr>
              <w:t>Cyber insurance, risk management, and loss-control services.</w:t>
            </w:r>
          </w:p>
        </w:tc>
        <w:tc>
          <w:tcPr>
            <w:tcW w:type="dxa" w:w="2541"/>
            <w:vAlign w:val="top"/>
            <w:tcMar>
              <w:top w:w="70" w:type="dxa"/>
              <w:left w:w="80" w:type="dxa"/>
              <w:bottom w:w="70" w:type="dxa"/>
              <w:right w:w="80" w:type="dxa"/>
            </w:tcMar>
          </w:tcPr>
          <w:p>
            <w:pPr>
              <w:spacing w:after="0" w:line="240" w:lineRule="auto"/>
            </w:pPr>
            <w:r/>
            <w:r>
              <w:rPr>
                <w:rFonts w:ascii="Calibri" w:hAnsi="Calibri"/>
                <w:b w:val="0"/>
                <w:sz w:val="19"/>
              </w:rPr>
              <w:t>Medium-High</w:t>
            </w:r>
          </w:p>
        </w:tc>
        <w:tc>
          <w:tcPr>
            <w:tcW w:type="dxa" w:w="2541"/>
            <w:vAlign w:val="top"/>
            <w:tcMar>
              <w:top w:w="70" w:type="dxa"/>
              <w:left w:w="80" w:type="dxa"/>
              <w:bottom w:w="70" w:type="dxa"/>
              <w:right w:w="80" w:type="dxa"/>
            </w:tcMar>
          </w:tcPr>
          <w:p>
            <w:pPr>
              <w:spacing w:after="0" w:line="240" w:lineRule="auto"/>
            </w:pPr>
            <w:r/>
            <w:r>
              <w:rPr>
                <w:rFonts w:ascii="Calibri" w:hAnsi="Calibri"/>
                <w:b w:val="0"/>
                <w:sz w:val="19"/>
              </w:rPr>
              <w:t>Potential consumer of third-party evidence rather than a reason to abandon the model.</w:t>
            </w:r>
          </w:p>
        </w:tc>
      </w:tr>
      <w:tr>
        <w:trPr>
          <w:cantSplit w:val="true"/>
        </w:trPr>
        <w:tc>
          <w:tcPr>
            <w:tcW w:type="dxa" w:w="2541"/>
            <w:vAlign w:val="top"/>
            <w:tcMar>
              <w:top w:w="70" w:type="dxa"/>
              <w:left w:w="80" w:type="dxa"/>
              <w:bottom w:w="70" w:type="dxa"/>
              <w:right w:w="80" w:type="dxa"/>
            </w:tcMar>
          </w:tcPr>
          <w:p>
            <w:pPr>
              <w:spacing w:after="0" w:line="240" w:lineRule="auto"/>
            </w:pPr>
            <w:r/>
            <w:r>
              <w:rPr>
                <w:rFonts w:ascii="Calibri" w:hAnsi="Calibri"/>
                <w:b w:val="0"/>
                <w:sz w:val="19"/>
              </w:rPr>
              <w:t>AXA XL</w:t>
            </w:r>
          </w:p>
        </w:tc>
        <w:tc>
          <w:tcPr>
            <w:tcW w:type="dxa" w:w="2541"/>
            <w:vAlign w:val="top"/>
            <w:tcMar>
              <w:top w:w="70" w:type="dxa"/>
              <w:left w:w="80" w:type="dxa"/>
              <w:bottom w:w="70" w:type="dxa"/>
              <w:right w:w="80" w:type="dxa"/>
            </w:tcMar>
          </w:tcPr>
          <w:p>
            <w:pPr>
              <w:spacing w:after="0" w:line="240" w:lineRule="auto"/>
            </w:pPr>
            <w:r/>
            <w:r>
              <w:rPr>
                <w:rFonts w:ascii="Calibri" w:hAnsi="Calibri"/>
                <w:b w:val="0"/>
                <w:sz w:val="19"/>
              </w:rPr>
              <w:t>Dedicated cyber risk consulting, assessments, resilience services, and insurance.</w:t>
            </w:r>
          </w:p>
        </w:tc>
        <w:tc>
          <w:tcPr>
            <w:tcW w:type="dxa" w:w="2541"/>
            <w:vAlign w:val="top"/>
            <w:tcMar>
              <w:top w:w="70" w:type="dxa"/>
              <w:left w:w="80" w:type="dxa"/>
              <w:bottom w:w="70" w:type="dxa"/>
              <w:right w:w="80" w:type="dxa"/>
            </w:tcMar>
          </w:tcPr>
          <w:p>
            <w:pPr>
              <w:spacing w:after="0" w:line="240" w:lineRule="auto"/>
            </w:pPr>
            <w:r/>
            <w:r>
              <w:rPr>
                <w:rFonts w:ascii="Calibri" w:hAnsi="Calibri"/>
                <w:b w:val="0"/>
                <w:sz w:val="19"/>
              </w:rPr>
              <w:t>High</w:t>
            </w:r>
          </w:p>
        </w:tc>
        <w:tc>
          <w:tcPr>
            <w:tcW w:type="dxa" w:w="2541"/>
            <w:vAlign w:val="top"/>
            <w:tcMar>
              <w:top w:w="70" w:type="dxa"/>
              <w:left w:w="80" w:type="dxa"/>
              <w:bottom w:w="70" w:type="dxa"/>
              <w:right w:w="80" w:type="dxa"/>
            </w:tcMar>
          </w:tcPr>
          <w:p>
            <w:pPr>
              <w:spacing w:after="0" w:line="240" w:lineRule="auto"/>
            </w:pPr>
            <w:r/>
            <w:r>
              <w:rPr>
                <w:rFonts w:ascii="Calibri" w:hAnsi="Calibri"/>
                <w:b w:val="0"/>
                <w:sz w:val="19"/>
              </w:rPr>
              <w:t>Enterprise-grade incumbent; Laurelshield should avoid generic consulting competition and focus on reusable evidence infrastructure.</w:t>
            </w:r>
          </w:p>
        </w:tc>
      </w:tr>
    </w:tbl>
    <w:p>
      <w:pPr>
        <w:spacing w:after="40"/>
      </w:pPr>
    </w:p>
    <w:p>
      <w:pPr>
        <w:pStyle w:val="Heading2"/>
        <w:keepNext/>
        <w:spacing w:before="100" w:after="80"/>
      </w:pPr>
      <w:r>
        <w:rPr>
          <w:rFonts w:ascii="Calibri" w:hAnsi="Calibri"/>
          <w:b/>
          <w:color w:val="1F4E79"/>
          <w:sz w:val="25"/>
        </w:rPr>
        <w:t>2.1 SPECTRA: closest emerging insurance-certification analogue</w:t>
      </w:r>
    </w:p>
    <w:p>
      <w:pPr>
        <w:spacing w:after="80" w:line="259" w:lineRule="auto"/>
      </w:pPr>
      <w:r>
        <w:rPr>
          <w:rFonts w:ascii="Calibri" w:hAnsi="Calibri"/>
          <w:sz w:val="21"/>
        </w:rPr>
        <w:t>SPECTRA is strategically important because its public materials describe independent cyber certification used in insurance workflows. It verifies MSP security posture, provides cyber-posture inspection information to insurers, and promotes broker workflows in which certification data can reduce or replace traditional technical questionnaire friction.</w:t>
      </w:r>
      <w:r>
        <w:rPr>
          <w:rFonts w:ascii="Calibri" w:hAnsi="Calibri"/>
          <w:sz w:val="21"/>
        </w:rPr>
        <w:t xml:space="preserve"> </w:t>
      </w:r>
      <w:hyperlink r:id="rId11">
        <w:r>
          <w:rPr>
            <w:rFonts w:ascii="Calibri" w:hAnsi="Calibri"/>
            <w:sz w:val="19"/>
            <w:szCs w:val="19"/>
            <w:color w:val="0563C1"/>
            <w:u w:val="single"/>
          </w:rPr>
          <w:t>[1]</w:t>
        </w:r>
      </w:hyperlink>
      <w:r>
        <w:rPr>
          <w:rFonts w:ascii="Calibri" w:hAnsi="Calibri"/>
          <w:sz w:val="19"/>
        </w:rPr>
        <w:t xml:space="preserve">, </w:t>
      </w:r>
      <w:hyperlink r:id="rId25">
        <w:r>
          <w:rPr>
            <w:rFonts w:ascii="Calibri" w:hAnsi="Calibri"/>
            <w:sz w:val="19"/>
            <w:szCs w:val="19"/>
            <w:color w:val="0563C1"/>
            <w:u w:val="single"/>
          </w:rPr>
          <w:t>[2]</w:t>
        </w:r>
      </w:hyperlink>
      <w:r>
        <w:rPr>
          <w:rFonts w:ascii="Calibri" w:hAnsi="Calibri"/>
          <w:sz w:val="19"/>
        </w:rPr>
        <w:t xml:space="preserve">, </w:t>
      </w:r>
      <w:hyperlink r:id="rId26">
        <w:r>
          <w:rPr>
            <w:rFonts w:ascii="Calibri" w:hAnsi="Calibri"/>
            <w:sz w:val="19"/>
            <w:szCs w:val="19"/>
            <w:color w:val="0563C1"/>
            <w:u w:val="single"/>
          </w:rPr>
          <w:t>[3]</w:t>
        </w:r>
      </w:hyperlink>
    </w:p>
    <w:p>
      <w:pPr>
        <w:spacing w:after="80" w:line="259" w:lineRule="auto"/>
      </w:pPr>
      <w:r>
        <w:rPr>
          <w:rFonts w:ascii="Calibri" w:hAnsi="Calibri"/>
          <w:sz w:val="21"/>
        </w:rPr>
        <w:t>Laurelshield’s differentiation should therefore not be “independent certification exists.” It should be: direct enterprise verification across heterogeneous technology environments; a customer-owned evidence passport; carrier-specific translation; continuous evidence freshness; and a broader multi-carrier trust network.</w:t>
      </w:r>
    </w:p>
    <w:p>
      <w:pPr>
        <w:pStyle w:val="Heading2"/>
        <w:keepNext/>
        <w:spacing w:before="100" w:after="80"/>
      </w:pPr>
      <w:r>
        <w:rPr>
          <w:rFonts w:ascii="Calibri" w:hAnsi="Calibri"/>
          <w:b/>
          <w:color w:val="1F4E79"/>
          <w:sz w:val="25"/>
        </w:rPr>
        <w:t>2.2 HITRUST: strongest proof that assurance can affect insurance economics</w:t>
      </w:r>
    </w:p>
    <w:p>
      <w:pPr>
        <w:spacing w:after="80" w:line="259" w:lineRule="auto"/>
      </w:pPr>
      <w:r>
        <w:rPr>
          <w:rFonts w:ascii="Calibri" w:hAnsi="Calibri"/>
          <w:sz w:val="21"/>
        </w:rPr>
        <w:t>HITRUST demonstrates that independent assurance can become meaningful insurance infrastructure. Its cyber insurance materials connect HITRUST certification with streamlined underwriting and a shared-risk insurance facility, including Lloyd’s-backed capacity for qualifying organizations.</w:t>
      </w:r>
      <w:r>
        <w:rPr>
          <w:rFonts w:ascii="Calibri" w:hAnsi="Calibri"/>
          <w:sz w:val="21"/>
        </w:rPr>
        <w:t xml:space="preserve"> </w:t>
      </w:r>
      <w:hyperlink r:id="rId12">
        <w:r>
          <w:rPr>
            <w:rFonts w:ascii="Calibri" w:hAnsi="Calibri"/>
            <w:sz w:val="19"/>
            <w:szCs w:val="19"/>
            <w:color w:val="0563C1"/>
            <w:u w:val="single"/>
          </w:rPr>
          <w:t>[4]</w:t>
        </w:r>
      </w:hyperlink>
      <w:r>
        <w:rPr>
          <w:rFonts w:ascii="Calibri" w:hAnsi="Calibri"/>
          <w:sz w:val="19"/>
        </w:rPr>
        <w:t xml:space="preserve">, </w:t>
      </w:r>
      <w:hyperlink r:id="rId13">
        <w:r>
          <w:rPr>
            <w:rFonts w:ascii="Calibri" w:hAnsi="Calibri"/>
            <w:sz w:val="19"/>
            <w:szCs w:val="19"/>
            <w:color w:val="0563C1"/>
            <w:u w:val="single"/>
          </w:rPr>
          <w:t>[5]</w:t>
        </w:r>
      </w:hyperlink>
    </w:p>
    <w:p>
      <w:pPr>
        <w:spacing w:after="80" w:line="259" w:lineRule="auto"/>
      </w:pPr>
      <w:r>
        <w:rPr>
          <w:rFonts w:ascii="Calibri" w:hAnsi="Calibri"/>
          <w:sz w:val="21"/>
        </w:rPr>
        <w:t>The lesson for Laurelshield is governance: market trust is more likely when the assurance scheme is repeatable, independent, documented, and capable of being used beyond one consultancy engagement. HITRUST also provides a precedent for linking verified security outcomes to risk differentiation.</w:t>
      </w:r>
      <w:r>
        <w:rPr>
          <w:rFonts w:ascii="Calibri" w:hAnsi="Calibri"/>
          <w:sz w:val="21"/>
        </w:rPr>
        <w:t xml:space="preserve"> </w:t>
      </w:r>
      <w:hyperlink r:id="rId27">
        <w:r>
          <w:rPr>
            <w:rFonts w:ascii="Calibri" w:hAnsi="Calibri"/>
            <w:sz w:val="19"/>
            <w:szCs w:val="19"/>
            <w:color w:val="0563C1"/>
            <w:u w:val="single"/>
          </w:rPr>
          <w:t>[38]</w:t>
        </w:r>
      </w:hyperlink>
    </w:p>
    <w:p>
      <w:pPr>
        <w:pStyle w:val="Heading2"/>
        <w:keepNext/>
        <w:spacing w:before="100" w:after="80"/>
      </w:pPr>
      <w:r>
        <w:rPr>
          <w:rFonts w:ascii="Calibri" w:hAnsi="Calibri"/>
          <w:b/>
          <w:color w:val="1F4E79"/>
          <w:sz w:val="25"/>
        </w:rPr>
        <w:t>2.3 CyberCube and cyber-risk analytics incumbents</w:t>
      </w:r>
    </w:p>
    <w:p>
      <w:pPr>
        <w:spacing w:after="80" w:line="259" w:lineRule="auto"/>
      </w:pPr>
      <w:r>
        <w:rPr>
          <w:rFonts w:ascii="Calibri" w:hAnsi="Calibri"/>
          <w:sz w:val="21"/>
        </w:rPr>
        <w:t>CyberCube’s Prep Module helps brokers identify insurance-relevant cyber issues before placement or renewal, verify security signals, and create a “map to insurability.” CyberCube’s broader position in insurance analytics makes it a major adjacent incumbent rather than a company Laurelshield should try to imitate.</w:t>
      </w:r>
      <w:r>
        <w:rPr>
          <w:rFonts w:ascii="Calibri" w:hAnsi="Calibri"/>
          <w:sz w:val="21"/>
        </w:rPr>
        <w:t xml:space="preserve"> </w:t>
      </w:r>
      <w:hyperlink r:id="rId14">
        <w:r>
          <w:rPr>
            <w:rFonts w:ascii="Calibri" w:hAnsi="Calibri"/>
            <w:sz w:val="19"/>
            <w:szCs w:val="19"/>
            <w:color w:val="0563C1"/>
            <w:u w:val="single"/>
          </w:rPr>
          <w:t>[6]</w:t>
        </w:r>
      </w:hyperlink>
      <w:r>
        <w:rPr>
          <w:rFonts w:ascii="Calibri" w:hAnsi="Calibri"/>
          <w:sz w:val="19"/>
        </w:rPr>
        <w:t xml:space="preserve">, </w:t>
      </w:r>
      <w:hyperlink r:id="rId28">
        <w:r>
          <w:rPr>
            <w:rFonts w:ascii="Calibri" w:hAnsi="Calibri"/>
            <w:sz w:val="19"/>
            <w:szCs w:val="19"/>
            <w:color w:val="0563C1"/>
            <w:u w:val="single"/>
          </w:rPr>
          <w:t>[7]</w:t>
        </w:r>
      </w:hyperlink>
    </w:p>
    <w:p>
      <w:pPr>
        <w:spacing w:after="80" w:line="259" w:lineRule="auto"/>
      </w:pPr>
      <w:r>
        <w:rPr>
          <w:rFonts w:ascii="Calibri" w:hAnsi="Calibri"/>
          <w:sz w:val="21"/>
        </w:rPr>
        <w:t>The Laurelshield opening is deeper first-party evidence. External or inferred cyber risk signals are valuable, but they cannot always prove whether privileged MFA is actually enforced, backups are immutable and recoverable, EDR is deployed across the full in-scope endpoint population, or incident response is operationally tested.</w:t>
      </w:r>
    </w:p>
    <w:p>
      <w:pPr>
        <w:pStyle w:val="Heading2"/>
        <w:keepNext/>
        <w:spacing w:before="100" w:after="80"/>
      </w:pPr>
      <w:r>
        <w:rPr>
          <w:rFonts w:ascii="Calibri" w:hAnsi="Calibri"/>
          <w:b/>
          <w:color w:val="1F4E79"/>
          <w:sz w:val="25"/>
        </w:rPr>
        <w:t>2.4 External rating platforms: Bitsight, SecurityScorecard, Black Kite</w:t>
      </w:r>
    </w:p>
    <w:p>
      <w:pPr>
        <w:spacing w:after="80" w:line="259" w:lineRule="auto"/>
      </w:pPr>
      <w:r>
        <w:rPr>
          <w:rFonts w:ascii="Calibri" w:hAnsi="Calibri"/>
          <w:sz w:val="21"/>
        </w:rPr>
        <w:t>Bitsight, SecurityScorecard, and Black Kite demonstrate that insurers value continuous, standardized, externally observable cyber-risk data. These platforms can become evidence inputs or benchmark sources for Laurelshield rather than being treated only as competitors.</w:t>
      </w:r>
      <w:r>
        <w:rPr>
          <w:rFonts w:ascii="Calibri" w:hAnsi="Calibri"/>
          <w:sz w:val="21"/>
        </w:rPr>
        <w:t xml:space="preserve"> </w:t>
      </w:r>
      <w:hyperlink r:id="rId15">
        <w:r>
          <w:rPr>
            <w:rFonts w:ascii="Calibri" w:hAnsi="Calibri"/>
            <w:sz w:val="19"/>
            <w:szCs w:val="19"/>
            <w:color w:val="0563C1"/>
            <w:u w:val="single"/>
          </w:rPr>
          <w:t>[8]</w:t>
        </w:r>
      </w:hyperlink>
      <w:r>
        <w:rPr>
          <w:rFonts w:ascii="Calibri" w:hAnsi="Calibri"/>
          <w:sz w:val="19"/>
        </w:rPr>
        <w:t xml:space="preserve">, </w:t>
      </w:r>
      <w:hyperlink r:id="rId16">
        <w:r>
          <w:rPr>
            <w:rFonts w:ascii="Calibri" w:hAnsi="Calibri"/>
            <w:sz w:val="19"/>
            <w:szCs w:val="19"/>
            <w:color w:val="0563C1"/>
            <w:u w:val="single"/>
          </w:rPr>
          <w:t>[9]</w:t>
        </w:r>
      </w:hyperlink>
      <w:r>
        <w:rPr>
          <w:rFonts w:ascii="Calibri" w:hAnsi="Calibri"/>
          <w:sz w:val="19"/>
        </w:rPr>
        <w:t xml:space="preserve">, </w:t>
      </w:r>
      <w:hyperlink r:id="rId17">
        <w:r>
          <w:rPr>
            <w:rFonts w:ascii="Calibri" w:hAnsi="Calibri"/>
            <w:sz w:val="19"/>
            <w:szCs w:val="19"/>
            <w:color w:val="0563C1"/>
            <w:u w:val="single"/>
          </w:rPr>
          <w:t>[10]</w:t>
        </w:r>
      </w:hyperlink>
    </w:p>
    <w:p>
      <w:pPr>
        <w:spacing w:after="80" w:line="259" w:lineRule="auto"/>
      </w:pPr>
      <w:r>
        <w:rPr>
          <w:rFonts w:ascii="Calibri" w:hAnsi="Calibri"/>
          <w:sz w:val="21"/>
        </w:rPr>
        <w:t>Laurelshield should explicitly distinguish “outside-in risk signal” from “inside-out verified control assurance.” Both can coexist in one passport. An external exposure rating can identify risk; a verified evidence record can prove whether the organization’s internal control is implemented and effective.</w:t>
      </w:r>
    </w:p>
    <w:p>
      <w:pPr>
        <w:pStyle w:val="Heading2"/>
        <w:keepNext/>
        <w:spacing w:before="100" w:after="80"/>
      </w:pPr>
      <w:r>
        <w:rPr>
          <w:rFonts w:ascii="Calibri" w:hAnsi="Calibri"/>
          <w:b/>
          <w:color w:val="1F4E79"/>
          <w:sz w:val="25"/>
        </w:rPr>
        <w:t>2.5 CyberSurance Canada and Cyber Essentials</w:t>
      </w:r>
    </w:p>
    <w:p>
      <w:pPr>
        <w:spacing w:after="80" w:line="259" w:lineRule="auto"/>
      </w:pPr>
      <w:r>
        <w:rPr>
          <w:rFonts w:ascii="Calibri" w:hAnsi="Calibri"/>
          <w:sz w:val="21"/>
        </w:rPr>
        <w:t>CyberSurance is an important Canadian adjacent competitor because it already markets independent assurance, insurability readiness scorecards, remediation, ongoing assurance, and underwriting-aligned reporting. This means Laurelshield must avoid claiming that “independent cyber insurability assurance” is itself unique.</w:t>
      </w:r>
      <w:r>
        <w:rPr>
          <w:rFonts w:ascii="Calibri" w:hAnsi="Calibri"/>
          <w:sz w:val="21"/>
        </w:rPr>
        <w:t xml:space="preserve"> </w:t>
      </w:r>
      <w:hyperlink r:id="rId18">
        <w:r>
          <w:rPr>
            <w:rFonts w:ascii="Calibri" w:hAnsi="Calibri"/>
            <w:sz w:val="19"/>
            <w:szCs w:val="19"/>
            <w:color w:val="0563C1"/>
            <w:u w:val="single"/>
          </w:rPr>
          <w:t>[11]</w:t>
        </w:r>
      </w:hyperlink>
    </w:p>
    <w:p>
      <w:pPr>
        <w:spacing w:after="80" w:line="259" w:lineRule="auto"/>
      </w:pPr>
      <w:r>
        <w:rPr>
          <w:rFonts w:ascii="Calibri" w:hAnsi="Calibri"/>
          <w:sz w:val="21"/>
        </w:rPr>
        <w:t>The UK Cyber Essentials ecosystem provides another precedent: standardized third-party cybersecurity certification can have direct insurance consequences for eligible organizations. This validates the concept of using a recognized security credential to reduce insurance friction.</w:t>
      </w:r>
      <w:r>
        <w:rPr>
          <w:rFonts w:ascii="Calibri" w:hAnsi="Calibri"/>
          <w:sz w:val="21"/>
        </w:rPr>
        <w:t xml:space="preserve"> </w:t>
      </w:r>
      <w:hyperlink r:id="rId19">
        <w:r>
          <w:rPr>
            <w:rFonts w:ascii="Calibri" w:hAnsi="Calibri"/>
            <w:sz w:val="19"/>
            <w:szCs w:val="19"/>
            <w:color w:val="0563C1"/>
            <w:u w:val="single"/>
          </w:rPr>
          <w:t>[12]</w:t>
        </w:r>
      </w:hyperlink>
    </w:p>
    <w:p>
      <w:pPr>
        <w:pStyle w:val="Heading2"/>
        <w:keepNext/>
        <w:spacing w:before="100" w:after="80"/>
      </w:pPr>
      <w:r>
        <w:rPr>
          <w:rFonts w:ascii="Calibri" w:hAnsi="Calibri"/>
          <w:b/>
          <w:color w:val="1F4E79"/>
          <w:sz w:val="25"/>
        </w:rPr>
        <w:t>2.6 Carrier-connected models: Coalition, CFC, BOXX/Zurich, Berkley, AXA XL</w:t>
      </w:r>
    </w:p>
    <w:p>
      <w:pPr>
        <w:spacing w:after="80" w:line="259" w:lineRule="auto"/>
      </w:pPr>
      <w:r>
        <w:rPr>
          <w:rFonts w:ascii="Calibri" w:hAnsi="Calibri"/>
          <w:sz w:val="21"/>
        </w:rPr>
        <w:t>Coalition is conceptually closest to a full-stack insurability model because it combines cyber insurance with security assessment, identification of conditions affecting insurability, remediation support, and monitoring. CFC, BOXX/Zurich, Berkley, and AXA XL each combine insurance with varying levels of cyber-risk services or consulting.</w:t>
      </w:r>
      <w:r>
        <w:rPr>
          <w:rFonts w:ascii="Calibri" w:hAnsi="Calibri"/>
          <w:sz w:val="21"/>
        </w:rPr>
        <w:t xml:space="preserve"> </w:t>
      </w:r>
      <w:hyperlink r:id="rId29">
        <w:r>
          <w:rPr>
            <w:rFonts w:ascii="Calibri" w:hAnsi="Calibri"/>
            <w:sz w:val="19"/>
            <w:szCs w:val="19"/>
            <w:color w:val="0563C1"/>
            <w:u w:val="single"/>
          </w:rPr>
          <w:t>[29]</w:t>
        </w:r>
      </w:hyperlink>
      <w:r>
        <w:rPr>
          <w:rFonts w:ascii="Calibri" w:hAnsi="Calibri"/>
          <w:sz w:val="19"/>
        </w:rPr>
        <w:t xml:space="preserve">, </w:t>
      </w:r>
      <w:hyperlink r:id="rId30">
        <w:r>
          <w:rPr>
            <w:rFonts w:ascii="Calibri" w:hAnsi="Calibri"/>
            <w:sz w:val="19"/>
            <w:szCs w:val="19"/>
            <w:color w:val="0563C1"/>
            <w:u w:val="single"/>
          </w:rPr>
          <w:t>[30]</w:t>
        </w:r>
      </w:hyperlink>
      <w:r>
        <w:rPr>
          <w:rFonts w:ascii="Calibri" w:hAnsi="Calibri"/>
          <w:sz w:val="19"/>
        </w:rPr>
        <w:t xml:space="preserve">, </w:t>
      </w:r>
      <w:hyperlink r:id="rId31">
        <w:r>
          <w:rPr>
            <w:rFonts w:ascii="Calibri" w:hAnsi="Calibri"/>
            <w:sz w:val="19"/>
            <w:szCs w:val="19"/>
            <w:color w:val="0563C1"/>
            <w:u w:val="single"/>
          </w:rPr>
          <w:t>[31]</w:t>
        </w:r>
      </w:hyperlink>
      <w:r>
        <w:rPr>
          <w:rFonts w:ascii="Calibri" w:hAnsi="Calibri"/>
          <w:sz w:val="19"/>
        </w:rPr>
        <w:t xml:space="preserve">, </w:t>
      </w:r>
      <w:hyperlink r:id="rId32">
        <w:r>
          <w:rPr>
            <w:rFonts w:ascii="Calibri" w:hAnsi="Calibri"/>
            <w:sz w:val="19"/>
            <w:szCs w:val="19"/>
            <w:color w:val="0563C1"/>
            <w:u w:val="single"/>
          </w:rPr>
          <w:t>[32]</w:t>
        </w:r>
      </w:hyperlink>
      <w:r>
        <w:rPr>
          <w:rFonts w:ascii="Calibri" w:hAnsi="Calibri"/>
          <w:sz w:val="19"/>
        </w:rPr>
        <w:t xml:space="preserve">, </w:t>
      </w:r>
      <w:hyperlink r:id="rId33">
        <w:r>
          <w:rPr>
            <w:rFonts w:ascii="Calibri" w:hAnsi="Calibri"/>
            <w:sz w:val="19"/>
            <w:szCs w:val="19"/>
            <w:color w:val="0563C1"/>
            <w:u w:val="single"/>
          </w:rPr>
          <w:t>[33]</w:t>
        </w:r>
      </w:hyperlink>
    </w:p>
    <w:p>
      <w:pPr>
        <w:spacing w:after="80" w:line="259" w:lineRule="auto"/>
      </w:pPr>
      <w:r>
        <w:rPr>
          <w:rFonts w:ascii="Calibri" w:hAnsi="Calibri"/>
          <w:sz w:val="21"/>
        </w:rPr>
        <w:t>Their existence strengthens the Laurelshield thesis: cybersecurity and underwriting are already converging. The opportunity is not to reproduce a carrier’s own security service. It is to create a trusted evidence object that can travel across competing carriers.</w:t>
      </w:r>
    </w:p>
    <w:p>
      <w:pPr>
        <w:pStyle w:val="Heading1"/>
        <w:keepNext/>
        <w:spacing w:before="160" w:after="80"/>
      </w:pPr>
      <w:r>
        <w:rPr>
          <w:rFonts w:ascii="Calibri" w:hAnsi="Calibri"/>
          <w:b/>
          <w:color w:val="1F4E79"/>
          <w:sz w:val="30"/>
        </w:rPr>
        <w:t>3. White Space and Defensible Positioning</w:t>
      </w:r>
    </w:p>
    <w:p>
      <w:pPr>
        <w:pStyle w:val="Heading2"/>
        <w:keepNext/>
        <w:spacing w:before="100" w:after="80"/>
      </w:pPr>
      <w:r>
        <w:rPr>
          <w:rFonts w:ascii="Calibri" w:hAnsi="Calibri"/>
          <w:b/>
          <w:color w:val="1F4E79"/>
          <w:sz w:val="25"/>
        </w:rPr>
        <w:t>3.1 The white-space hypothesis</w:t>
      </w:r>
    </w:p>
    <w:p>
      <w:pPr>
        <w:spacing w:after="80" w:line="259" w:lineRule="auto"/>
      </w:pPr>
      <w:r>
        <w:rPr>
          <w:rFonts w:ascii="Calibri" w:hAnsi="Calibri"/>
          <w:sz w:val="21"/>
        </w:rPr>
        <w:t>The strongest market hypothesis is that organizations still lack a broadly accepted, carrier-neutral mechanism for transforming deep technical cybersecurity evidence into a reusable underwriting-ready passport. Today, evidence is frequently trapped inside a carrier, broker, consultant, security-rating platform, questionnaire, point-in-time assessment, or certification regime.</w:t>
      </w:r>
    </w:p>
    <w:p>
      <w:pPr>
        <w:spacing w:after="80" w:line="259" w:lineRule="auto"/>
      </w:pPr>
      <w:r>
        <w:rPr>
          <w:rFonts w:ascii="Calibri" w:hAnsi="Calibri"/>
          <w:sz w:val="21"/>
        </w:rPr>
        <w:t>Laurelshield should therefore aim to become the interoperability layer: one normalized evidence base, many authorized demonstrations. The platform succeeds if a company can verify a fact once and securely reuse it without exposing unnecessary raw evidence or repeating the technical investigation.</w:t>
      </w:r>
    </w:p>
    <w:p>
      <w:pPr>
        <w:pStyle w:val="Heading2"/>
        <w:keepNext/>
        <w:spacing w:before="100" w:after="80"/>
      </w:pPr>
      <w:r>
        <w:rPr>
          <w:rFonts w:ascii="Calibri" w:hAnsi="Calibri"/>
          <w:b/>
          <w:color w:val="1F4E79"/>
          <w:sz w:val="25"/>
        </w:rPr>
        <w:t>3.2 Core positioning statement</w:t>
      </w:r>
    </w:p>
    <w:p>
      <w:pPr>
        <w:spacing w:before="80" w:after="160"/>
        <w:ind w:left="432" w:right="432"/>
      </w:pPr>
      <w:r>
        <w:rPr>
          <w:rFonts w:ascii="Calibri" w:hAnsi="Calibri"/>
          <w:b/>
          <w:i/>
          <w:color w:val="1F4E79"/>
          <w:sz w:val="22"/>
        </w:rPr>
        <w:t>Laurelshield creates a portable, continuously verified cybersecurity evidence passport that enables organizations to prove the same independently validated control once and securely reuse that proof across participating brokers, insurers, customers, lenders, investors, and other risk counterparties.</w:t>
      </w:r>
    </w:p>
    <w:p>
      <w:pPr>
        <w:pStyle w:val="Heading2"/>
        <w:keepNext/>
        <w:spacing w:before="100" w:after="80"/>
      </w:pPr>
      <w:r>
        <w:rPr>
          <w:rFonts w:ascii="Calibri" w:hAnsi="Calibri"/>
          <w:b/>
          <w:color w:val="1F4E79"/>
          <w:sz w:val="25"/>
        </w:rPr>
        <w:t>3.3 What Laurelshield must never claim</w:t>
      </w:r>
    </w:p>
    <w:p>
      <w:pPr>
        <w:pStyle w:val="ListBullet"/>
        <w:spacing w:after="40" w:line="252" w:lineRule="auto"/>
      </w:pPr>
      <w:r>
        <w:rPr>
          <w:rFonts w:ascii="Calibri" w:hAnsi="Calibri"/>
          <w:sz w:val="21"/>
        </w:rPr>
        <w:t>“Passing Laurelshield guarantees cyber insurance.”</w:t>
      </w:r>
    </w:p>
    <w:p>
      <w:pPr>
        <w:pStyle w:val="ListBullet"/>
        <w:spacing w:after="40" w:line="252" w:lineRule="auto"/>
      </w:pPr>
      <w:r>
        <w:rPr>
          <w:rFonts w:ascii="Calibri" w:hAnsi="Calibri"/>
          <w:sz w:val="21"/>
        </w:rPr>
        <w:t>“Every insurer accepts the passport” unless each claimed market has formally authorized that statement.</w:t>
      </w:r>
    </w:p>
    <w:p>
      <w:pPr>
        <w:pStyle w:val="ListBullet"/>
        <w:spacing w:after="40" w:line="252" w:lineRule="auto"/>
      </w:pPr>
      <w:r>
        <w:rPr>
          <w:rFonts w:ascii="Calibri" w:hAnsi="Calibri"/>
          <w:sz w:val="21"/>
        </w:rPr>
        <w:t>“Laurelshield has certified a carrier-specific underwriting outcome” unless the carrier has delegated or approved that role.</w:t>
      </w:r>
    </w:p>
    <w:p>
      <w:pPr>
        <w:pStyle w:val="ListBullet"/>
        <w:spacing w:after="40" w:line="252" w:lineRule="auto"/>
      </w:pPr>
      <w:r>
        <w:rPr>
          <w:rFonts w:ascii="Calibri" w:hAnsi="Calibri"/>
          <w:sz w:val="21"/>
        </w:rPr>
        <w:t>“One score is universally equivalent to insurability.” Different carriers, industries, capacities, claims histories, and risk appetites will remain different.</w:t>
      </w:r>
    </w:p>
    <w:p>
      <w:pPr>
        <w:pStyle w:val="ListBullet"/>
        <w:spacing w:after="40" w:line="252" w:lineRule="auto"/>
      </w:pPr>
      <w:r>
        <w:rPr>
          <w:rFonts w:ascii="Calibri" w:hAnsi="Calibri"/>
          <w:sz w:val="21"/>
        </w:rPr>
        <w:t>“Evidence is permanent.” Many cybersecurity controls are time-sensitive and must expire or be continuously refreshed.</w:t>
      </w:r>
    </w:p>
    <w:p>
      <w:pPr>
        <w:pStyle w:val="Heading1"/>
        <w:keepNext/>
        <w:spacing w:before="160" w:after="80"/>
      </w:pPr>
      <w:r>
        <w:rPr>
          <w:rFonts w:ascii="Calibri" w:hAnsi="Calibri"/>
          <w:b/>
          <w:color w:val="1F4E79"/>
          <w:sz w:val="30"/>
        </w:rPr>
        <w:t>4. Complete End-to-End Business Process</w:t>
      </w:r>
    </w:p>
    <w:p>
      <w:pPr>
        <w:spacing w:after="80" w:line="259" w:lineRule="auto"/>
      </w:pPr>
      <w:r>
        <w:rPr>
          <w:rFonts w:ascii="Calibri" w:hAnsi="Calibri"/>
          <w:sz w:val="21"/>
        </w:rPr>
        <w:t>The business process should be intentionally designed so that the same verified evidence can support multiple downstream uses while maintaining independence, privacy, traceability, and freshness. The twelve-stage operating model below is the core of the moat.</w:t>
      </w:r>
    </w:p>
    <w:p>
      <w:pPr>
        <w:pStyle w:val="Heading2"/>
        <w:keepNext/>
        <w:spacing w:before="100" w:after="80"/>
      </w:pPr>
      <w:r>
        <w:rPr>
          <w:rFonts w:ascii="Calibri" w:hAnsi="Calibri"/>
          <w:b/>
          <w:color w:val="1F4E79"/>
          <w:sz w:val="25"/>
        </w:rPr>
        <w:t>Stage 1 — Customer Qualification and Onboarding</w:t>
      </w:r>
    </w:p>
    <w:p>
      <w:pPr>
        <w:spacing w:after="80" w:line="259" w:lineRule="auto"/>
      </w:pPr>
      <w:r>
        <w:rPr>
          <w:rFonts w:ascii="Calibri" w:hAnsi="Calibri"/>
          <w:sz w:val="21"/>
        </w:rPr>
        <w:t>Determine whether the organization is suitable for the service; execute MSA/SOW, confidentiality, privacy/data-processing terms, consent for evidence collection, and conflict-of-interest disclosures. Record renewal date, broker relationship, industries, legal entities, technology footprint, and desired counterparties.</w:t>
      </w:r>
    </w:p>
    <w:p>
      <w:pPr>
        <w:spacing w:after="80" w:line="259" w:lineRule="auto"/>
      </w:pPr>
      <w:r>
        <w:rPr>
          <w:rFonts w:ascii="Calibri" w:hAnsi="Calibri"/>
          <w:b/>
          <w:sz w:val="21"/>
        </w:rPr>
        <w:t>Primary output:</w:t>
      </w:r>
      <w:r>
        <w:rPr>
          <w:rFonts w:ascii="Calibri" w:hAnsi="Calibri"/>
          <w:sz w:val="21"/>
        </w:rPr>
        <w:t xml:space="preserve"> Signed engagement; authorized contacts; initial risk profile; evidence-sharing rules.</w:t>
      </w:r>
    </w:p>
    <w:p>
      <w:pPr>
        <w:spacing w:after="80" w:line="259" w:lineRule="auto"/>
      </w:pPr>
      <w:r>
        <w:rPr>
          <w:rFonts w:ascii="Calibri" w:hAnsi="Calibri"/>
          <w:b/>
          <w:sz w:val="21"/>
        </w:rPr>
        <w:t>Key KPIs:</w:t>
      </w:r>
      <w:r>
        <w:rPr>
          <w:rFonts w:ascii="Calibri" w:hAnsi="Calibri"/>
          <w:sz w:val="21"/>
        </w:rPr>
        <w:t xml:space="preserve"> Time to onboarding; % complete scope data; consent defects; conflicts identified.</w:t>
      </w:r>
    </w:p>
    <w:p>
      <w:pPr>
        <w:pStyle w:val="Heading2"/>
        <w:keepNext/>
        <w:spacing w:before="100" w:after="80"/>
      </w:pPr>
      <w:r>
        <w:rPr>
          <w:rFonts w:ascii="Calibri" w:hAnsi="Calibri"/>
          <w:b/>
          <w:color w:val="1F4E79"/>
          <w:sz w:val="25"/>
        </w:rPr>
        <w:t>Stage 2 — Define the Insurable / Assurance Boundary</w:t>
      </w:r>
    </w:p>
    <w:p>
      <w:pPr>
        <w:spacing w:after="80" w:line="259" w:lineRule="auto"/>
      </w:pPr>
      <w:r>
        <w:rPr>
          <w:rFonts w:ascii="Calibri" w:hAnsi="Calibri"/>
          <w:sz w:val="21"/>
        </w:rPr>
        <w:t>Create a precise scope: legal entities, networks, cloud subscriptions, endpoints, servers, applications, data classes, subsidiaries, OT, third parties, and excluded systems. Assign a persistent Scope ID.</w:t>
      </w:r>
    </w:p>
    <w:p>
      <w:pPr>
        <w:spacing w:after="80" w:line="259" w:lineRule="auto"/>
      </w:pPr>
      <w:r>
        <w:rPr>
          <w:rFonts w:ascii="Calibri" w:hAnsi="Calibri"/>
          <w:b/>
          <w:sz w:val="21"/>
        </w:rPr>
        <w:t>Primary output:</w:t>
      </w:r>
      <w:r>
        <w:rPr>
          <w:rFonts w:ascii="Calibri" w:hAnsi="Calibri"/>
          <w:sz w:val="21"/>
        </w:rPr>
        <w:t xml:space="preserve"> Approved assurance boundary and system inventory baseline.</w:t>
      </w:r>
    </w:p>
    <w:p>
      <w:pPr>
        <w:spacing w:after="80" w:line="259" w:lineRule="auto"/>
      </w:pPr>
      <w:r>
        <w:rPr>
          <w:rFonts w:ascii="Calibri" w:hAnsi="Calibri"/>
          <w:b/>
          <w:sz w:val="21"/>
        </w:rPr>
        <w:t>Key KPIs:</w:t>
      </w:r>
      <w:r>
        <w:rPr>
          <w:rFonts w:ascii="Calibri" w:hAnsi="Calibri"/>
          <w:sz w:val="21"/>
        </w:rPr>
        <w:t xml:space="preserve"> % assets mapped; unresolved scope exceptions; material acquisitions/exclusions.</w:t>
      </w:r>
    </w:p>
    <w:p>
      <w:pPr>
        <w:pStyle w:val="Heading2"/>
        <w:keepNext/>
        <w:spacing w:before="100" w:after="80"/>
      </w:pPr>
      <w:r>
        <w:rPr>
          <w:rFonts w:ascii="Calibri" w:hAnsi="Calibri"/>
          <w:b/>
          <w:color w:val="1F4E79"/>
          <w:sz w:val="25"/>
        </w:rPr>
        <w:t>Stage 3 — Evidence Collection</w:t>
      </w:r>
    </w:p>
    <w:p>
      <w:pPr>
        <w:spacing w:after="80" w:line="259" w:lineRule="auto"/>
      </w:pPr>
      <w:r>
        <w:rPr>
          <w:rFonts w:ascii="Calibri" w:hAnsi="Calibri"/>
          <w:sz w:val="21"/>
        </w:rPr>
        <w:t>Collect evidence through read-only APIs, agentless queries, exported configuration, targeted testing, external telemetry, documentation, interviews, and operational exercises. Every item receives source, timestamp, collector, scope, hash, and chain-of-custody metadata.</w:t>
      </w:r>
    </w:p>
    <w:p>
      <w:pPr>
        <w:spacing w:after="80" w:line="259" w:lineRule="auto"/>
      </w:pPr>
      <w:r>
        <w:rPr>
          <w:rFonts w:ascii="Calibri" w:hAnsi="Calibri"/>
          <w:b/>
          <w:sz w:val="21"/>
        </w:rPr>
        <w:t>Primary output:</w:t>
      </w:r>
      <w:r>
        <w:rPr>
          <w:rFonts w:ascii="Calibri" w:hAnsi="Calibri"/>
          <w:sz w:val="21"/>
        </w:rPr>
        <w:t xml:space="preserve"> Evidence objects stored in secure evidence vault.</w:t>
      </w:r>
    </w:p>
    <w:p>
      <w:pPr>
        <w:spacing w:after="80" w:line="259" w:lineRule="auto"/>
      </w:pPr>
      <w:r>
        <w:rPr>
          <w:rFonts w:ascii="Calibri" w:hAnsi="Calibri"/>
          <w:b/>
          <w:sz w:val="21"/>
        </w:rPr>
        <w:t>Key KPIs:</w:t>
      </w:r>
      <w:r>
        <w:rPr>
          <w:rFonts w:ascii="Calibri" w:hAnsi="Calibri"/>
          <w:sz w:val="21"/>
        </w:rPr>
        <w:t xml:space="preserve"> API coverage; evidence age; missing controls; collection errors.</w:t>
      </w:r>
    </w:p>
    <w:p>
      <w:pPr>
        <w:pStyle w:val="Heading2"/>
        <w:keepNext/>
        <w:spacing w:before="100" w:after="80"/>
      </w:pPr>
      <w:r>
        <w:rPr>
          <w:rFonts w:ascii="Calibri" w:hAnsi="Calibri"/>
          <w:b/>
          <w:color w:val="1F4E79"/>
          <w:sz w:val="25"/>
        </w:rPr>
        <w:t>Stage 4 — Canonical Control Normalization</w:t>
      </w:r>
    </w:p>
    <w:p>
      <w:pPr>
        <w:spacing w:after="80" w:line="259" w:lineRule="auto"/>
      </w:pPr>
      <w:r>
        <w:rPr>
          <w:rFonts w:ascii="Calibri" w:hAnsi="Calibri"/>
          <w:sz w:val="21"/>
        </w:rPr>
        <w:t>Map raw evidence into Laurelshield’s vendor-neutral canonical controls. Separate the technical fact from any insurer questionnaire wording. One verified fact may satisfy many questions.</w:t>
      </w:r>
    </w:p>
    <w:p>
      <w:pPr>
        <w:spacing w:after="80" w:line="259" w:lineRule="auto"/>
      </w:pPr>
      <w:r>
        <w:rPr>
          <w:rFonts w:ascii="Calibri" w:hAnsi="Calibri"/>
          <w:b/>
          <w:sz w:val="21"/>
        </w:rPr>
        <w:t>Primary output:</w:t>
      </w:r>
      <w:r>
        <w:rPr>
          <w:rFonts w:ascii="Calibri" w:hAnsi="Calibri"/>
          <w:sz w:val="21"/>
        </w:rPr>
        <w:t xml:space="preserve"> Normalized control graph and evidence-to-control relationships.</w:t>
      </w:r>
    </w:p>
    <w:p>
      <w:pPr>
        <w:spacing w:after="80" w:line="259" w:lineRule="auto"/>
      </w:pPr>
      <w:r>
        <w:rPr>
          <w:rFonts w:ascii="Calibri" w:hAnsi="Calibri"/>
          <w:b/>
          <w:sz w:val="21"/>
        </w:rPr>
        <w:t>Key KPIs:</w:t>
      </w:r>
      <w:r>
        <w:rPr>
          <w:rFonts w:ascii="Calibri" w:hAnsi="Calibri"/>
          <w:sz w:val="21"/>
        </w:rPr>
        <w:t xml:space="preserve"> Mapping confidence; orphan evidence; duplicate questions eliminated.</w:t>
      </w:r>
    </w:p>
    <w:p>
      <w:pPr>
        <w:pStyle w:val="Heading2"/>
        <w:keepNext/>
        <w:spacing w:before="100" w:after="80"/>
      </w:pPr>
      <w:r>
        <w:rPr>
          <w:rFonts w:ascii="Calibri" w:hAnsi="Calibri"/>
          <w:b/>
          <w:color w:val="1F4E79"/>
          <w:sz w:val="25"/>
        </w:rPr>
        <w:t>Stage 5 — Evidence Confidence and Effectiveness Evaluation</w:t>
      </w:r>
    </w:p>
    <w:p>
      <w:pPr>
        <w:spacing w:after="80" w:line="259" w:lineRule="auto"/>
      </w:pPr>
      <w:r>
        <w:rPr>
          <w:rFonts w:ascii="Calibri" w:hAnsi="Calibri"/>
          <w:sz w:val="21"/>
        </w:rPr>
        <w:t>Assign Evidence Confidence Level (ECL), control effectiveness, exceptions, compensating controls, and freshness. A self-attestation must never be indistinguishable from machine-verified evidence.</w:t>
      </w:r>
    </w:p>
    <w:p>
      <w:pPr>
        <w:spacing w:after="80" w:line="259" w:lineRule="auto"/>
      </w:pPr>
      <w:r>
        <w:rPr>
          <w:rFonts w:ascii="Calibri" w:hAnsi="Calibri"/>
          <w:b/>
          <w:sz w:val="21"/>
        </w:rPr>
        <w:t>Primary output:</w:t>
      </w:r>
      <w:r>
        <w:rPr>
          <w:rFonts w:ascii="Calibri" w:hAnsi="Calibri"/>
          <w:sz w:val="21"/>
        </w:rPr>
        <w:t xml:space="preserve"> Assurance result for every control.</w:t>
      </w:r>
    </w:p>
    <w:p>
      <w:pPr>
        <w:spacing w:after="80" w:line="259" w:lineRule="auto"/>
      </w:pPr>
      <w:r>
        <w:rPr>
          <w:rFonts w:ascii="Calibri" w:hAnsi="Calibri"/>
          <w:b/>
          <w:sz w:val="21"/>
        </w:rPr>
        <w:t>Key KPIs:</w:t>
      </w:r>
      <w:r>
        <w:rPr>
          <w:rFonts w:ascii="Calibri" w:hAnsi="Calibri"/>
          <w:sz w:val="21"/>
        </w:rPr>
        <w:t xml:space="preserve"> ECL distribution; critical failures; high-confidence coverage.</w:t>
      </w:r>
    </w:p>
    <w:p>
      <w:pPr>
        <w:pStyle w:val="Heading2"/>
        <w:keepNext/>
        <w:spacing w:before="100" w:after="80"/>
      </w:pPr>
      <w:r>
        <w:rPr>
          <w:rFonts w:ascii="Calibri" w:hAnsi="Calibri"/>
          <w:b/>
          <w:color w:val="1F4E79"/>
          <w:sz w:val="25"/>
        </w:rPr>
        <w:t>Stage 6 — Market Readiness Translation</w:t>
      </w:r>
    </w:p>
    <w:p>
      <w:pPr>
        <w:spacing w:after="80" w:line="259" w:lineRule="auto"/>
      </w:pPr>
      <w:r>
        <w:rPr>
          <w:rFonts w:ascii="Calibri" w:hAnsi="Calibri"/>
          <w:sz w:val="21"/>
        </w:rPr>
        <w:t>Evaluate the verified canonical controls against approved broker/carrier requirement profiles without exposing proprietary carrier mappings to the customer. Return readiness statuses such as Ready, Conditional, Evidence Expiring, or Material Gap.</w:t>
      </w:r>
    </w:p>
    <w:p>
      <w:pPr>
        <w:spacing w:after="80" w:line="259" w:lineRule="auto"/>
      </w:pPr>
      <w:r>
        <w:rPr>
          <w:rFonts w:ascii="Calibri" w:hAnsi="Calibri"/>
          <w:b/>
          <w:sz w:val="21"/>
        </w:rPr>
        <w:t>Primary output:</w:t>
      </w:r>
      <w:r>
        <w:rPr>
          <w:rFonts w:ascii="Calibri" w:hAnsi="Calibri"/>
          <w:sz w:val="21"/>
        </w:rPr>
        <w:t xml:space="preserve"> Market-readiness matrix and remediation priorities.</w:t>
      </w:r>
    </w:p>
    <w:p>
      <w:pPr>
        <w:spacing w:after="80" w:line="259" w:lineRule="auto"/>
      </w:pPr>
      <w:r>
        <w:rPr>
          <w:rFonts w:ascii="Calibri" w:hAnsi="Calibri"/>
          <w:b/>
          <w:sz w:val="21"/>
        </w:rPr>
        <w:t>Key KPIs:</w:t>
      </w:r>
      <w:r>
        <w:rPr>
          <w:rFonts w:ascii="Calibri" w:hAnsi="Calibri"/>
          <w:sz w:val="21"/>
        </w:rPr>
        <w:t xml:space="preserve"> Markets ready; gaps per market; evidence reuse ratio.</w:t>
      </w:r>
    </w:p>
    <w:p>
      <w:pPr>
        <w:pStyle w:val="Heading2"/>
        <w:keepNext/>
        <w:spacing w:before="100" w:after="80"/>
      </w:pPr>
      <w:r>
        <w:rPr>
          <w:rFonts w:ascii="Calibri" w:hAnsi="Calibri"/>
          <w:b/>
          <w:color w:val="1F4E79"/>
          <w:sz w:val="25"/>
        </w:rPr>
        <w:t>Stage 7 — Remediation Planning</w:t>
      </w:r>
    </w:p>
    <w:p>
      <w:pPr>
        <w:spacing w:after="80" w:line="259" w:lineRule="auto"/>
      </w:pPr>
      <w:r>
        <w:rPr>
          <w:rFonts w:ascii="Calibri" w:hAnsi="Calibri"/>
          <w:sz w:val="21"/>
        </w:rPr>
        <w:t>Create actionable remediation records with risk importance, insurance relevance, control owner, due date, required closure evidence, and whether implementation is performed by customer, MSP, Laurelshield advisory, or third party.</w:t>
      </w:r>
    </w:p>
    <w:p>
      <w:pPr>
        <w:spacing w:after="80" w:line="259" w:lineRule="auto"/>
      </w:pPr>
      <w:r>
        <w:rPr>
          <w:rFonts w:ascii="Calibri" w:hAnsi="Calibri"/>
          <w:b/>
          <w:sz w:val="21"/>
        </w:rPr>
        <w:t>Primary output:</w:t>
      </w:r>
      <w:r>
        <w:rPr>
          <w:rFonts w:ascii="Calibri" w:hAnsi="Calibri"/>
          <w:sz w:val="21"/>
        </w:rPr>
        <w:t xml:space="preserve"> Remediation backlog and accepted plan.</w:t>
      </w:r>
    </w:p>
    <w:p>
      <w:pPr>
        <w:spacing w:after="80" w:line="259" w:lineRule="auto"/>
      </w:pPr>
      <w:r>
        <w:rPr>
          <w:rFonts w:ascii="Calibri" w:hAnsi="Calibri"/>
          <w:b/>
          <w:sz w:val="21"/>
        </w:rPr>
        <w:t>Key KPIs:</w:t>
      </w:r>
      <w:r>
        <w:rPr>
          <w:rFonts w:ascii="Calibri" w:hAnsi="Calibri"/>
          <w:sz w:val="21"/>
        </w:rPr>
        <w:t xml:space="preserve"> Time to remediate; critical gaps closed; overdue actions.</w:t>
      </w:r>
    </w:p>
    <w:p>
      <w:pPr>
        <w:pStyle w:val="Heading2"/>
        <w:keepNext/>
        <w:spacing w:before="100" w:after="80"/>
      </w:pPr>
      <w:r>
        <w:rPr>
          <w:rFonts w:ascii="Calibri" w:hAnsi="Calibri"/>
          <w:b/>
          <w:color w:val="1F4E79"/>
          <w:sz w:val="25"/>
        </w:rPr>
        <w:t>Stage 8 — Independent Re-verification</w:t>
      </w:r>
    </w:p>
    <w:p>
      <w:pPr>
        <w:spacing w:after="80" w:line="259" w:lineRule="auto"/>
      </w:pPr>
      <w:r>
        <w:rPr>
          <w:rFonts w:ascii="Calibri" w:hAnsi="Calibri"/>
          <w:sz w:val="21"/>
        </w:rPr>
        <w:t>A verifier who is organizationally independent from implementation confirms closure. Re-run the relevant API/test, compare before/after state, and produce tamper-evident evidence lineage.</w:t>
      </w:r>
    </w:p>
    <w:p>
      <w:pPr>
        <w:spacing w:after="80" w:line="259" w:lineRule="auto"/>
      </w:pPr>
      <w:r>
        <w:rPr>
          <w:rFonts w:ascii="Calibri" w:hAnsi="Calibri"/>
          <w:b/>
          <w:sz w:val="21"/>
        </w:rPr>
        <w:t>Primary output:</w:t>
      </w:r>
      <w:r>
        <w:rPr>
          <w:rFonts w:ascii="Calibri" w:hAnsi="Calibri"/>
          <w:sz w:val="21"/>
        </w:rPr>
        <w:t xml:space="preserve"> Closed control finding or retained exception.</w:t>
      </w:r>
    </w:p>
    <w:p>
      <w:pPr>
        <w:spacing w:after="80" w:line="259" w:lineRule="auto"/>
      </w:pPr>
      <w:r>
        <w:rPr>
          <w:rFonts w:ascii="Calibri" w:hAnsi="Calibri"/>
          <w:b/>
          <w:sz w:val="21"/>
        </w:rPr>
        <w:t>Key KPIs:</w:t>
      </w:r>
      <w:r>
        <w:rPr>
          <w:rFonts w:ascii="Calibri" w:hAnsi="Calibri"/>
          <w:sz w:val="21"/>
        </w:rPr>
        <w:t xml:space="preserve"> First-pass closure rate; reopened findings; verifier independence exceptions.</w:t>
      </w:r>
    </w:p>
    <w:p>
      <w:pPr>
        <w:pStyle w:val="Heading2"/>
        <w:keepNext/>
        <w:spacing w:before="100" w:after="80"/>
      </w:pPr>
      <w:r>
        <w:rPr>
          <w:rFonts w:ascii="Calibri" w:hAnsi="Calibri"/>
          <w:b/>
          <w:color w:val="1F4E79"/>
          <w:sz w:val="25"/>
        </w:rPr>
        <w:t>Stage 9 — Passport Issuance</w:t>
      </w:r>
    </w:p>
    <w:p>
      <w:pPr>
        <w:spacing w:after="80" w:line="259" w:lineRule="auto"/>
      </w:pPr>
      <w:r>
        <w:rPr>
          <w:rFonts w:ascii="Calibri" w:hAnsi="Calibri"/>
          <w:sz w:val="21"/>
        </w:rPr>
        <w:t>Issue a Cyber Risk Passport containing verified claims, scope, ECL, freshness, status, date, revocation state, and cryptographic signature. Do not expose raw evidence by default.</w:t>
      </w:r>
    </w:p>
    <w:p>
      <w:pPr>
        <w:spacing w:after="80" w:line="259" w:lineRule="auto"/>
      </w:pPr>
      <w:r>
        <w:rPr>
          <w:rFonts w:ascii="Calibri" w:hAnsi="Calibri"/>
          <w:b/>
          <w:sz w:val="21"/>
        </w:rPr>
        <w:t>Primary output:</w:t>
      </w:r>
      <w:r>
        <w:rPr>
          <w:rFonts w:ascii="Calibri" w:hAnsi="Calibri"/>
          <w:sz w:val="21"/>
        </w:rPr>
        <w:t xml:space="preserve"> Current passport plus human-readable evidence summary.</w:t>
      </w:r>
    </w:p>
    <w:p>
      <w:pPr>
        <w:spacing w:after="80" w:line="259" w:lineRule="auto"/>
      </w:pPr>
      <w:r>
        <w:rPr>
          <w:rFonts w:ascii="Calibri" w:hAnsi="Calibri"/>
          <w:b/>
          <w:sz w:val="21"/>
        </w:rPr>
        <w:t>Key KPIs:</w:t>
      </w:r>
      <w:r>
        <w:rPr>
          <w:rFonts w:ascii="Calibri" w:hAnsi="Calibri"/>
          <w:sz w:val="21"/>
        </w:rPr>
        <w:t xml:space="preserve"> Passport issuance time; high-confidence controls; expired assertions.</w:t>
      </w:r>
    </w:p>
    <w:p>
      <w:pPr>
        <w:pStyle w:val="Heading2"/>
        <w:keepNext/>
        <w:spacing w:before="100" w:after="80"/>
      </w:pPr>
      <w:r>
        <w:rPr>
          <w:rFonts w:ascii="Calibri" w:hAnsi="Calibri"/>
          <w:b/>
          <w:color w:val="1F4E79"/>
          <w:sz w:val="25"/>
        </w:rPr>
        <w:t>Stage 10 — Authorized Demonstration</w:t>
      </w:r>
    </w:p>
    <w:p>
      <w:pPr>
        <w:spacing w:after="80" w:line="259" w:lineRule="auto"/>
      </w:pPr>
      <w:r>
        <w:rPr>
          <w:rFonts w:ascii="Calibri" w:hAnsi="Calibri"/>
          <w:sz w:val="21"/>
        </w:rPr>
        <w:t>Customer authorizes a broker, insurer, or counterparty to view only the evidence claims necessary for a defined purpose and time period. Provide broker/carrier-specific views or API responses.</w:t>
      </w:r>
    </w:p>
    <w:p>
      <w:pPr>
        <w:spacing w:after="80" w:line="259" w:lineRule="auto"/>
      </w:pPr>
      <w:r>
        <w:rPr>
          <w:rFonts w:ascii="Calibri" w:hAnsi="Calibri"/>
          <w:b/>
          <w:sz w:val="21"/>
        </w:rPr>
        <w:t>Primary output:</w:t>
      </w:r>
      <w:r>
        <w:rPr>
          <w:rFonts w:ascii="Calibri" w:hAnsi="Calibri"/>
          <w:sz w:val="21"/>
        </w:rPr>
        <w:t xml:space="preserve"> Audited, time-limited evidence sharing.</w:t>
      </w:r>
    </w:p>
    <w:p>
      <w:pPr>
        <w:spacing w:after="80" w:line="259" w:lineRule="auto"/>
      </w:pPr>
      <w:r>
        <w:rPr>
          <w:rFonts w:ascii="Calibri" w:hAnsi="Calibri"/>
          <w:b/>
          <w:sz w:val="21"/>
        </w:rPr>
        <w:t>Key KPIs:</w:t>
      </w:r>
      <w:r>
        <w:rPr>
          <w:rFonts w:ascii="Calibri" w:hAnsi="Calibri"/>
          <w:sz w:val="21"/>
        </w:rPr>
        <w:t xml:space="preserve"> Evidence reuse; access approvals; unauthorized attempts; revocations.</w:t>
      </w:r>
    </w:p>
    <w:p>
      <w:pPr>
        <w:pStyle w:val="Heading2"/>
        <w:keepNext/>
        <w:spacing w:before="100" w:after="80"/>
      </w:pPr>
      <w:r>
        <w:rPr>
          <w:rFonts w:ascii="Calibri" w:hAnsi="Calibri"/>
          <w:b/>
          <w:color w:val="1F4E79"/>
          <w:sz w:val="25"/>
        </w:rPr>
        <w:t>Stage 11 — Continuous Assurance and Invalidation</w:t>
      </w:r>
    </w:p>
    <w:p>
      <w:pPr>
        <w:spacing w:after="80" w:line="259" w:lineRule="auto"/>
      </w:pPr>
      <w:r>
        <w:rPr>
          <w:rFonts w:ascii="Calibri" w:hAnsi="Calibri"/>
          <w:sz w:val="21"/>
        </w:rPr>
        <w:t>Continuously monitor controls whose state can change. If control state deteriorates, automatically reduce confidence, expire the claim, revoke the assertion, notify the customer, and create remediation work.</w:t>
      </w:r>
    </w:p>
    <w:p>
      <w:pPr>
        <w:spacing w:after="80" w:line="259" w:lineRule="auto"/>
      </w:pPr>
      <w:r>
        <w:rPr>
          <w:rFonts w:ascii="Calibri" w:hAnsi="Calibri"/>
          <w:b/>
          <w:sz w:val="21"/>
        </w:rPr>
        <w:t>Primary output:</w:t>
      </w:r>
      <w:r>
        <w:rPr>
          <w:rFonts w:ascii="Calibri" w:hAnsi="Calibri"/>
          <w:sz w:val="21"/>
        </w:rPr>
        <w:t xml:space="preserve"> Longitudinal evidence history and current-state assurance.</w:t>
      </w:r>
    </w:p>
    <w:p>
      <w:pPr>
        <w:spacing w:after="80" w:line="259" w:lineRule="auto"/>
      </w:pPr>
      <w:r>
        <w:rPr>
          <w:rFonts w:ascii="Calibri" w:hAnsi="Calibri"/>
          <w:b/>
          <w:sz w:val="21"/>
        </w:rPr>
        <w:t>Key KPIs:</w:t>
      </w:r>
      <w:r>
        <w:rPr>
          <w:rFonts w:ascii="Calibri" w:hAnsi="Calibri"/>
          <w:sz w:val="21"/>
        </w:rPr>
        <w:t xml:space="preserve"> Control uptime; mean time to detection; mean time to restore assurance.</w:t>
      </w:r>
    </w:p>
    <w:p>
      <w:pPr>
        <w:pStyle w:val="Heading2"/>
        <w:keepNext/>
        <w:spacing w:before="100" w:after="80"/>
      </w:pPr>
      <w:r>
        <w:rPr>
          <w:rFonts w:ascii="Calibri" w:hAnsi="Calibri"/>
          <w:b/>
          <w:color w:val="1F4E79"/>
          <w:sz w:val="25"/>
        </w:rPr>
        <w:t>Stage 12 — Outcome Learning</w:t>
      </w:r>
    </w:p>
    <w:p>
      <w:pPr>
        <w:spacing w:after="80" w:line="259" w:lineRule="auto"/>
      </w:pPr>
      <w:r>
        <w:rPr>
          <w:rFonts w:ascii="Calibri" w:hAnsi="Calibri"/>
          <w:sz w:val="21"/>
        </w:rPr>
        <w:t>With appropriate contractual rights and privacy safeguards, link verified controls and remediation history to quote, decline, premium, retention, limit, exclusion, incident, and claims outcomes. Use aggregated/de-identified data to improve mappings and risk intelligence.</w:t>
      </w:r>
    </w:p>
    <w:p>
      <w:pPr>
        <w:spacing w:after="80" w:line="259" w:lineRule="auto"/>
      </w:pPr>
      <w:r>
        <w:rPr>
          <w:rFonts w:ascii="Calibri" w:hAnsi="Calibri"/>
          <w:b/>
          <w:sz w:val="21"/>
        </w:rPr>
        <w:t>Primary output:</w:t>
      </w:r>
      <w:r>
        <w:rPr>
          <w:rFonts w:ascii="Calibri" w:hAnsi="Calibri"/>
          <w:sz w:val="21"/>
        </w:rPr>
        <w:t xml:space="preserve"> Outcome graph, benchmarks, carrier insights, product improvement.</w:t>
      </w:r>
    </w:p>
    <w:p>
      <w:pPr>
        <w:spacing w:after="80" w:line="259" w:lineRule="auto"/>
      </w:pPr>
      <w:r>
        <w:rPr>
          <w:rFonts w:ascii="Calibri" w:hAnsi="Calibri"/>
          <w:b/>
          <w:sz w:val="21"/>
        </w:rPr>
        <w:t>Key KPIs:</w:t>
      </w:r>
      <w:r>
        <w:rPr>
          <w:rFonts w:ascii="Calibri" w:hAnsi="Calibri"/>
          <w:sz w:val="21"/>
        </w:rPr>
        <w:t xml:space="preserve"> Outcome coverage; predictive lift; claims correlation; partner retention.</w:t>
      </w:r>
    </w:p>
    <w:p>
      <w:pPr>
        <w:pStyle w:val="Heading2"/>
        <w:keepNext/>
        <w:spacing w:before="100" w:after="80"/>
      </w:pPr>
      <w:r>
        <w:rPr>
          <w:rFonts w:ascii="Calibri" w:hAnsi="Calibri"/>
          <w:b/>
          <w:color w:val="1F4E79"/>
          <w:sz w:val="25"/>
        </w:rPr>
        <w:t>4.1 Independence control: separate remediation from assurance decision</w:t>
      </w:r>
    </w:p>
    <w:p>
      <w:pPr>
        <w:spacing w:after="80" w:line="259" w:lineRule="auto"/>
      </w:pPr>
      <w:r>
        <w:rPr>
          <w:rFonts w:ascii="Calibri" w:hAnsi="Calibri"/>
          <w:sz w:val="21"/>
        </w:rPr>
        <w:t>Laurelshield can offer remediation advisory services, but the final verification/certification decision should be structurally independent from the person or team that implemented the fix. This is important for credibility and aligns with the broader conformity-assessment principle that certification/verification requires impartiality and controlled decision processes.</w:t>
      </w:r>
      <w:r>
        <w:rPr>
          <w:rFonts w:ascii="Calibri" w:hAnsi="Calibri"/>
          <w:sz w:val="21"/>
        </w:rPr>
        <w:t xml:space="preserve"> </w:t>
      </w:r>
      <w:hyperlink r:id="rId34">
        <w:r>
          <w:rPr>
            <w:rFonts w:ascii="Calibri" w:hAnsi="Calibri"/>
            <w:sz w:val="19"/>
            <w:szCs w:val="19"/>
            <w:color w:val="0563C1"/>
            <w:u w:val="single"/>
          </w:rPr>
          <w:t>[22]</w:t>
        </w:r>
      </w:hyperlink>
      <w:r>
        <w:rPr>
          <w:rFonts w:ascii="Calibri" w:hAnsi="Calibri"/>
          <w:sz w:val="19"/>
        </w:rPr>
        <w:t xml:space="preserve">, </w:t>
      </w:r>
      <w:hyperlink r:id="rId35">
        <w:r>
          <w:rPr>
            <w:rFonts w:ascii="Calibri" w:hAnsi="Calibri"/>
            <w:sz w:val="19"/>
            <w:szCs w:val="19"/>
            <w:color w:val="0563C1"/>
            <w:u w:val="single"/>
          </w:rPr>
          <w:t>[23]</w:t>
        </w:r>
      </w:hyperlink>
      <w:r>
        <w:rPr>
          <w:rFonts w:ascii="Calibri" w:hAnsi="Calibri"/>
          <w:sz w:val="19"/>
        </w:rPr>
        <w:t xml:space="preserve">, </w:t>
      </w:r>
      <w:hyperlink r:id="rId36">
        <w:r>
          <w:rPr>
            <w:rFonts w:ascii="Calibri" w:hAnsi="Calibri"/>
            <w:sz w:val="19"/>
            <w:szCs w:val="19"/>
            <w:color w:val="0563C1"/>
            <w:u w:val="single"/>
          </w:rPr>
          <w:t>[24]</w:t>
        </w:r>
      </w:hyperlink>
      <w:r>
        <w:rPr>
          <w:rFonts w:ascii="Calibri" w:hAnsi="Calibri"/>
          <w:sz w:val="19"/>
        </w:rPr>
        <w:t xml:space="preserve">, </w:t>
      </w:r>
      <w:hyperlink r:id="rId37">
        <w:r>
          <w:rPr>
            <w:rFonts w:ascii="Calibri" w:hAnsi="Calibri"/>
            <w:sz w:val="19"/>
            <w:szCs w:val="19"/>
            <w:color w:val="0563C1"/>
            <w:u w:val="single"/>
          </w:rPr>
          <w:t>[37]</w:t>
        </w:r>
      </w:hyperlink>
    </w:p>
    <w:p>
      <w:pPr>
        <w:pStyle w:val="Heading1"/>
        <w:keepNext/>
        <w:spacing w:before="160" w:after="80"/>
      </w:pPr>
      <w:r>
        <w:rPr>
          <w:rFonts w:ascii="Calibri" w:hAnsi="Calibri"/>
          <w:b/>
          <w:color w:val="1F4E79"/>
          <w:sz w:val="30"/>
        </w:rPr>
        <w:t>5. Detailed Technology Architecture</w:t>
      </w:r>
    </w:p>
    <w:p>
      <w:pPr>
        <w:spacing w:after="80" w:line="259" w:lineRule="auto"/>
      </w:pPr>
      <w:r>
        <w:rPr>
          <w:rFonts w:ascii="Calibri" w:hAnsi="Calibri"/>
          <w:sz w:val="21"/>
        </w:rPr>
        <w:t>The technology platform should be built as evidence infrastructure, not as a questionnaire application. The reference architecture below is deliberately modular so that Laurelshield can start with manual workflows and progressively automate high-value evidence sources.</w:t>
      </w:r>
    </w:p>
    <w:p>
      <w:pPr>
        <w:pStyle w:val="Heading2"/>
        <w:keepNext/>
        <w:spacing w:before="100" w:after="80"/>
      </w:pPr>
      <w:r>
        <w:rPr>
          <w:rFonts w:ascii="Calibri" w:hAnsi="Calibri"/>
          <w:b/>
          <w:color w:val="1F4E79"/>
          <w:sz w:val="25"/>
        </w:rPr>
        <w:t>5.1 Reference architecture</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val="true"/>
        </w:trPr>
        <w:tc>
          <w:tcPr>
            <w:tcW w:type="dxa" w:w="3389"/>
            <w:vAlign w:val="top"/>
            <w:shd w:fill="D9EAF7"/>
            <w:tcMar>
              <w:top w:w="70" w:type="dxa"/>
              <w:left w:w="80" w:type="dxa"/>
              <w:bottom w:w="70" w:type="dxa"/>
              <w:right w:w="80" w:type="dxa"/>
            </w:tcMar>
          </w:tcPr>
          <w:p>
            <w:pPr>
              <w:spacing w:after="0" w:line="240" w:lineRule="auto"/>
            </w:pPr>
            <w:r/>
            <w:r>
              <w:rPr>
                <w:rFonts w:ascii="Calibri" w:hAnsi="Calibri"/>
                <w:b/>
                <w:sz w:val="19"/>
              </w:rPr>
              <w:t>Layer</w:t>
            </w:r>
          </w:p>
        </w:tc>
        <w:tc>
          <w:tcPr>
            <w:tcW w:type="dxa" w:w="3389"/>
            <w:vAlign w:val="top"/>
            <w:shd w:fill="D9EAF7"/>
            <w:tcMar>
              <w:top w:w="70" w:type="dxa"/>
              <w:left w:w="80" w:type="dxa"/>
              <w:bottom w:w="70" w:type="dxa"/>
              <w:right w:w="80" w:type="dxa"/>
            </w:tcMar>
          </w:tcPr>
          <w:p>
            <w:pPr>
              <w:spacing w:after="0" w:line="240" w:lineRule="auto"/>
            </w:pPr>
            <w:r/>
            <w:r>
              <w:rPr>
                <w:rFonts w:ascii="Calibri" w:hAnsi="Calibri"/>
                <w:b/>
                <w:sz w:val="19"/>
              </w:rPr>
              <w:t>Core Components</w:t>
            </w:r>
          </w:p>
        </w:tc>
        <w:tc>
          <w:tcPr>
            <w:tcW w:type="dxa" w:w="3389"/>
            <w:vAlign w:val="top"/>
            <w:shd w:fill="D9EAF7"/>
            <w:tcMar>
              <w:top w:w="70" w:type="dxa"/>
              <w:left w:w="80" w:type="dxa"/>
              <w:bottom w:w="70" w:type="dxa"/>
              <w:right w:w="80" w:type="dxa"/>
            </w:tcMar>
          </w:tcPr>
          <w:p>
            <w:pPr>
              <w:spacing w:after="0" w:line="240" w:lineRule="auto"/>
            </w:pPr>
            <w:r/>
            <w:r>
              <w:rPr>
                <w:rFonts w:ascii="Calibri" w:hAnsi="Calibri"/>
                <w:b/>
                <w:sz w:val="19"/>
              </w:rPr>
              <w:t>Purpose</w:t>
            </w:r>
          </w:p>
        </w:tc>
      </w:tr>
      <w:tr>
        <w:trPr>
          <w:cantSplit w:val="true"/>
        </w:trPr>
        <w:tc>
          <w:tcPr>
            <w:tcW w:type="dxa" w:w="3389"/>
            <w:vAlign w:val="top"/>
            <w:tcMar>
              <w:top w:w="70" w:type="dxa"/>
              <w:left w:w="80" w:type="dxa"/>
              <w:bottom w:w="70" w:type="dxa"/>
              <w:right w:w="80" w:type="dxa"/>
            </w:tcMar>
          </w:tcPr>
          <w:p>
            <w:pPr>
              <w:spacing w:after="0" w:line="240" w:lineRule="auto"/>
            </w:pPr>
            <w:r/>
            <w:r>
              <w:rPr>
                <w:rFonts w:ascii="Calibri" w:hAnsi="Calibri"/>
                <w:b w:val="0"/>
                <w:sz w:val="19"/>
              </w:rPr>
              <w:t>1. Identity &amp; Tenant Security</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SSO/MFA, tenant isolation, RBAC/ABAC, privileged access, just-in-time administration</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Protect the assurance platform and enforce customer/partner separation.</w:t>
            </w:r>
          </w:p>
        </w:tc>
      </w:tr>
      <w:tr>
        <w:trPr>
          <w:cantSplit w:val="true"/>
        </w:trPr>
        <w:tc>
          <w:tcPr>
            <w:tcW w:type="dxa" w:w="3389"/>
            <w:vAlign w:val="top"/>
            <w:tcMar>
              <w:top w:w="70" w:type="dxa"/>
              <w:left w:w="80" w:type="dxa"/>
              <w:bottom w:w="70" w:type="dxa"/>
              <w:right w:w="80" w:type="dxa"/>
            </w:tcMar>
          </w:tcPr>
          <w:p>
            <w:pPr>
              <w:spacing w:after="0" w:line="240" w:lineRule="auto"/>
            </w:pPr>
            <w:r/>
            <w:r>
              <w:rPr>
                <w:rFonts w:ascii="Calibri" w:hAnsi="Calibri"/>
                <w:b w:val="0"/>
                <w:sz w:val="19"/>
              </w:rPr>
              <w:t>2. Evidence Connectors</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Microsoft Graph/Entra, Defender, CrowdStrike, AWS, Azure, GCP, Okta, Duo, Veeam, Rubrik, SIEM, vulnerability scanners, external ratings</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Collect read-only machine evidence.</w:t>
            </w:r>
          </w:p>
        </w:tc>
      </w:tr>
      <w:tr>
        <w:trPr>
          <w:cantSplit w:val="true"/>
        </w:trPr>
        <w:tc>
          <w:tcPr>
            <w:tcW w:type="dxa" w:w="3389"/>
            <w:vAlign w:val="top"/>
            <w:tcMar>
              <w:top w:w="70" w:type="dxa"/>
              <w:left w:w="80" w:type="dxa"/>
              <w:bottom w:w="70" w:type="dxa"/>
              <w:right w:w="80" w:type="dxa"/>
            </w:tcMar>
          </w:tcPr>
          <w:p>
            <w:pPr>
              <w:spacing w:after="0" w:line="240" w:lineRule="auto"/>
            </w:pPr>
            <w:r/>
            <w:r>
              <w:rPr>
                <w:rFonts w:ascii="Calibri" w:hAnsi="Calibri"/>
                <w:b w:val="0"/>
                <w:sz w:val="19"/>
              </w:rPr>
              <w:t>3. Evidence Ingestion Gateway</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API gateway, validation, schema enforcement, malware scanning, provenance capture, hashing, timestamping</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Ensure evidence is authentic, attributable, and normalized on entry.</w:t>
            </w:r>
          </w:p>
        </w:tc>
      </w:tr>
      <w:tr>
        <w:trPr>
          <w:cantSplit w:val="true"/>
        </w:trPr>
        <w:tc>
          <w:tcPr>
            <w:tcW w:type="dxa" w:w="3389"/>
            <w:vAlign w:val="top"/>
            <w:tcMar>
              <w:top w:w="70" w:type="dxa"/>
              <w:left w:w="80" w:type="dxa"/>
              <w:bottom w:w="70" w:type="dxa"/>
              <w:right w:w="80" w:type="dxa"/>
            </w:tcMar>
          </w:tcPr>
          <w:p>
            <w:pPr>
              <w:spacing w:after="0" w:line="240" w:lineRule="auto"/>
            </w:pPr>
            <w:r/>
            <w:r>
              <w:rPr>
                <w:rFonts w:ascii="Calibri" w:hAnsi="Calibri"/>
                <w:b w:val="0"/>
                <w:sz w:val="19"/>
              </w:rPr>
              <w:t>4. Evidence Vault</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Encrypted object store, metadata DB, immutable/WORM options, KMS/HSM, retention engine</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Secure raw evidence and chain of custody.</w:t>
            </w:r>
          </w:p>
        </w:tc>
      </w:tr>
      <w:tr>
        <w:trPr>
          <w:cantSplit w:val="true"/>
        </w:trPr>
        <w:tc>
          <w:tcPr>
            <w:tcW w:type="dxa" w:w="3389"/>
            <w:vAlign w:val="top"/>
            <w:tcMar>
              <w:top w:w="70" w:type="dxa"/>
              <w:left w:w="80" w:type="dxa"/>
              <w:bottom w:w="70" w:type="dxa"/>
              <w:right w:w="80" w:type="dxa"/>
            </w:tcMar>
          </w:tcPr>
          <w:p>
            <w:pPr>
              <w:spacing w:after="0" w:line="240" w:lineRule="auto"/>
            </w:pPr>
            <w:r/>
            <w:r>
              <w:rPr>
                <w:rFonts w:ascii="Calibri" w:hAnsi="Calibri"/>
                <w:b w:val="0"/>
                <w:sz w:val="19"/>
              </w:rPr>
              <w:t>5. Canonical Control Graph</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Controls, assets, evidence, exceptions, compensating controls, tests, scope relationships</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Represent vendor-neutral assurance facts.</w:t>
            </w:r>
          </w:p>
        </w:tc>
      </w:tr>
      <w:tr>
        <w:trPr>
          <w:cantSplit w:val="true"/>
        </w:trPr>
        <w:tc>
          <w:tcPr>
            <w:tcW w:type="dxa" w:w="3389"/>
            <w:vAlign w:val="top"/>
            <w:tcMar>
              <w:top w:w="70" w:type="dxa"/>
              <w:left w:w="80" w:type="dxa"/>
              <w:bottom w:w="70" w:type="dxa"/>
              <w:right w:w="80" w:type="dxa"/>
            </w:tcMar>
          </w:tcPr>
          <w:p>
            <w:pPr>
              <w:spacing w:after="0" w:line="240" w:lineRule="auto"/>
            </w:pPr>
            <w:r/>
            <w:r>
              <w:rPr>
                <w:rFonts w:ascii="Calibri" w:hAnsi="Calibri"/>
                <w:b w:val="0"/>
                <w:sz w:val="19"/>
              </w:rPr>
              <w:t>6. Verification Engine</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Rules, test procedures, assessor workflows, ECL computation, freshness, anomaly checks</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Convert evidence into defensible assurance claims.</w:t>
            </w:r>
          </w:p>
        </w:tc>
      </w:tr>
      <w:tr>
        <w:trPr>
          <w:cantSplit w:val="true"/>
        </w:trPr>
        <w:tc>
          <w:tcPr>
            <w:tcW w:type="dxa" w:w="3389"/>
            <w:vAlign w:val="top"/>
            <w:tcMar>
              <w:top w:w="70" w:type="dxa"/>
              <w:left w:w="80" w:type="dxa"/>
              <w:bottom w:w="70" w:type="dxa"/>
              <w:right w:w="80" w:type="dxa"/>
            </w:tcMar>
          </w:tcPr>
          <w:p>
            <w:pPr>
              <w:spacing w:after="0" w:line="240" w:lineRule="auto"/>
            </w:pPr>
            <w:r/>
            <w:r>
              <w:rPr>
                <w:rFonts w:ascii="Calibri" w:hAnsi="Calibri"/>
                <w:b w:val="0"/>
                <w:sz w:val="19"/>
              </w:rPr>
              <w:t>7. Underwriting Requirements Graph</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Private partner mappings, thresholds, required ECL, evidence age, industry/size overlays</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Translate verified controls into market-specific readiness.</w:t>
            </w:r>
          </w:p>
        </w:tc>
      </w:tr>
      <w:tr>
        <w:trPr>
          <w:cantSplit w:val="true"/>
        </w:trPr>
        <w:tc>
          <w:tcPr>
            <w:tcW w:type="dxa" w:w="3389"/>
            <w:vAlign w:val="top"/>
            <w:tcMar>
              <w:top w:w="70" w:type="dxa"/>
              <w:left w:w="80" w:type="dxa"/>
              <w:bottom w:w="70" w:type="dxa"/>
              <w:right w:w="80" w:type="dxa"/>
            </w:tcMar>
          </w:tcPr>
          <w:p>
            <w:pPr>
              <w:spacing w:after="0" w:line="240" w:lineRule="auto"/>
            </w:pPr>
            <w:r/>
            <w:r>
              <w:rPr>
                <w:rFonts w:ascii="Calibri" w:hAnsi="Calibri"/>
                <w:b w:val="0"/>
                <w:sz w:val="19"/>
              </w:rPr>
              <w:t>8. Passport &amp; Credential Service</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Passport issuer, signatures, selective disclosure, expiry, revocation registry</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Issue portable evidence claims without exposing raw data.</w:t>
            </w:r>
          </w:p>
        </w:tc>
      </w:tr>
      <w:tr>
        <w:trPr>
          <w:cantSplit w:val="true"/>
        </w:trPr>
        <w:tc>
          <w:tcPr>
            <w:tcW w:type="dxa" w:w="3389"/>
            <w:vAlign w:val="top"/>
            <w:tcMar>
              <w:top w:w="70" w:type="dxa"/>
              <w:left w:w="80" w:type="dxa"/>
              <w:bottom w:w="70" w:type="dxa"/>
              <w:right w:w="80" w:type="dxa"/>
            </w:tcMar>
          </w:tcPr>
          <w:p>
            <w:pPr>
              <w:spacing w:after="0" w:line="240" w:lineRule="auto"/>
            </w:pPr>
            <w:r/>
            <w:r>
              <w:rPr>
                <w:rFonts w:ascii="Calibri" w:hAnsi="Calibri"/>
                <w:b w:val="0"/>
                <w:sz w:val="19"/>
              </w:rPr>
              <w:t>9. Evidence Exchange</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Customer approval workflow, broker portal, underwriter portal, scoped links, API/OAuth</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Demonstrate verified controls to approved counterparties.</w:t>
            </w:r>
          </w:p>
        </w:tc>
      </w:tr>
      <w:tr>
        <w:trPr>
          <w:cantSplit w:val="true"/>
        </w:trPr>
        <w:tc>
          <w:tcPr>
            <w:tcW w:type="dxa" w:w="3389"/>
            <w:vAlign w:val="top"/>
            <w:tcMar>
              <w:top w:w="70" w:type="dxa"/>
              <w:left w:w="80" w:type="dxa"/>
              <w:bottom w:w="70" w:type="dxa"/>
              <w:right w:w="80" w:type="dxa"/>
            </w:tcMar>
          </w:tcPr>
          <w:p>
            <w:pPr>
              <w:spacing w:after="0" w:line="240" w:lineRule="auto"/>
            </w:pPr>
            <w:r/>
            <w:r>
              <w:rPr>
                <w:rFonts w:ascii="Calibri" w:hAnsi="Calibri"/>
                <w:b w:val="0"/>
                <w:sz w:val="19"/>
              </w:rPr>
              <w:t>10. Continuous Assurance</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Schedulers, event ingestion, drift detection, alerts, re-verification workflows</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Maintain longitudinal evidence and invalidate stale claims.</w:t>
            </w:r>
          </w:p>
        </w:tc>
      </w:tr>
      <w:tr>
        <w:trPr>
          <w:cantSplit w:val="true"/>
        </w:trPr>
        <w:tc>
          <w:tcPr>
            <w:tcW w:type="dxa" w:w="3389"/>
            <w:vAlign w:val="top"/>
            <w:tcMar>
              <w:top w:w="70" w:type="dxa"/>
              <w:left w:w="80" w:type="dxa"/>
              <w:bottom w:w="70" w:type="dxa"/>
              <w:right w:w="80" w:type="dxa"/>
            </w:tcMar>
          </w:tcPr>
          <w:p>
            <w:pPr>
              <w:spacing w:after="0" w:line="240" w:lineRule="auto"/>
            </w:pPr>
            <w:r/>
            <w:r>
              <w:rPr>
                <w:rFonts w:ascii="Calibri" w:hAnsi="Calibri"/>
                <w:b w:val="0"/>
                <w:sz w:val="19"/>
              </w:rPr>
              <w:t>11. Outcome Intelligence</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Underwriting outcome graph, claims events, benchmarks, model governance</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Create the long-term data moat.</w:t>
            </w:r>
          </w:p>
        </w:tc>
      </w:tr>
      <w:tr>
        <w:trPr>
          <w:cantSplit w:val="true"/>
        </w:trPr>
        <w:tc>
          <w:tcPr>
            <w:tcW w:type="dxa" w:w="3389"/>
            <w:vAlign w:val="top"/>
            <w:tcMar>
              <w:top w:w="70" w:type="dxa"/>
              <w:left w:w="80" w:type="dxa"/>
              <w:bottom w:w="70" w:type="dxa"/>
              <w:right w:w="80" w:type="dxa"/>
            </w:tcMar>
          </w:tcPr>
          <w:p>
            <w:pPr>
              <w:spacing w:after="0" w:line="240" w:lineRule="auto"/>
            </w:pPr>
            <w:r/>
            <w:r>
              <w:rPr>
                <w:rFonts w:ascii="Calibri" w:hAnsi="Calibri"/>
                <w:b w:val="0"/>
                <w:sz w:val="19"/>
              </w:rPr>
              <w:t>12. Audit &amp; Governance</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Immutable audit log, consent records, policy versions, assessor actions, appeal decisions</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Defend trust, compliance, and certification integrity.</w:t>
            </w:r>
          </w:p>
        </w:tc>
      </w:tr>
    </w:tbl>
    <w:p>
      <w:pPr>
        <w:spacing w:after="40"/>
      </w:pPr>
    </w:p>
    <w:p>
      <w:pPr>
        <w:pStyle w:val="Heading2"/>
        <w:keepNext/>
        <w:spacing w:before="100" w:after="80"/>
      </w:pPr>
      <w:r>
        <w:rPr>
          <w:rFonts w:ascii="Calibri" w:hAnsi="Calibri"/>
          <w:b/>
          <w:color w:val="1F4E79"/>
          <w:sz w:val="25"/>
        </w:rPr>
        <w:t>5.2 Evidence collector strategy</w:t>
      </w:r>
    </w:p>
    <w:p>
      <w:pPr>
        <w:spacing w:after="80" w:line="259" w:lineRule="auto"/>
      </w:pPr>
      <w:r>
        <w:rPr>
          <w:rFonts w:ascii="Calibri" w:hAnsi="Calibri"/>
          <w:sz w:val="21"/>
        </w:rPr>
        <w:t>Start with the control families that most strongly influence cyber-risk underwriting and that can be verified reliably through APIs. Do not begin by integrating every cybersecurity product. The first connector wave should maximize evidence value per engineering hour.</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val="true"/>
        </w:trPr>
        <w:tc>
          <w:tcPr>
            <w:tcW w:type="dxa" w:w="3389"/>
            <w:vAlign w:val="top"/>
            <w:shd w:fill="D9EAF7"/>
            <w:tcMar>
              <w:top w:w="70" w:type="dxa"/>
              <w:left w:w="80" w:type="dxa"/>
              <w:bottom w:w="70" w:type="dxa"/>
              <w:right w:w="80" w:type="dxa"/>
            </w:tcMar>
          </w:tcPr>
          <w:p>
            <w:pPr>
              <w:spacing w:after="0" w:line="240" w:lineRule="auto"/>
            </w:pPr>
            <w:r/>
            <w:r>
              <w:rPr>
                <w:rFonts w:ascii="Calibri" w:hAnsi="Calibri"/>
                <w:b/>
                <w:sz w:val="19"/>
              </w:rPr>
              <w:t>Priority</w:t>
            </w:r>
          </w:p>
        </w:tc>
        <w:tc>
          <w:tcPr>
            <w:tcW w:type="dxa" w:w="3389"/>
            <w:vAlign w:val="top"/>
            <w:shd w:fill="D9EAF7"/>
            <w:tcMar>
              <w:top w:w="70" w:type="dxa"/>
              <w:left w:w="80" w:type="dxa"/>
              <w:bottom w:w="70" w:type="dxa"/>
              <w:right w:w="80" w:type="dxa"/>
            </w:tcMar>
          </w:tcPr>
          <w:p>
            <w:pPr>
              <w:spacing w:after="0" w:line="240" w:lineRule="auto"/>
            </w:pPr>
            <w:r/>
            <w:r>
              <w:rPr>
                <w:rFonts w:ascii="Calibri" w:hAnsi="Calibri"/>
                <w:b/>
                <w:sz w:val="19"/>
              </w:rPr>
              <w:t>Connector / Evidence Source</w:t>
            </w:r>
          </w:p>
        </w:tc>
        <w:tc>
          <w:tcPr>
            <w:tcW w:type="dxa" w:w="3389"/>
            <w:vAlign w:val="top"/>
            <w:shd w:fill="D9EAF7"/>
            <w:tcMar>
              <w:top w:w="70" w:type="dxa"/>
              <w:left w:w="80" w:type="dxa"/>
              <w:bottom w:w="70" w:type="dxa"/>
              <w:right w:w="80" w:type="dxa"/>
            </w:tcMar>
          </w:tcPr>
          <w:p>
            <w:pPr>
              <w:spacing w:after="0" w:line="240" w:lineRule="auto"/>
            </w:pPr>
            <w:r/>
            <w:r>
              <w:rPr>
                <w:rFonts w:ascii="Calibri" w:hAnsi="Calibri"/>
                <w:b/>
                <w:sz w:val="19"/>
              </w:rPr>
              <w:t>First Controls to Verify</w:t>
            </w:r>
          </w:p>
        </w:tc>
      </w:tr>
      <w:tr>
        <w:trPr>
          <w:cantSplit w:val="true"/>
        </w:trPr>
        <w:tc>
          <w:tcPr>
            <w:tcW w:type="dxa" w:w="3389"/>
            <w:vAlign w:val="top"/>
            <w:tcMar>
              <w:top w:w="70" w:type="dxa"/>
              <w:left w:w="80" w:type="dxa"/>
              <w:bottom w:w="70" w:type="dxa"/>
              <w:right w:w="80" w:type="dxa"/>
            </w:tcMar>
          </w:tcPr>
          <w:p>
            <w:pPr>
              <w:spacing w:after="0" w:line="240" w:lineRule="auto"/>
            </w:pPr>
            <w:r/>
            <w:r>
              <w:rPr>
                <w:rFonts w:ascii="Calibri" w:hAnsi="Calibri"/>
                <w:b w:val="0"/>
                <w:sz w:val="19"/>
              </w:rPr>
              <w:t>P0</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Microsoft Entra / Microsoft Graph</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Privileged MFA, user MFA coverage, legacy authentication, Conditional Access, privileged roles, dormant accounts.</w:t>
            </w:r>
          </w:p>
        </w:tc>
      </w:tr>
      <w:tr>
        <w:trPr>
          <w:cantSplit w:val="true"/>
        </w:trPr>
        <w:tc>
          <w:tcPr>
            <w:tcW w:type="dxa" w:w="3389"/>
            <w:vAlign w:val="top"/>
            <w:tcMar>
              <w:top w:w="70" w:type="dxa"/>
              <w:left w:w="80" w:type="dxa"/>
              <w:bottom w:w="70" w:type="dxa"/>
              <w:right w:w="80" w:type="dxa"/>
            </w:tcMar>
          </w:tcPr>
          <w:p>
            <w:pPr>
              <w:spacing w:after="0" w:line="240" w:lineRule="auto"/>
            </w:pPr>
            <w:r/>
            <w:r>
              <w:rPr>
                <w:rFonts w:ascii="Calibri" w:hAnsi="Calibri"/>
                <w:b w:val="0"/>
                <w:sz w:val="19"/>
              </w:rPr>
              <w:t>P0</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Microsoft Defender for Endpoint or CrowdStrike</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Endpoint inventory, EDR onboarding coverage, tamper protection, sensor health, critical exclusions.</w:t>
            </w:r>
          </w:p>
        </w:tc>
      </w:tr>
      <w:tr>
        <w:trPr>
          <w:cantSplit w:val="true"/>
        </w:trPr>
        <w:tc>
          <w:tcPr>
            <w:tcW w:type="dxa" w:w="3389"/>
            <w:vAlign w:val="top"/>
            <w:tcMar>
              <w:top w:w="70" w:type="dxa"/>
              <w:left w:w="80" w:type="dxa"/>
              <w:bottom w:w="70" w:type="dxa"/>
              <w:right w:w="80" w:type="dxa"/>
            </w:tcMar>
          </w:tcPr>
          <w:p>
            <w:pPr>
              <w:spacing w:after="0" w:line="240" w:lineRule="auto"/>
            </w:pPr>
            <w:r/>
            <w:r>
              <w:rPr>
                <w:rFonts w:ascii="Calibri" w:hAnsi="Calibri"/>
                <w:b w:val="0"/>
                <w:sz w:val="19"/>
              </w:rPr>
              <w:t>P0</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Veeam / Rubrik / Cohesity</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Backup immutability, job success, privileged separation, last restore test, protected critical systems.</w:t>
            </w:r>
          </w:p>
        </w:tc>
      </w:tr>
      <w:tr>
        <w:trPr>
          <w:cantSplit w:val="true"/>
        </w:trPr>
        <w:tc>
          <w:tcPr>
            <w:tcW w:type="dxa" w:w="3389"/>
            <w:vAlign w:val="top"/>
            <w:tcMar>
              <w:top w:w="70" w:type="dxa"/>
              <w:left w:w="80" w:type="dxa"/>
              <w:bottom w:w="70" w:type="dxa"/>
              <w:right w:w="80" w:type="dxa"/>
            </w:tcMar>
          </w:tcPr>
          <w:p>
            <w:pPr>
              <w:spacing w:after="0" w:line="240" w:lineRule="auto"/>
            </w:pPr>
            <w:r/>
            <w:r>
              <w:rPr>
                <w:rFonts w:ascii="Calibri" w:hAnsi="Calibri"/>
                <w:b w:val="0"/>
                <w:sz w:val="19"/>
              </w:rPr>
              <w:t>P0</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External attack-surface scanner</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Internet exposure, vulnerable services, TLS, RDP/VPN exposure, critical CVEs.</w:t>
            </w:r>
          </w:p>
        </w:tc>
      </w:tr>
      <w:tr>
        <w:trPr>
          <w:cantSplit w:val="true"/>
        </w:trPr>
        <w:tc>
          <w:tcPr>
            <w:tcW w:type="dxa" w:w="3389"/>
            <w:vAlign w:val="top"/>
            <w:tcMar>
              <w:top w:w="70" w:type="dxa"/>
              <w:left w:w="80" w:type="dxa"/>
              <w:bottom w:w="70" w:type="dxa"/>
              <w:right w:w="80" w:type="dxa"/>
            </w:tcMar>
          </w:tcPr>
          <w:p>
            <w:pPr>
              <w:spacing w:after="0" w:line="240" w:lineRule="auto"/>
            </w:pPr>
            <w:r/>
            <w:r>
              <w:rPr>
                <w:rFonts w:ascii="Calibri" w:hAnsi="Calibri"/>
                <w:b w:val="0"/>
                <w:sz w:val="19"/>
              </w:rPr>
              <w:t>P1</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AWS / Azure / GCP</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Cloud identity, public exposure, logging, privileged roles, key security controls.</w:t>
            </w:r>
          </w:p>
        </w:tc>
      </w:tr>
      <w:tr>
        <w:trPr>
          <w:cantSplit w:val="true"/>
        </w:trPr>
        <w:tc>
          <w:tcPr>
            <w:tcW w:type="dxa" w:w="3389"/>
            <w:vAlign w:val="top"/>
            <w:tcMar>
              <w:top w:w="70" w:type="dxa"/>
              <w:left w:w="80" w:type="dxa"/>
              <w:bottom w:w="70" w:type="dxa"/>
              <w:right w:w="80" w:type="dxa"/>
            </w:tcMar>
          </w:tcPr>
          <w:p>
            <w:pPr>
              <w:spacing w:after="0" w:line="240" w:lineRule="auto"/>
            </w:pPr>
            <w:r/>
            <w:r>
              <w:rPr>
                <w:rFonts w:ascii="Calibri" w:hAnsi="Calibri"/>
                <w:b w:val="0"/>
                <w:sz w:val="19"/>
              </w:rPr>
              <w:t>P1</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SIEM / Sentinel / Splunk</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Log-source coverage, retention, critical detection use cases, alert handling evidence.</w:t>
            </w:r>
          </w:p>
        </w:tc>
      </w:tr>
      <w:tr>
        <w:trPr>
          <w:cantSplit w:val="true"/>
        </w:trPr>
        <w:tc>
          <w:tcPr>
            <w:tcW w:type="dxa" w:w="3389"/>
            <w:vAlign w:val="top"/>
            <w:tcMar>
              <w:top w:w="70" w:type="dxa"/>
              <w:left w:w="80" w:type="dxa"/>
              <w:bottom w:w="70" w:type="dxa"/>
              <w:right w:w="80" w:type="dxa"/>
            </w:tcMar>
          </w:tcPr>
          <w:p>
            <w:pPr>
              <w:spacing w:after="0" w:line="240" w:lineRule="auto"/>
            </w:pPr>
            <w:r/>
            <w:r>
              <w:rPr>
                <w:rFonts w:ascii="Calibri" w:hAnsi="Calibri"/>
                <w:b w:val="0"/>
                <w:sz w:val="19"/>
              </w:rPr>
              <w:t>P1</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Email security / DNS</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DMARC, SPF, DKIM, anti-phishing controls, risky forwarding rules.</w:t>
            </w:r>
          </w:p>
        </w:tc>
      </w:tr>
      <w:tr>
        <w:trPr>
          <w:cantSplit w:val="true"/>
        </w:trPr>
        <w:tc>
          <w:tcPr>
            <w:tcW w:type="dxa" w:w="3389"/>
            <w:vAlign w:val="top"/>
            <w:tcMar>
              <w:top w:w="70" w:type="dxa"/>
              <w:left w:w="80" w:type="dxa"/>
              <w:bottom w:w="70" w:type="dxa"/>
              <w:right w:w="80" w:type="dxa"/>
            </w:tcMar>
          </w:tcPr>
          <w:p>
            <w:pPr>
              <w:spacing w:after="0" w:line="240" w:lineRule="auto"/>
            </w:pPr>
            <w:r/>
            <w:r>
              <w:rPr>
                <w:rFonts w:ascii="Calibri" w:hAnsi="Calibri"/>
                <w:b w:val="0"/>
                <w:sz w:val="19"/>
              </w:rPr>
              <w:t>P2</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PAM / IGA / ITSM</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Privileged-account governance, access reviews, lifecycle, exception management.</w:t>
            </w:r>
          </w:p>
        </w:tc>
      </w:tr>
      <w:tr>
        <w:trPr>
          <w:cantSplit w:val="true"/>
        </w:trPr>
        <w:tc>
          <w:tcPr>
            <w:tcW w:type="dxa" w:w="3389"/>
            <w:vAlign w:val="top"/>
            <w:tcMar>
              <w:top w:w="70" w:type="dxa"/>
              <w:left w:w="80" w:type="dxa"/>
              <w:bottom w:w="70" w:type="dxa"/>
              <w:right w:w="80" w:type="dxa"/>
            </w:tcMar>
          </w:tcPr>
          <w:p>
            <w:pPr>
              <w:spacing w:after="0" w:line="240" w:lineRule="auto"/>
            </w:pPr>
            <w:r/>
            <w:r>
              <w:rPr>
                <w:rFonts w:ascii="Calibri" w:hAnsi="Calibri"/>
                <w:b w:val="0"/>
                <w:sz w:val="19"/>
              </w:rPr>
              <w:t>P2</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Network security platforms</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Segmentation, remote access, firewall policy, exposed management planes.</w:t>
            </w:r>
          </w:p>
        </w:tc>
      </w:tr>
    </w:tbl>
    <w:p>
      <w:pPr>
        <w:spacing w:after="40"/>
      </w:pPr>
    </w:p>
    <w:p>
      <w:pPr>
        <w:pStyle w:val="Heading2"/>
        <w:keepNext/>
        <w:spacing w:before="100" w:after="80"/>
      </w:pPr>
      <w:r>
        <w:rPr>
          <w:rFonts w:ascii="Calibri" w:hAnsi="Calibri"/>
          <w:b/>
          <w:color w:val="1F4E79"/>
          <w:sz w:val="25"/>
        </w:rPr>
        <w:t>5.3 Evidence Vault requirements</w:t>
      </w:r>
    </w:p>
    <w:p>
      <w:pPr>
        <w:pStyle w:val="ListBullet"/>
        <w:spacing w:after="40" w:line="252" w:lineRule="auto"/>
      </w:pPr>
      <w:r>
        <w:rPr>
          <w:rFonts w:ascii="Calibri" w:hAnsi="Calibri"/>
          <w:sz w:val="21"/>
        </w:rPr>
        <w:t>Encrypt raw evidence in transit and at rest using customer/tenant-aware keys; separate the key-management plane from application access.</w:t>
      </w:r>
    </w:p>
    <w:p>
      <w:pPr>
        <w:pStyle w:val="ListBullet"/>
        <w:spacing w:after="40" w:line="252" w:lineRule="auto"/>
      </w:pPr>
      <w:r>
        <w:rPr>
          <w:rFonts w:ascii="Calibri" w:hAnsi="Calibri"/>
          <w:sz w:val="21"/>
        </w:rPr>
        <w:t>Generate a cryptographic hash for each evidence object and store provenance: collection method, source system, source account, timestamp, tenant, scope, collector version, assessor, and integrity result.</w:t>
      </w:r>
    </w:p>
    <w:p>
      <w:pPr>
        <w:pStyle w:val="ListBullet"/>
        <w:spacing w:after="40" w:line="252" w:lineRule="auto"/>
      </w:pPr>
      <w:r>
        <w:rPr>
          <w:rFonts w:ascii="Calibri" w:hAnsi="Calibri"/>
          <w:sz w:val="21"/>
        </w:rPr>
        <w:t>Use immutable audit logs and, where required, WORM retention for issued assurance decisions and material evidence lineage.</w:t>
      </w:r>
    </w:p>
    <w:p>
      <w:pPr>
        <w:pStyle w:val="ListBullet"/>
        <w:spacing w:after="40" w:line="252" w:lineRule="auto"/>
      </w:pPr>
      <w:r>
        <w:rPr>
          <w:rFonts w:ascii="Calibri" w:hAnsi="Calibri"/>
          <w:sz w:val="21"/>
        </w:rPr>
        <w:t>Minimize raw evidence retention. Keep only what is necessary to support assurance, contractual obligations, disputes, and regulatory requirements.</w:t>
      </w:r>
    </w:p>
    <w:p>
      <w:pPr>
        <w:pStyle w:val="ListBullet"/>
        <w:spacing w:after="40" w:line="252" w:lineRule="auto"/>
      </w:pPr>
      <w:r>
        <w:rPr>
          <w:rFonts w:ascii="Calibri" w:hAnsi="Calibri"/>
          <w:sz w:val="21"/>
        </w:rPr>
        <w:t>Implement evidence classification: Public, Customer Confidential, Restricted Security Evidence, Carrier Confidential Mapping, Laurelshield Trade Secret, and Claims/Outcome Restricted.</w:t>
      </w:r>
    </w:p>
    <w:p>
      <w:pPr>
        <w:pStyle w:val="ListBullet"/>
        <w:spacing w:after="40" w:line="252" w:lineRule="auto"/>
      </w:pPr>
      <w:r>
        <w:rPr>
          <w:rFonts w:ascii="Calibri" w:hAnsi="Calibri"/>
          <w:sz w:val="21"/>
        </w:rPr>
        <w:t>Separate carrier-specific confidential mapping data from customer-readable scoring and reporting.</w:t>
      </w:r>
    </w:p>
    <w:p>
      <w:pPr>
        <w:pStyle w:val="Heading2"/>
        <w:keepNext/>
        <w:spacing w:before="100" w:after="80"/>
      </w:pPr>
      <w:r>
        <w:rPr>
          <w:rFonts w:ascii="Calibri" w:hAnsi="Calibri"/>
          <w:b/>
          <w:color w:val="1F4E79"/>
          <w:sz w:val="25"/>
        </w:rPr>
        <w:t>5.4 Evidence Confidence Levels (ECL)</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val="true"/>
        </w:trPr>
        <w:tc>
          <w:tcPr>
            <w:tcW w:type="dxa" w:w="2541"/>
            <w:vAlign w:val="top"/>
            <w:shd w:fill="D9EAF7"/>
            <w:tcMar>
              <w:top w:w="70" w:type="dxa"/>
              <w:left w:w="80" w:type="dxa"/>
              <w:bottom w:w="70" w:type="dxa"/>
              <w:right w:w="80" w:type="dxa"/>
            </w:tcMar>
          </w:tcPr>
          <w:p>
            <w:pPr>
              <w:spacing w:after="0" w:line="240" w:lineRule="auto"/>
            </w:pPr>
            <w:r/>
            <w:r>
              <w:rPr>
                <w:rFonts w:ascii="Calibri" w:hAnsi="Calibri"/>
                <w:b/>
                <w:sz w:val="19"/>
              </w:rPr>
              <w:t>ECL</w:t>
            </w:r>
          </w:p>
        </w:tc>
        <w:tc>
          <w:tcPr>
            <w:tcW w:type="dxa" w:w="2541"/>
            <w:vAlign w:val="top"/>
            <w:shd w:fill="D9EAF7"/>
            <w:tcMar>
              <w:top w:w="70" w:type="dxa"/>
              <w:left w:w="80" w:type="dxa"/>
              <w:bottom w:w="70" w:type="dxa"/>
              <w:right w:w="80" w:type="dxa"/>
            </w:tcMar>
          </w:tcPr>
          <w:p>
            <w:pPr>
              <w:spacing w:after="0" w:line="240" w:lineRule="auto"/>
            </w:pPr>
            <w:r/>
            <w:r>
              <w:rPr>
                <w:rFonts w:ascii="Calibri" w:hAnsi="Calibri"/>
                <w:b/>
                <w:sz w:val="19"/>
              </w:rPr>
              <w:t>Definition</w:t>
            </w:r>
          </w:p>
        </w:tc>
        <w:tc>
          <w:tcPr>
            <w:tcW w:type="dxa" w:w="2541"/>
            <w:vAlign w:val="top"/>
            <w:shd w:fill="D9EAF7"/>
            <w:tcMar>
              <w:top w:w="70" w:type="dxa"/>
              <w:left w:w="80" w:type="dxa"/>
              <w:bottom w:w="70" w:type="dxa"/>
              <w:right w:w="80" w:type="dxa"/>
            </w:tcMar>
          </w:tcPr>
          <w:p>
            <w:pPr>
              <w:spacing w:after="0" w:line="240" w:lineRule="auto"/>
            </w:pPr>
            <w:r/>
            <w:r>
              <w:rPr>
                <w:rFonts w:ascii="Calibri" w:hAnsi="Calibri"/>
                <w:b/>
                <w:sz w:val="19"/>
              </w:rPr>
              <w:t>Typical Evidence</w:t>
            </w:r>
          </w:p>
        </w:tc>
        <w:tc>
          <w:tcPr>
            <w:tcW w:type="dxa" w:w="2541"/>
            <w:vAlign w:val="top"/>
            <w:shd w:fill="D9EAF7"/>
            <w:tcMar>
              <w:top w:w="70" w:type="dxa"/>
              <w:left w:w="80" w:type="dxa"/>
              <w:bottom w:w="70" w:type="dxa"/>
              <w:right w:w="80" w:type="dxa"/>
            </w:tcMar>
          </w:tcPr>
          <w:p>
            <w:pPr>
              <w:spacing w:after="0" w:line="240" w:lineRule="auto"/>
            </w:pPr>
            <w:r/>
            <w:r>
              <w:rPr>
                <w:rFonts w:ascii="Calibri" w:hAnsi="Calibri"/>
                <w:b/>
                <w:sz w:val="19"/>
              </w:rPr>
              <w:t>Recommended Use</w:t>
            </w:r>
          </w:p>
        </w:tc>
      </w:tr>
      <w:tr>
        <w:trPr>
          <w:cantSplit w:val="true"/>
        </w:trPr>
        <w:tc>
          <w:tcPr>
            <w:tcW w:type="dxa" w:w="2541"/>
            <w:vAlign w:val="top"/>
            <w:tcMar>
              <w:top w:w="70" w:type="dxa"/>
              <w:left w:w="80" w:type="dxa"/>
              <w:bottom w:w="70" w:type="dxa"/>
              <w:right w:w="80" w:type="dxa"/>
            </w:tcMar>
          </w:tcPr>
          <w:p>
            <w:pPr>
              <w:spacing w:after="0" w:line="240" w:lineRule="auto"/>
            </w:pPr>
            <w:r/>
            <w:r>
              <w:rPr>
                <w:rFonts w:ascii="Calibri" w:hAnsi="Calibri"/>
                <w:b w:val="0"/>
                <w:sz w:val="19"/>
              </w:rPr>
              <w:t>ECL-0</w:t>
            </w:r>
          </w:p>
        </w:tc>
        <w:tc>
          <w:tcPr>
            <w:tcW w:type="dxa" w:w="2541"/>
            <w:vAlign w:val="top"/>
            <w:tcMar>
              <w:top w:w="70" w:type="dxa"/>
              <w:left w:w="80" w:type="dxa"/>
              <w:bottom w:w="70" w:type="dxa"/>
              <w:right w:w="80" w:type="dxa"/>
            </w:tcMar>
          </w:tcPr>
          <w:p>
            <w:pPr>
              <w:spacing w:after="0" w:line="240" w:lineRule="auto"/>
            </w:pPr>
            <w:r/>
            <w:r>
              <w:rPr>
                <w:rFonts w:ascii="Calibri" w:hAnsi="Calibri"/>
                <w:b w:val="0"/>
                <w:sz w:val="19"/>
              </w:rPr>
              <w:t>Self-attested only</w:t>
            </w:r>
          </w:p>
        </w:tc>
        <w:tc>
          <w:tcPr>
            <w:tcW w:type="dxa" w:w="2541"/>
            <w:vAlign w:val="top"/>
            <w:tcMar>
              <w:top w:w="70" w:type="dxa"/>
              <w:left w:w="80" w:type="dxa"/>
              <w:bottom w:w="70" w:type="dxa"/>
              <w:right w:w="80" w:type="dxa"/>
            </w:tcMar>
          </w:tcPr>
          <w:p>
            <w:pPr>
              <w:spacing w:after="0" w:line="240" w:lineRule="auto"/>
            </w:pPr>
            <w:r/>
            <w:r>
              <w:rPr>
                <w:rFonts w:ascii="Calibri" w:hAnsi="Calibri"/>
                <w:b w:val="0"/>
                <w:sz w:val="19"/>
              </w:rPr>
              <w:t>Questionnaire answer or verbal statement</w:t>
            </w:r>
          </w:p>
        </w:tc>
        <w:tc>
          <w:tcPr>
            <w:tcW w:type="dxa" w:w="2541"/>
            <w:vAlign w:val="top"/>
            <w:tcMar>
              <w:top w:w="70" w:type="dxa"/>
              <w:left w:w="80" w:type="dxa"/>
              <w:bottom w:w="70" w:type="dxa"/>
              <w:right w:w="80" w:type="dxa"/>
            </w:tcMar>
          </w:tcPr>
          <w:p>
            <w:pPr>
              <w:spacing w:after="0" w:line="240" w:lineRule="auto"/>
            </w:pPr>
            <w:r/>
            <w:r>
              <w:rPr>
                <w:rFonts w:ascii="Calibri" w:hAnsi="Calibri"/>
                <w:b w:val="0"/>
                <w:sz w:val="19"/>
              </w:rPr>
              <w:t>Temporary intake only; never equivalent to verified assurance.</w:t>
            </w:r>
          </w:p>
        </w:tc>
      </w:tr>
      <w:tr>
        <w:trPr>
          <w:cantSplit w:val="true"/>
        </w:trPr>
        <w:tc>
          <w:tcPr>
            <w:tcW w:type="dxa" w:w="2541"/>
            <w:vAlign w:val="top"/>
            <w:tcMar>
              <w:top w:w="70" w:type="dxa"/>
              <w:left w:w="80" w:type="dxa"/>
              <w:bottom w:w="70" w:type="dxa"/>
              <w:right w:w="80" w:type="dxa"/>
            </w:tcMar>
          </w:tcPr>
          <w:p>
            <w:pPr>
              <w:spacing w:after="0" w:line="240" w:lineRule="auto"/>
            </w:pPr>
            <w:r/>
            <w:r>
              <w:rPr>
                <w:rFonts w:ascii="Calibri" w:hAnsi="Calibri"/>
                <w:b w:val="0"/>
                <w:sz w:val="19"/>
              </w:rPr>
              <w:t>ECL-1</w:t>
            </w:r>
          </w:p>
        </w:tc>
        <w:tc>
          <w:tcPr>
            <w:tcW w:type="dxa" w:w="2541"/>
            <w:vAlign w:val="top"/>
            <w:tcMar>
              <w:top w:w="70" w:type="dxa"/>
              <w:left w:w="80" w:type="dxa"/>
              <w:bottom w:w="70" w:type="dxa"/>
              <w:right w:w="80" w:type="dxa"/>
            </w:tcMar>
          </w:tcPr>
          <w:p>
            <w:pPr>
              <w:spacing w:after="0" w:line="240" w:lineRule="auto"/>
            </w:pPr>
            <w:r/>
            <w:r>
              <w:rPr>
                <w:rFonts w:ascii="Calibri" w:hAnsi="Calibri"/>
                <w:b w:val="0"/>
                <w:sz w:val="19"/>
              </w:rPr>
              <w:t>Documented</w:t>
            </w:r>
          </w:p>
        </w:tc>
        <w:tc>
          <w:tcPr>
            <w:tcW w:type="dxa" w:w="2541"/>
            <w:vAlign w:val="top"/>
            <w:tcMar>
              <w:top w:w="70" w:type="dxa"/>
              <w:left w:w="80" w:type="dxa"/>
              <w:bottom w:w="70" w:type="dxa"/>
              <w:right w:w="80" w:type="dxa"/>
            </w:tcMar>
          </w:tcPr>
          <w:p>
            <w:pPr>
              <w:spacing w:after="0" w:line="240" w:lineRule="auto"/>
            </w:pPr>
            <w:r/>
            <w:r>
              <w:rPr>
                <w:rFonts w:ascii="Calibri" w:hAnsi="Calibri"/>
                <w:b w:val="0"/>
                <w:sz w:val="19"/>
              </w:rPr>
              <w:t>Policy, procedure, screenshot, inventory export</w:t>
            </w:r>
          </w:p>
        </w:tc>
        <w:tc>
          <w:tcPr>
            <w:tcW w:type="dxa" w:w="2541"/>
            <w:vAlign w:val="top"/>
            <w:tcMar>
              <w:top w:w="70" w:type="dxa"/>
              <w:left w:w="80" w:type="dxa"/>
              <w:bottom w:w="70" w:type="dxa"/>
              <w:right w:w="80" w:type="dxa"/>
            </w:tcMar>
          </w:tcPr>
          <w:p>
            <w:pPr>
              <w:spacing w:after="0" w:line="240" w:lineRule="auto"/>
            </w:pPr>
            <w:r/>
            <w:r>
              <w:rPr>
                <w:rFonts w:ascii="Calibri" w:hAnsi="Calibri"/>
                <w:b w:val="0"/>
                <w:sz w:val="19"/>
              </w:rPr>
              <w:t>Supporting evidence; may satisfy low-risk governance claims.</w:t>
            </w:r>
          </w:p>
        </w:tc>
      </w:tr>
      <w:tr>
        <w:trPr>
          <w:cantSplit w:val="true"/>
        </w:trPr>
        <w:tc>
          <w:tcPr>
            <w:tcW w:type="dxa" w:w="2541"/>
            <w:vAlign w:val="top"/>
            <w:tcMar>
              <w:top w:w="70" w:type="dxa"/>
              <w:left w:w="80" w:type="dxa"/>
              <w:bottom w:w="70" w:type="dxa"/>
              <w:right w:w="80" w:type="dxa"/>
            </w:tcMar>
          </w:tcPr>
          <w:p>
            <w:pPr>
              <w:spacing w:after="0" w:line="240" w:lineRule="auto"/>
            </w:pPr>
            <w:r/>
            <w:r>
              <w:rPr>
                <w:rFonts w:ascii="Calibri" w:hAnsi="Calibri"/>
                <w:b w:val="0"/>
                <w:sz w:val="19"/>
              </w:rPr>
              <w:t>ECL-2</w:t>
            </w:r>
          </w:p>
        </w:tc>
        <w:tc>
          <w:tcPr>
            <w:tcW w:type="dxa" w:w="2541"/>
            <w:vAlign w:val="top"/>
            <w:tcMar>
              <w:top w:w="70" w:type="dxa"/>
              <w:left w:w="80" w:type="dxa"/>
              <w:bottom w:w="70" w:type="dxa"/>
              <w:right w:w="80" w:type="dxa"/>
            </w:tcMar>
          </w:tcPr>
          <w:p>
            <w:pPr>
              <w:spacing w:after="0" w:line="240" w:lineRule="auto"/>
            </w:pPr>
            <w:r/>
            <w:r>
              <w:rPr>
                <w:rFonts w:ascii="Calibri" w:hAnsi="Calibri"/>
                <w:b w:val="0"/>
                <w:sz w:val="19"/>
              </w:rPr>
              <w:t>Observed</w:t>
            </w:r>
          </w:p>
        </w:tc>
        <w:tc>
          <w:tcPr>
            <w:tcW w:type="dxa" w:w="2541"/>
            <w:vAlign w:val="top"/>
            <w:tcMar>
              <w:top w:w="70" w:type="dxa"/>
              <w:left w:w="80" w:type="dxa"/>
              <w:bottom w:w="70" w:type="dxa"/>
              <w:right w:w="80" w:type="dxa"/>
            </w:tcMar>
          </w:tcPr>
          <w:p>
            <w:pPr>
              <w:spacing w:after="0" w:line="240" w:lineRule="auto"/>
            </w:pPr>
            <w:r/>
            <w:r>
              <w:rPr>
                <w:rFonts w:ascii="Calibri" w:hAnsi="Calibri"/>
                <w:b w:val="0"/>
                <w:sz w:val="19"/>
              </w:rPr>
              <w:t>Assessor directly observes configuration or operation</w:t>
            </w:r>
          </w:p>
        </w:tc>
        <w:tc>
          <w:tcPr>
            <w:tcW w:type="dxa" w:w="2541"/>
            <w:vAlign w:val="top"/>
            <w:tcMar>
              <w:top w:w="70" w:type="dxa"/>
              <w:left w:w="80" w:type="dxa"/>
              <w:bottom w:w="70" w:type="dxa"/>
              <w:right w:w="80" w:type="dxa"/>
            </w:tcMar>
          </w:tcPr>
          <w:p>
            <w:pPr>
              <w:spacing w:after="0" w:line="240" w:lineRule="auto"/>
            </w:pPr>
            <w:r/>
            <w:r>
              <w:rPr>
                <w:rFonts w:ascii="Calibri" w:hAnsi="Calibri"/>
                <w:b w:val="0"/>
                <w:sz w:val="19"/>
              </w:rPr>
              <w:t>Moderate assurance; useful where API collection is unavailable.</w:t>
            </w:r>
          </w:p>
        </w:tc>
      </w:tr>
      <w:tr>
        <w:trPr>
          <w:cantSplit w:val="true"/>
        </w:trPr>
        <w:tc>
          <w:tcPr>
            <w:tcW w:type="dxa" w:w="2541"/>
            <w:vAlign w:val="top"/>
            <w:tcMar>
              <w:top w:w="70" w:type="dxa"/>
              <w:left w:w="80" w:type="dxa"/>
              <w:bottom w:w="70" w:type="dxa"/>
              <w:right w:w="80" w:type="dxa"/>
            </w:tcMar>
          </w:tcPr>
          <w:p>
            <w:pPr>
              <w:spacing w:after="0" w:line="240" w:lineRule="auto"/>
            </w:pPr>
            <w:r/>
            <w:r>
              <w:rPr>
                <w:rFonts w:ascii="Calibri" w:hAnsi="Calibri"/>
                <w:b w:val="0"/>
                <w:sz w:val="19"/>
              </w:rPr>
              <w:t>ECL-3</w:t>
            </w:r>
          </w:p>
        </w:tc>
        <w:tc>
          <w:tcPr>
            <w:tcW w:type="dxa" w:w="2541"/>
            <w:vAlign w:val="top"/>
            <w:tcMar>
              <w:top w:w="70" w:type="dxa"/>
              <w:left w:w="80" w:type="dxa"/>
              <w:bottom w:w="70" w:type="dxa"/>
              <w:right w:w="80" w:type="dxa"/>
            </w:tcMar>
          </w:tcPr>
          <w:p>
            <w:pPr>
              <w:spacing w:after="0" w:line="240" w:lineRule="auto"/>
            </w:pPr>
            <w:r/>
            <w:r>
              <w:rPr>
                <w:rFonts w:ascii="Calibri" w:hAnsi="Calibri"/>
                <w:b w:val="0"/>
                <w:sz w:val="19"/>
              </w:rPr>
              <w:t>Technically verified</w:t>
            </w:r>
          </w:p>
        </w:tc>
        <w:tc>
          <w:tcPr>
            <w:tcW w:type="dxa" w:w="2541"/>
            <w:vAlign w:val="top"/>
            <w:tcMar>
              <w:top w:w="70" w:type="dxa"/>
              <w:left w:w="80" w:type="dxa"/>
              <w:bottom w:w="70" w:type="dxa"/>
              <w:right w:w="80" w:type="dxa"/>
            </w:tcMar>
          </w:tcPr>
          <w:p>
            <w:pPr>
              <w:spacing w:after="0" w:line="240" w:lineRule="auto"/>
            </w:pPr>
            <w:r/>
            <w:r>
              <w:rPr>
                <w:rFonts w:ascii="Calibri" w:hAnsi="Calibri"/>
                <w:b w:val="0"/>
                <w:sz w:val="19"/>
              </w:rPr>
              <w:t>Read-only API, configuration export validation, technical test</w:t>
            </w:r>
          </w:p>
        </w:tc>
        <w:tc>
          <w:tcPr>
            <w:tcW w:type="dxa" w:w="2541"/>
            <w:vAlign w:val="top"/>
            <w:tcMar>
              <w:top w:w="70" w:type="dxa"/>
              <w:left w:w="80" w:type="dxa"/>
              <w:bottom w:w="70" w:type="dxa"/>
              <w:right w:w="80" w:type="dxa"/>
            </w:tcMar>
          </w:tcPr>
          <w:p>
            <w:pPr>
              <w:spacing w:after="0" w:line="240" w:lineRule="auto"/>
            </w:pPr>
            <w:r/>
            <w:r>
              <w:rPr>
                <w:rFonts w:ascii="Calibri" w:hAnsi="Calibri"/>
                <w:b w:val="0"/>
                <w:sz w:val="19"/>
              </w:rPr>
              <w:t>High-confidence underwriting evidence.</w:t>
            </w:r>
          </w:p>
        </w:tc>
      </w:tr>
      <w:tr>
        <w:trPr>
          <w:cantSplit w:val="true"/>
        </w:trPr>
        <w:tc>
          <w:tcPr>
            <w:tcW w:type="dxa" w:w="2541"/>
            <w:vAlign w:val="top"/>
            <w:tcMar>
              <w:top w:w="70" w:type="dxa"/>
              <w:left w:w="80" w:type="dxa"/>
              <w:bottom w:w="70" w:type="dxa"/>
              <w:right w:w="80" w:type="dxa"/>
            </w:tcMar>
          </w:tcPr>
          <w:p>
            <w:pPr>
              <w:spacing w:after="0" w:line="240" w:lineRule="auto"/>
            </w:pPr>
            <w:r/>
            <w:r>
              <w:rPr>
                <w:rFonts w:ascii="Calibri" w:hAnsi="Calibri"/>
                <w:b w:val="0"/>
                <w:sz w:val="19"/>
              </w:rPr>
              <w:t>ECL-4</w:t>
            </w:r>
          </w:p>
        </w:tc>
        <w:tc>
          <w:tcPr>
            <w:tcW w:type="dxa" w:w="2541"/>
            <w:vAlign w:val="top"/>
            <w:tcMar>
              <w:top w:w="70" w:type="dxa"/>
              <w:left w:w="80" w:type="dxa"/>
              <w:bottom w:w="70" w:type="dxa"/>
              <w:right w:w="80" w:type="dxa"/>
            </w:tcMar>
          </w:tcPr>
          <w:p>
            <w:pPr>
              <w:spacing w:after="0" w:line="240" w:lineRule="auto"/>
            </w:pPr>
            <w:r/>
            <w:r>
              <w:rPr>
                <w:rFonts w:ascii="Calibri" w:hAnsi="Calibri"/>
                <w:b w:val="0"/>
                <w:sz w:val="19"/>
              </w:rPr>
              <w:t>Operationally tested</w:t>
            </w:r>
          </w:p>
        </w:tc>
        <w:tc>
          <w:tcPr>
            <w:tcW w:type="dxa" w:w="2541"/>
            <w:vAlign w:val="top"/>
            <w:tcMar>
              <w:top w:w="70" w:type="dxa"/>
              <w:left w:w="80" w:type="dxa"/>
              <w:bottom w:w="70" w:type="dxa"/>
              <w:right w:w="80" w:type="dxa"/>
            </w:tcMar>
          </w:tcPr>
          <w:p>
            <w:pPr>
              <w:spacing w:after="0" w:line="240" w:lineRule="auto"/>
            </w:pPr>
            <w:r/>
            <w:r>
              <w:rPr>
                <w:rFonts w:ascii="Calibri" w:hAnsi="Calibri"/>
                <w:b w:val="0"/>
                <w:sz w:val="19"/>
              </w:rPr>
              <w:t>Restore test, tabletop, attack simulation, failover, control effectiveness test</w:t>
            </w:r>
          </w:p>
        </w:tc>
        <w:tc>
          <w:tcPr>
            <w:tcW w:type="dxa" w:w="2541"/>
            <w:vAlign w:val="top"/>
            <w:tcMar>
              <w:top w:w="70" w:type="dxa"/>
              <w:left w:w="80" w:type="dxa"/>
              <w:bottom w:w="70" w:type="dxa"/>
              <w:right w:w="80" w:type="dxa"/>
            </w:tcMar>
          </w:tcPr>
          <w:p>
            <w:pPr>
              <w:spacing w:after="0" w:line="240" w:lineRule="auto"/>
            </w:pPr>
            <w:r/>
            <w:r>
              <w:rPr>
                <w:rFonts w:ascii="Calibri" w:hAnsi="Calibri"/>
                <w:b w:val="0"/>
                <w:sz w:val="19"/>
              </w:rPr>
              <w:t>Strong evidence of real operating effectiveness.</w:t>
            </w:r>
          </w:p>
        </w:tc>
      </w:tr>
      <w:tr>
        <w:trPr>
          <w:cantSplit w:val="true"/>
        </w:trPr>
        <w:tc>
          <w:tcPr>
            <w:tcW w:type="dxa" w:w="2541"/>
            <w:vAlign w:val="top"/>
            <w:tcMar>
              <w:top w:w="70" w:type="dxa"/>
              <w:left w:w="80" w:type="dxa"/>
              <w:bottom w:w="70" w:type="dxa"/>
              <w:right w:w="80" w:type="dxa"/>
            </w:tcMar>
          </w:tcPr>
          <w:p>
            <w:pPr>
              <w:spacing w:after="0" w:line="240" w:lineRule="auto"/>
            </w:pPr>
            <w:r/>
            <w:r>
              <w:rPr>
                <w:rFonts w:ascii="Calibri" w:hAnsi="Calibri"/>
                <w:b w:val="0"/>
                <w:sz w:val="19"/>
              </w:rPr>
              <w:t>ECL-5</w:t>
            </w:r>
          </w:p>
        </w:tc>
        <w:tc>
          <w:tcPr>
            <w:tcW w:type="dxa" w:w="2541"/>
            <w:vAlign w:val="top"/>
            <w:tcMar>
              <w:top w:w="70" w:type="dxa"/>
              <w:left w:w="80" w:type="dxa"/>
              <w:bottom w:w="70" w:type="dxa"/>
              <w:right w:w="80" w:type="dxa"/>
            </w:tcMar>
          </w:tcPr>
          <w:p>
            <w:pPr>
              <w:spacing w:after="0" w:line="240" w:lineRule="auto"/>
            </w:pPr>
            <w:r/>
            <w:r>
              <w:rPr>
                <w:rFonts w:ascii="Calibri" w:hAnsi="Calibri"/>
                <w:b w:val="0"/>
                <w:sz w:val="19"/>
              </w:rPr>
              <w:t>Continuously verified</w:t>
            </w:r>
          </w:p>
        </w:tc>
        <w:tc>
          <w:tcPr>
            <w:tcW w:type="dxa" w:w="2541"/>
            <w:vAlign w:val="top"/>
            <w:tcMar>
              <w:top w:w="70" w:type="dxa"/>
              <w:left w:w="80" w:type="dxa"/>
              <w:bottom w:w="70" w:type="dxa"/>
              <w:right w:w="80" w:type="dxa"/>
            </w:tcMar>
          </w:tcPr>
          <w:p>
            <w:pPr>
              <w:spacing w:after="0" w:line="240" w:lineRule="auto"/>
            </w:pPr>
            <w:r/>
            <w:r>
              <w:rPr>
                <w:rFonts w:ascii="Calibri" w:hAnsi="Calibri"/>
                <w:b w:val="0"/>
                <w:sz w:val="19"/>
              </w:rPr>
              <w:t>Automated/recurrent validation with drift detection and evidence history</w:t>
            </w:r>
          </w:p>
        </w:tc>
        <w:tc>
          <w:tcPr>
            <w:tcW w:type="dxa" w:w="2541"/>
            <w:vAlign w:val="top"/>
            <w:tcMar>
              <w:top w:w="70" w:type="dxa"/>
              <w:left w:w="80" w:type="dxa"/>
              <w:bottom w:w="70" w:type="dxa"/>
              <w:right w:w="80" w:type="dxa"/>
            </w:tcMar>
          </w:tcPr>
          <w:p>
            <w:pPr>
              <w:spacing w:after="0" w:line="240" w:lineRule="auto"/>
            </w:pPr>
            <w:r/>
            <w:r>
              <w:rPr>
                <w:rFonts w:ascii="Calibri" w:hAnsi="Calibri"/>
                <w:b w:val="0"/>
                <w:sz w:val="19"/>
              </w:rPr>
              <w:t>Highest confidence for dynamic controls; basis of continuous passport claims.</w:t>
            </w:r>
          </w:p>
        </w:tc>
      </w:tr>
    </w:tbl>
    <w:p>
      <w:pPr>
        <w:spacing w:after="40"/>
      </w:pPr>
    </w:p>
    <w:p>
      <w:pPr>
        <w:spacing w:after="80" w:line="259" w:lineRule="auto"/>
      </w:pPr>
      <w:r>
        <w:rPr>
          <w:rFonts w:ascii="Calibri" w:hAnsi="Calibri"/>
          <w:sz w:val="21"/>
        </w:rPr>
        <w:t>Every carrier profile should be able to specify the minimum acceptable ECL and maximum evidence age for a control. Example: privileged MFA may require ECL-3 with evidence no older than 24 hours; incident response tabletop evidence may remain valid for 12 months.</w:t>
      </w:r>
    </w:p>
    <w:p>
      <w:pPr>
        <w:pStyle w:val="Heading2"/>
        <w:keepNext/>
        <w:spacing w:before="100" w:after="80"/>
      </w:pPr>
      <w:r>
        <w:rPr>
          <w:rFonts w:ascii="Calibri" w:hAnsi="Calibri"/>
          <w:b/>
          <w:color w:val="1F4E79"/>
          <w:sz w:val="25"/>
        </w:rPr>
        <w:t>5.5 Canonical Control Graph</w:t>
      </w:r>
    </w:p>
    <w:p>
      <w:pPr>
        <w:spacing w:after="80" w:line="259" w:lineRule="auto"/>
      </w:pPr>
      <w:r>
        <w:rPr>
          <w:rFonts w:ascii="Calibri" w:hAnsi="Calibri"/>
          <w:sz w:val="21"/>
        </w:rPr>
        <w:t>The canonical control model is central to evidence portability. A control must describe a stable security outcome rather than copy a carrier questionnaire. Example: LS-ID-101 “Privileged authentication is protected by approved strong MFA across all in-scope administrative access paths.” That single control can be mapped to multiple questionnaires and carrier profiles.</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val="true"/>
        </w:trPr>
        <w:tc>
          <w:tcPr>
            <w:tcW w:type="dxa" w:w="5083"/>
            <w:vAlign w:val="top"/>
            <w:shd w:fill="D9EAF7"/>
            <w:tcMar>
              <w:top w:w="70" w:type="dxa"/>
              <w:left w:w="80" w:type="dxa"/>
              <w:bottom w:w="70" w:type="dxa"/>
              <w:right w:w="80" w:type="dxa"/>
            </w:tcMar>
          </w:tcPr>
          <w:p>
            <w:pPr>
              <w:spacing w:after="0" w:line="240" w:lineRule="auto"/>
            </w:pPr>
            <w:r/>
            <w:r>
              <w:rPr>
                <w:rFonts w:ascii="Calibri" w:hAnsi="Calibri"/>
                <w:b/>
                <w:sz w:val="19"/>
              </w:rPr>
              <w:t>Entity</w:t>
            </w:r>
          </w:p>
        </w:tc>
        <w:tc>
          <w:tcPr>
            <w:tcW w:type="dxa" w:w="5083"/>
            <w:vAlign w:val="top"/>
            <w:shd w:fill="D9EAF7"/>
            <w:tcMar>
              <w:top w:w="70" w:type="dxa"/>
              <w:left w:w="80" w:type="dxa"/>
              <w:bottom w:w="70" w:type="dxa"/>
              <w:right w:w="80" w:type="dxa"/>
            </w:tcMar>
          </w:tcPr>
          <w:p>
            <w:pPr>
              <w:spacing w:after="0" w:line="240" w:lineRule="auto"/>
            </w:pPr>
            <w:r/>
            <w:r>
              <w:rPr>
                <w:rFonts w:ascii="Calibri" w:hAnsi="Calibri"/>
                <w:b/>
                <w:sz w:val="19"/>
              </w:rPr>
              <w:t>Key Fields</w:t>
            </w:r>
          </w:p>
        </w:tc>
      </w:tr>
      <w:tr>
        <w:trPr>
          <w:cantSplit w:val="true"/>
        </w:trPr>
        <w:tc>
          <w:tcPr>
            <w:tcW w:type="dxa" w:w="5083"/>
            <w:vAlign w:val="top"/>
            <w:tcMar>
              <w:top w:w="70" w:type="dxa"/>
              <w:left w:w="80" w:type="dxa"/>
              <w:bottom w:w="70" w:type="dxa"/>
              <w:right w:w="80" w:type="dxa"/>
            </w:tcMar>
          </w:tcPr>
          <w:p>
            <w:pPr>
              <w:spacing w:after="0" w:line="240" w:lineRule="auto"/>
            </w:pPr>
            <w:r/>
            <w:r>
              <w:rPr>
                <w:rFonts w:ascii="Calibri" w:hAnsi="Calibri"/>
                <w:b w:val="0"/>
                <w:sz w:val="19"/>
              </w:rPr>
              <w:t>Control</w:t>
            </w:r>
          </w:p>
        </w:tc>
        <w:tc>
          <w:tcPr>
            <w:tcW w:type="dxa" w:w="5083"/>
            <w:vAlign w:val="top"/>
            <w:tcMar>
              <w:top w:w="70" w:type="dxa"/>
              <w:left w:w="80" w:type="dxa"/>
              <w:bottom w:w="70" w:type="dxa"/>
              <w:right w:w="80" w:type="dxa"/>
            </w:tcMar>
          </w:tcPr>
          <w:p>
            <w:pPr>
              <w:spacing w:after="0" w:line="240" w:lineRule="auto"/>
            </w:pPr>
            <w:r/>
            <w:r>
              <w:rPr>
                <w:rFonts w:ascii="Calibri" w:hAnsi="Calibri"/>
                <w:b w:val="0"/>
                <w:sz w:val="19"/>
              </w:rPr>
              <w:t>Control ID, title, objective, implementation guidance, test procedure, severity, evidence types, dependencies.</w:t>
            </w:r>
          </w:p>
        </w:tc>
      </w:tr>
      <w:tr>
        <w:trPr>
          <w:cantSplit w:val="true"/>
        </w:trPr>
        <w:tc>
          <w:tcPr>
            <w:tcW w:type="dxa" w:w="5083"/>
            <w:vAlign w:val="top"/>
            <w:tcMar>
              <w:top w:w="70" w:type="dxa"/>
              <w:left w:w="80" w:type="dxa"/>
              <w:bottom w:w="70" w:type="dxa"/>
              <w:right w:w="80" w:type="dxa"/>
            </w:tcMar>
          </w:tcPr>
          <w:p>
            <w:pPr>
              <w:spacing w:after="0" w:line="240" w:lineRule="auto"/>
            </w:pPr>
            <w:r/>
            <w:r>
              <w:rPr>
                <w:rFonts w:ascii="Calibri" w:hAnsi="Calibri"/>
                <w:b w:val="0"/>
                <w:sz w:val="19"/>
              </w:rPr>
              <w:t>Asset / Scope</w:t>
            </w:r>
          </w:p>
        </w:tc>
        <w:tc>
          <w:tcPr>
            <w:tcW w:type="dxa" w:w="5083"/>
            <w:vAlign w:val="top"/>
            <w:tcMar>
              <w:top w:w="70" w:type="dxa"/>
              <w:left w:w="80" w:type="dxa"/>
              <w:bottom w:w="70" w:type="dxa"/>
              <w:right w:w="80" w:type="dxa"/>
            </w:tcMar>
          </w:tcPr>
          <w:p>
            <w:pPr>
              <w:spacing w:after="0" w:line="240" w:lineRule="auto"/>
            </w:pPr>
            <w:r/>
            <w:r>
              <w:rPr>
                <w:rFonts w:ascii="Calibri" w:hAnsi="Calibri"/>
                <w:b w:val="0"/>
                <w:sz w:val="19"/>
              </w:rPr>
              <w:t>Asset ID, scope ID, legal entity, business criticality, environment, data classification.</w:t>
            </w:r>
          </w:p>
        </w:tc>
      </w:tr>
      <w:tr>
        <w:trPr>
          <w:cantSplit w:val="true"/>
        </w:trPr>
        <w:tc>
          <w:tcPr>
            <w:tcW w:type="dxa" w:w="5083"/>
            <w:vAlign w:val="top"/>
            <w:tcMar>
              <w:top w:w="70" w:type="dxa"/>
              <w:left w:w="80" w:type="dxa"/>
              <w:bottom w:w="70" w:type="dxa"/>
              <w:right w:w="80" w:type="dxa"/>
            </w:tcMar>
          </w:tcPr>
          <w:p>
            <w:pPr>
              <w:spacing w:after="0" w:line="240" w:lineRule="auto"/>
            </w:pPr>
            <w:r/>
            <w:r>
              <w:rPr>
                <w:rFonts w:ascii="Calibri" w:hAnsi="Calibri"/>
                <w:b w:val="0"/>
                <w:sz w:val="19"/>
              </w:rPr>
              <w:t>Evidence</w:t>
            </w:r>
          </w:p>
        </w:tc>
        <w:tc>
          <w:tcPr>
            <w:tcW w:type="dxa" w:w="5083"/>
            <w:vAlign w:val="top"/>
            <w:tcMar>
              <w:top w:w="70" w:type="dxa"/>
              <w:left w:w="80" w:type="dxa"/>
              <w:bottom w:w="70" w:type="dxa"/>
              <w:right w:w="80" w:type="dxa"/>
            </w:tcMar>
          </w:tcPr>
          <w:p>
            <w:pPr>
              <w:spacing w:after="0" w:line="240" w:lineRule="auto"/>
            </w:pPr>
            <w:r/>
            <w:r>
              <w:rPr>
                <w:rFonts w:ascii="Calibri" w:hAnsi="Calibri"/>
                <w:b w:val="0"/>
                <w:sz w:val="19"/>
              </w:rPr>
              <w:t>Evidence ID, source, collector, timestamp, hash, raw-object location, classification, retention.</w:t>
            </w:r>
          </w:p>
        </w:tc>
      </w:tr>
      <w:tr>
        <w:trPr>
          <w:cantSplit w:val="true"/>
        </w:trPr>
        <w:tc>
          <w:tcPr>
            <w:tcW w:type="dxa" w:w="5083"/>
            <w:vAlign w:val="top"/>
            <w:tcMar>
              <w:top w:w="70" w:type="dxa"/>
              <w:left w:w="80" w:type="dxa"/>
              <w:bottom w:w="70" w:type="dxa"/>
              <w:right w:w="80" w:type="dxa"/>
            </w:tcMar>
          </w:tcPr>
          <w:p>
            <w:pPr>
              <w:spacing w:after="0" w:line="240" w:lineRule="auto"/>
            </w:pPr>
            <w:r/>
            <w:r>
              <w:rPr>
                <w:rFonts w:ascii="Calibri" w:hAnsi="Calibri"/>
                <w:b w:val="0"/>
                <w:sz w:val="19"/>
              </w:rPr>
              <w:t>Verification</w:t>
            </w:r>
          </w:p>
        </w:tc>
        <w:tc>
          <w:tcPr>
            <w:tcW w:type="dxa" w:w="5083"/>
            <w:vAlign w:val="top"/>
            <w:tcMar>
              <w:top w:w="70" w:type="dxa"/>
              <w:left w:w="80" w:type="dxa"/>
              <w:bottom w:w="70" w:type="dxa"/>
              <w:right w:w="80" w:type="dxa"/>
            </w:tcMar>
          </w:tcPr>
          <w:p>
            <w:pPr>
              <w:spacing w:after="0" w:line="240" w:lineRule="auto"/>
            </w:pPr>
            <w:r/>
            <w:r>
              <w:rPr>
                <w:rFonts w:ascii="Calibri" w:hAnsi="Calibri"/>
                <w:b w:val="0"/>
                <w:sz w:val="19"/>
              </w:rPr>
              <w:t>Verifier, procedure version, ECL, effectiveness, exceptions, compensating controls, decision date.</w:t>
            </w:r>
          </w:p>
        </w:tc>
      </w:tr>
      <w:tr>
        <w:trPr>
          <w:cantSplit w:val="true"/>
        </w:trPr>
        <w:tc>
          <w:tcPr>
            <w:tcW w:type="dxa" w:w="5083"/>
            <w:vAlign w:val="top"/>
            <w:tcMar>
              <w:top w:w="70" w:type="dxa"/>
              <w:left w:w="80" w:type="dxa"/>
              <w:bottom w:w="70" w:type="dxa"/>
              <w:right w:w="80" w:type="dxa"/>
            </w:tcMar>
          </w:tcPr>
          <w:p>
            <w:pPr>
              <w:spacing w:after="0" w:line="240" w:lineRule="auto"/>
            </w:pPr>
            <w:r/>
            <w:r>
              <w:rPr>
                <w:rFonts w:ascii="Calibri" w:hAnsi="Calibri"/>
                <w:b w:val="0"/>
                <w:sz w:val="19"/>
              </w:rPr>
              <w:t>Assurance Claim</w:t>
            </w:r>
          </w:p>
        </w:tc>
        <w:tc>
          <w:tcPr>
            <w:tcW w:type="dxa" w:w="5083"/>
            <w:vAlign w:val="top"/>
            <w:tcMar>
              <w:top w:w="70" w:type="dxa"/>
              <w:left w:w="80" w:type="dxa"/>
              <w:bottom w:w="70" w:type="dxa"/>
              <w:right w:w="80" w:type="dxa"/>
            </w:tcMar>
          </w:tcPr>
          <w:p>
            <w:pPr>
              <w:spacing w:after="0" w:line="240" w:lineRule="auto"/>
            </w:pPr>
            <w:r/>
            <w:r>
              <w:rPr>
                <w:rFonts w:ascii="Calibri" w:hAnsi="Calibri"/>
                <w:b w:val="0"/>
                <w:sz w:val="19"/>
              </w:rPr>
              <w:t>Claim ID, control ID, scope, status, ECL, valid-from, valid-until, signature, revocation status.</w:t>
            </w:r>
          </w:p>
        </w:tc>
      </w:tr>
      <w:tr>
        <w:trPr>
          <w:cantSplit w:val="true"/>
        </w:trPr>
        <w:tc>
          <w:tcPr>
            <w:tcW w:type="dxa" w:w="5083"/>
            <w:vAlign w:val="top"/>
            <w:tcMar>
              <w:top w:w="70" w:type="dxa"/>
              <w:left w:w="80" w:type="dxa"/>
              <w:bottom w:w="70" w:type="dxa"/>
              <w:right w:w="80" w:type="dxa"/>
            </w:tcMar>
          </w:tcPr>
          <w:p>
            <w:pPr>
              <w:spacing w:after="0" w:line="240" w:lineRule="auto"/>
            </w:pPr>
            <w:r/>
            <w:r>
              <w:rPr>
                <w:rFonts w:ascii="Calibri" w:hAnsi="Calibri"/>
                <w:b w:val="0"/>
                <w:sz w:val="19"/>
              </w:rPr>
              <w:t>Carrier Requirement</w:t>
            </w:r>
          </w:p>
        </w:tc>
        <w:tc>
          <w:tcPr>
            <w:tcW w:type="dxa" w:w="5083"/>
            <w:vAlign w:val="top"/>
            <w:tcMar>
              <w:top w:w="70" w:type="dxa"/>
              <w:left w:w="80" w:type="dxa"/>
              <w:bottom w:w="70" w:type="dxa"/>
              <w:right w:w="80" w:type="dxa"/>
            </w:tcMar>
          </w:tcPr>
          <w:p>
            <w:pPr>
              <w:spacing w:after="0" w:line="240" w:lineRule="auto"/>
            </w:pPr>
            <w:r/>
            <w:r>
              <w:rPr>
                <w:rFonts w:ascii="Calibri" w:hAnsi="Calibri"/>
                <w:b w:val="0"/>
                <w:sz w:val="19"/>
              </w:rPr>
              <w:t>Partner ID, requirement ID, mapped controls, thresholds, minimum ECL, freshness, exceptions, confidentiality.</w:t>
            </w:r>
          </w:p>
        </w:tc>
      </w:tr>
      <w:tr>
        <w:trPr>
          <w:cantSplit w:val="true"/>
        </w:trPr>
        <w:tc>
          <w:tcPr>
            <w:tcW w:type="dxa" w:w="5083"/>
            <w:vAlign w:val="top"/>
            <w:tcMar>
              <w:top w:w="70" w:type="dxa"/>
              <w:left w:w="80" w:type="dxa"/>
              <w:bottom w:w="70" w:type="dxa"/>
              <w:right w:w="80" w:type="dxa"/>
            </w:tcMar>
          </w:tcPr>
          <w:p>
            <w:pPr>
              <w:spacing w:after="0" w:line="240" w:lineRule="auto"/>
            </w:pPr>
            <w:r/>
            <w:r>
              <w:rPr>
                <w:rFonts w:ascii="Calibri" w:hAnsi="Calibri"/>
                <w:b w:val="0"/>
                <w:sz w:val="19"/>
              </w:rPr>
              <w:t>Outcome</w:t>
            </w:r>
          </w:p>
        </w:tc>
        <w:tc>
          <w:tcPr>
            <w:tcW w:type="dxa" w:w="5083"/>
            <w:vAlign w:val="top"/>
            <w:tcMar>
              <w:top w:w="70" w:type="dxa"/>
              <w:left w:w="80" w:type="dxa"/>
              <w:bottom w:w="70" w:type="dxa"/>
              <w:right w:w="80" w:type="dxa"/>
            </w:tcMar>
          </w:tcPr>
          <w:p>
            <w:pPr>
              <w:spacing w:after="0" w:line="240" w:lineRule="auto"/>
            </w:pPr>
            <w:r/>
            <w:r>
              <w:rPr>
                <w:rFonts w:ascii="Calibri" w:hAnsi="Calibri"/>
                <w:b w:val="0"/>
                <w:sz w:val="19"/>
              </w:rPr>
              <w:t>Carrier, submission date, quote/decline, terms, premium, retention, limit, exclusions, claim/loss data where permitted.</w:t>
            </w:r>
          </w:p>
        </w:tc>
      </w:tr>
    </w:tbl>
    <w:p>
      <w:pPr>
        <w:spacing w:after="40"/>
      </w:pPr>
    </w:p>
    <w:p>
      <w:pPr>
        <w:pStyle w:val="Heading2"/>
        <w:keepNext/>
        <w:spacing w:before="100" w:after="80"/>
      </w:pPr>
      <w:r>
        <w:rPr>
          <w:rFonts w:ascii="Calibri" w:hAnsi="Calibri"/>
          <w:b/>
          <w:color w:val="1F4E79"/>
          <w:sz w:val="25"/>
        </w:rPr>
        <w:t>5.6 Underwriting Requirements Graph</w:t>
      </w:r>
    </w:p>
    <w:p>
      <w:pPr>
        <w:spacing w:after="80" w:line="259" w:lineRule="auto"/>
      </w:pPr>
      <w:r>
        <w:rPr>
          <w:rFonts w:ascii="Calibri" w:hAnsi="Calibri"/>
          <w:sz w:val="21"/>
        </w:rPr>
        <w:t>The underwriting graph should remain one of Laurelshield’s highest-value trade secrets. It maps carrier or broker requirements to canonical controls, minimum evidence quality, evidence freshness, acceptable compensating controls, and industry/size overlays. The graph must be maintained only from lawfully obtained information: public applications, customer-authorized documents, partner-provided confidential rules under contract, and validated underwriter feedback.</w:t>
      </w:r>
    </w:p>
    <w:p>
      <w:pPr>
        <w:spacing w:after="80" w:line="259" w:lineRule="auto"/>
      </w:pPr>
      <w:r>
        <w:rPr>
          <w:rFonts w:ascii="Calibri" w:hAnsi="Calibri"/>
          <w:sz w:val="21"/>
        </w:rPr>
        <w:t>The product must never imply that private carrier underwriting rules are “universal requirements.” Each mapping should have provenance, owner, effective date, version, and permitted use. Carrier-confidential mappings should be logically and contractually segregated from competitor-accessible data.</w:t>
      </w:r>
    </w:p>
    <w:p>
      <w:pPr>
        <w:pStyle w:val="Heading2"/>
        <w:keepNext/>
        <w:spacing w:before="100" w:after="80"/>
      </w:pPr>
      <w:r>
        <w:rPr>
          <w:rFonts w:ascii="Calibri" w:hAnsi="Calibri"/>
          <w:b/>
          <w:color w:val="1F4E79"/>
          <w:sz w:val="25"/>
        </w:rPr>
        <w:t>5.7 Cyber Risk Passport structure</w:t>
      </w:r>
    </w:p>
    <w:p>
      <w:pPr>
        <w:spacing w:after="80" w:line="259" w:lineRule="auto"/>
      </w:pPr>
      <w:r>
        <w:rPr>
          <w:rFonts w:ascii="Calibri" w:hAnsi="Calibri"/>
          <w:sz w:val="21"/>
        </w:rPr>
        <w:t>The passport should be an evidence credential rather than a static PDF. A human-readable PDF can be generated, but the authoritative record should be a signed digital object with revocation and freshness logic.</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val="true"/>
        </w:trPr>
        <w:tc>
          <w:tcPr>
            <w:tcW w:type="dxa" w:w="5083"/>
            <w:vAlign w:val="top"/>
            <w:shd w:fill="D9EAF7"/>
            <w:tcMar>
              <w:top w:w="70" w:type="dxa"/>
              <w:left w:w="80" w:type="dxa"/>
              <w:bottom w:w="70" w:type="dxa"/>
              <w:right w:w="80" w:type="dxa"/>
            </w:tcMar>
          </w:tcPr>
          <w:p>
            <w:pPr>
              <w:spacing w:after="0" w:line="240" w:lineRule="auto"/>
            </w:pPr>
            <w:r/>
            <w:r>
              <w:rPr>
                <w:rFonts w:ascii="Calibri" w:hAnsi="Calibri"/>
                <w:b/>
                <w:sz w:val="19"/>
              </w:rPr>
              <w:t>Passport Field</w:t>
            </w:r>
          </w:p>
        </w:tc>
        <w:tc>
          <w:tcPr>
            <w:tcW w:type="dxa" w:w="5083"/>
            <w:vAlign w:val="top"/>
            <w:shd w:fill="D9EAF7"/>
            <w:tcMar>
              <w:top w:w="70" w:type="dxa"/>
              <w:left w:w="80" w:type="dxa"/>
              <w:bottom w:w="70" w:type="dxa"/>
              <w:right w:w="80" w:type="dxa"/>
            </w:tcMar>
          </w:tcPr>
          <w:p>
            <w:pPr>
              <w:spacing w:after="0" w:line="240" w:lineRule="auto"/>
            </w:pPr>
            <w:r/>
            <w:r>
              <w:rPr>
                <w:rFonts w:ascii="Calibri" w:hAnsi="Calibri"/>
                <w:b/>
                <w:sz w:val="19"/>
              </w:rPr>
              <w:t>Example</w:t>
            </w:r>
          </w:p>
        </w:tc>
      </w:tr>
      <w:tr>
        <w:trPr>
          <w:cantSplit w:val="true"/>
        </w:trPr>
        <w:tc>
          <w:tcPr>
            <w:tcW w:type="dxa" w:w="5083"/>
            <w:vAlign w:val="top"/>
            <w:tcMar>
              <w:top w:w="70" w:type="dxa"/>
              <w:left w:w="80" w:type="dxa"/>
              <w:bottom w:w="70" w:type="dxa"/>
              <w:right w:w="80" w:type="dxa"/>
            </w:tcMar>
          </w:tcPr>
          <w:p>
            <w:pPr>
              <w:spacing w:after="0" w:line="240" w:lineRule="auto"/>
            </w:pPr>
            <w:r/>
            <w:r>
              <w:rPr>
                <w:rFonts w:ascii="Calibri" w:hAnsi="Calibri"/>
                <w:b w:val="0"/>
                <w:sz w:val="19"/>
              </w:rPr>
              <w:t>Passport ID</w:t>
            </w:r>
          </w:p>
        </w:tc>
        <w:tc>
          <w:tcPr>
            <w:tcW w:type="dxa" w:w="5083"/>
            <w:vAlign w:val="top"/>
            <w:tcMar>
              <w:top w:w="70" w:type="dxa"/>
              <w:left w:w="80" w:type="dxa"/>
              <w:bottom w:w="70" w:type="dxa"/>
              <w:right w:w="80" w:type="dxa"/>
            </w:tcMar>
          </w:tcPr>
          <w:p>
            <w:pPr>
              <w:spacing w:after="0" w:line="240" w:lineRule="auto"/>
            </w:pPr>
            <w:r/>
            <w:r>
              <w:rPr>
                <w:rFonts w:ascii="Calibri" w:hAnsi="Calibri"/>
                <w:b w:val="0"/>
                <w:sz w:val="19"/>
              </w:rPr>
              <w:t>LS-CRP-CA-000184</w:t>
            </w:r>
          </w:p>
        </w:tc>
      </w:tr>
      <w:tr>
        <w:trPr>
          <w:cantSplit w:val="true"/>
        </w:trPr>
        <w:tc>
          <w:tcPr>
            <w:tcW w:type="dxa" w:w="5083"/>
            <w:vAlign w:val="top"/>
            <w:tcMar>
              <w:top w:w="70" w:type="dxa"/>
              <w:left w:w="80" w:type="dxa"/>
              <w:bottom w:w="70" w:type="dxa"/>
              <w:right w:w="80" w:type="dxa"/>
            </w:tcMar>
          </w:tcPr>
          <w:p>
            <w:pPr>
              <w:spacing w:after="0" w:line="240" w:lineRule="auto"/>
            </w:pPr>
            <w:r/>
            <w:r>
              <w:rPr>
                <w:rFonts w:ascii="Calibri" w:hAnsi="Calibri"/>
                <w:b w:val="0"/>
                <w:sz w:val="19"/>
              </w:rPr>
              <w:t>Organization / Scope</w:t>
            </w:r>
          </w:p>
        </w:tc>
        <w:tc>
          <w:tcPr>
            <w:tcW w:type="dxa" w:w="5083"/>
            <w:vAlign w:val="top"/>
            <w:tcMar>
              <w:top w:w="70" w:type="dxa"/>
              <w:left w:w="80" w:type="dxa"/>
              <w:bottom w:w="70" w:type="dxa"/>
              <w:right w:w="80" w:type="dxa"/>
            </w:tcMar>
          </w:tcPr>
          <w:p>
            <w:pPr>
              <w:spacing w:after="0" w:line="240" w:lineRule="auto"/>
            </w:pPr>
            <w:r/>
            <w:r>
              <w:rPr>
                <w:rFonts w:ascii="Calibri" w:hAnsi="Calibri"/>
                <w:b w:val="0"/>
                <w:sz w:val="19"/>
              </w:rPr>
              <w:t>ABC Manufacturing Ltd. — Canadian operating entity and defined IT environment</w:t>
            </w:r>
          </w:p>
        </w:tc>
      </w:tr>
      <w:tr>
        <w:trPr>
          <w:cantSplit w:val="true"/>
        </w:trPr>
        <w:tc>
          <w:tcPr>
            <w:tcW w:type="dxa" w:w="5083"/>
            <w:vAlign w:val="top"/>
            <w:tcMar>
              <w:top w:w="70" w:type="dxa"/>
              <w:left w:w="80" w:type="dxa"/>
              <w:bottom w:w="70" w:type="dxa"/>
              <w:right w:w="80" w:type="dxa"/>
            </w:tcMar>
          </w:tcPr>
          <w:p>
            <w:pPr>
              <w:spacing w:after="0" w:line="240" w:lineRule="auto"/>
            </w:pPr>
            <w:r/>
            <w:r>
              <w:rPr>
                <w:rFonts w:ascii="Calibri" w:hAnsi="Calibri"/>
                <w:b w:val="0"/>
                <w:sz w:val="19"/>
              </w:rPr>
              <w:t>Status</w:t>
            </w:r>
          </w:p>
        </w:tc>
        <w:tc>
          <w:tcPr>
            <w:tcW w:type="dxa" w:w="5083"/>
            <w:vAlign w:val="top"/>
            <w:tcMar>
              <w:top w:w="70" w:type="dxa"/>
              <w:left w:w="80" w:type="dxa"/>
              <w:bottom w:w="70" w:type="dxa"/>
              <w:right w:w="80" w:type="dxa"/>
            </w:tcMar>
          </w:tcPr>
          <w:p>
            <w:pPr>
              <w:spacing w:after="0" w:line="240" w:lineRule="auto"/>
            </w:pPr>
            <w:r/>
            <w:r>
              <w:rPr>
                <w:rFonts w:ascii="Calibri" w:hAnsi="Calibri"/>
                <w:b w:val="0"/>
                <w:sz w:val="19"/>
              </w:rPr>
              <w:t>VERIFIED / CONDITIONAL / EXPIRED / REVOKED</w:t>
            </w:r>
          </w:p>
        </w:tc>
      </w:tr>
      <w:tr>
        <w:trPr>
          <w:cantSplit w:val="true"/>
        </w:trPr>
        <w:tc>
          <w:tcPr>
            <w:tcW w:type="dxa" w:w="5083"/>
            <w:vAlign w:val="top"/>
            <w:tcMar>
              <w:top w:w="70" w:type="dxa"/>
              <w:left w:w="80" w:type="dxa"/>
              <w:bottom w:w="70" w:type="dxa"/>
              <w:right w:w="80" w:type="dxa"/>
            </w:tcMar>
          </w:tcPr>
          <w:p>
            <w:pPr>
              <w:spacing w:after="0" w:line="240" w:lineRule="auto"/>
            </w:pPr>
            <w:r/>
            <w:r>
              <w:rPr>
                <w:rFonts w:ascii="Calibri" w:hAnsi="Calibri"/>
                <w:b w:val="0"/>
                <w:sz w:val="19"/>
              </w:rPr>
              <w:t>Verified Controls</w:t>
            </w:r>
          </w:p>
        </w:tc>
        <w:tc>
          <w:tcPr>
            <w:tcW w:type="dxa" w:w="5083"/>
            <w:vAlign w:val="top"/>
            <w:tcMar>
              <w:top w:w="70" w:type="dxa"/>
              <w:left w:w="80" w:type="dxa"/>
              <w:bottom w:w="70" w:type="dxa"/>
              <w:right w:w="80" w:type="dxa"/>
            </w:tcMar>
          </w:tcPr>
          <w:p>
            <w:pPr>
              <w:spacing w:after="0" w:line="240" w:lineRule="auto"/>
            </w:pPr>
            <w:r/>
            <w:r>
              <w:rPr>
                <w:rFonts w:ascii="Calibri" w:hAnsi="Calibri"/>
                <w:b w:val="0"/>
                <w:sz w:val="19"/>
              </w:rPr>
              <w:t>47 of 50 applicable controls</w:t>
            </w:r>
          </w:p>
        </w:tc>
      </w:tr>
      <w:tr>
        <w:trPr>
          <w:cantSplit w:val="true"/>
        </w:trPr>
        <w:tc>
          <w:tcPr>
            <w:tcW w:type="dxa" w:w="5083"/>
            <w:vAlign w:val="top"/>
            <w:tcMar>
              <w:top w:w="70" w:type="dxa"/>
              <w:left w:w="80" w:type="dxa"/>
              <w:bottom w:w="70" w:type="dxa"/>
              <w:right w:w="80" w:type="dxa"/>
            </w:tcMar>
          </w:tcPr>
          <w:p>
            <w:pPr>
              <w:spacing w:after="0" w:line="240" w:lineRule="auto"/>
            </w:pPr>
            <w:r/>
            <w:r>
              <w:rPr>
                <w:rFonts w:ascii="Calibri" w:hAnsi="Calibri"/>
                <w:b w:val="0"/>
                <w:sz w:val="19"/>
              </w:rPr>
              <w:t>Evidence Confidence</w:t>
            </w:r>
          </w:p>
        </w:tc>
        <w:tc>
          <w:tcPr>
            <w:tcW w:type="dxa" w:w="5083"/>
            <w:vAlign w:val="top"/>
            <w:tcMar>
              <w:top w:w="70" w:type="dxa"/>
              <w:left w:w="80" w:type="dxa"/>
              <w:bottom w:w="70" w:type="dxa"/>
              <w:right w:w="80" w:type="dxa"/>
            </w:tcMar>
          </w:tcPr>
          <w:p>
            <w:pPr>
              <w:spacing w:after="0" w:line="240" w:lineRule="auto"/>
            </w:pPr>
            <w:r/>
            <w:r>
              <w:rPr>
                <w:rFonts w:ascii="Calibri" w:hAnsi="Calibri"/>
                <w:b w:val="0"/>
                <w:sz w:val="19"/>
              </w:rPr>
              <w:t>94% weighted high-confidence evidence coverage</w:t>
            </w:r>
          </w:p>
        </w:tc>
      </w:tr>
      <w:tr>
        <w:trPr>
          <w:cantSplit w:val="true"/>
        </w:trPr>
        <w:tc>
          <w:tcPr>
            <w:tcW w:type="dxa" w:w="5083"/>
            <w:vAlign w:val="top"/>
            <w:tcMar>
              <w:top w:w="70" w:type="dxa"/>
              <w:left w:w="80" w:type="dxa"/>
              <w:bottom w:w="70" w:type="dxa"/>
              <w:right w:w="80" w:type="dxa"/>
            </w:tcMar>
          </w:tcPr>
          <w:p>
            <w:pPr>
              <w:spacing w:after="0" w:line="240" w:lineRule="auto"/>
            </w:pPr>
            <w:r/>
            <w:r>
              <w:rPr>
                <w:rFonts w:ascii="Calibri" w:hAnsi="Calibri"/>
                <w:b w:val="0"/>
                <w:sz w:val="19"/>
              </w:rPr>
              <w:t>Critical Underwriting Gaps</w:t>
            </w:r>
          </w:p>
        </w:tc>
        <w:tc>
          <w:tcPr>
            <w:tcW w:type="dxa" w:w="5083"/>
            <w:vAlign w:val="top"/>
            <w:tcMar>
              <w:top w:w="70" w:type="dxa"/>
              <w:left w:w="80" w:type="dxa"/>
              <w:bottom w:w="70" w:type="dxa"/>
              <w:right w:w="80" w:type="dxa"/>
            </w:tcMar>
          </w:tcPr>
          <w:p>
            <w:pPr>
              <w:spacing w:after="0" w:line="240" w:lineRule="auto"/>
            </w:pPr>
            <w:r/>
            <w:r>
              <w:rPr>
                <w:rFonts w:ascii="Calibri" w:hAnsi="Calibri"/>
                <w:b w:val="0"/>
                <w:sz w:val="19"/>
              </w:rPr>
              <w:t>0</w:t>
            </w:r>
          </w:p>
        </w:tc>
      </w:tr>
      <w:tr>
        <w:trPr>
          <w:cantSplit w:val="true"/>
        </w:trPr>
        <w:tc>
          <w:tcPr>
            <w:tcW w:type="dxa" w:w="5083"/>
            <w:vAlign w:val="top"/>
            <w:tcMar>
              <w:top w:w="70" w:type="dxa"/>
              <w:left w:w="80" w:type="dxa"/>
              <w:bottom w:w="70" w:type="dxa"/>
              <w:right w:w="80" w:type="dxa"/>
            </w:tcMar>
          </w:tcPr>
          <w:p>
            <w:pPr>
              <w:spacing w:after="0" w:line="240" w:lineRule="auto"/>
            </w:pPr>
            <w:r/>
            <w:r>
              <w:rPr>
                <w:rFonts w:ascii="Calibri" w:hAnsi="Calibri"/>
                <w:b w:val="0"/>
                <w:sz w:val="19"/>
              </w:rPr>
              <w:t>Significant Exceptions</w:t>
            </w:r>
          </w:p>
        </w:tc>
        <w:tc>
          <w:tcPr>
            <w:tcW w:type="dxa" w:w="5083"/>
            <w:vAlign w:val="top"/>
            <w:tcMar>
              <w:top w:w="70" w:type="dxa"/>
              <w:left w:w="80" w:type="dxa"/>
              <w:bottom w:w="70" w:type="dxa"/>
              <w:right w:w="80" w:type="dxa"/>
            </w:tcMar>
          </w:tcPr>
          <w:p>
            <w:pPr>
              <w:spacing w:after="0" w:line="240" w:lineRule="auto"/>
            </w:pPr>
            <w:r/>
            <w:r>
              <w:rPr>
                <w:rFonts w:ascii="Calibri" w:hAnsi="Calibri"/>
                <w:b w:val="0"/>
                <w:sz w:val="19"/>
              </w:rPr>
              <w:t>2 accepted compensating-control cases</w:t>
            </w:r>
          </w:p>
        </w:tc>
      </w:tr>
      <w:tr>
        <w:trPr>
          <w:cantSplit w:val="true"/>
        </w:trPr>
        <w:tc>
          <w:tcPr>
            <w:tcW w:type="dxa" w:w="5083"/>
            <w:vAlign w:val="top"/>
            <w:tcMar>
              <w:top w:w="70" w:type="dxa"/>
              <w:left w:w="80" w:type="dxa"/>
              <w:bottom w:w="70" w:type="dxa"/>
              <w:right w:w="80" w:type="dxa"/>
            </w:tcMar>
          </w:tcPr>
          <w:p>
            <w:pPr>
              <w:spacing w:after="0" w:line="240" w:lineRule="auto"/>
            </w:pPr>
            <w:r/>
            <w:r>
              <w:rPr>
                <w:rFonts w:ascii="Calibri" w:hAnsi="Calibri"/>
                <w:b w:val="0"/>
                <w:sz w:val="19"/>
              </w:rPr>
              <w:t>Verification Date</w:t>
            </w:r>
          </w:p>
        </w:tc>
        <w:tc>
          <w:tcPr>
            <w:tcW w:type="dxa" w:w="5083"/>
            <w:vAlign w:val="top"/>
            <w:tcMar>
              <w:top w:w="70" w:type="dxa"/>
              <w:left w:w="80" w:type="dxa"/>
              <w:bottom w:w="70" w:type="dxa"/>
              <w:right w:w="80" w:type="dxa"/>
            </w:tcMar>
          </w:tcPr>
          <w:p>
            <w:pPr>
              <w:spacing w:after="0" w:line="240" w:lineRule="auto"/>
            </w:pPr>
            <w:r/>
            <w:r>
              <w:rPr>
                <w:rFonts w:ascii="Calibri" w:hAnsi="Calibri"/>
                <w:b w:val="0"/>
                <w:sz w:val="19"/>
              </w:rPr>
              <w:t>2026-09-07</w:t>
            </w:r>
          </w:p>
        </w:tc>
      </w:tr>
      <w:tr>
        <w:trPr>
          <w:cantSplit w:val="true"/>
        </w:trPr>
        <w:tc>
          <w:tcPr>
            <w:tcW w:type="dxa" w:w="5083"/>
            <w:vAlign w:val="top"/>
            <w:tcMar>
              <w:top w:w="70" w:type="dxa"/>
              <w:left w:w="80" w:type="dxa"/>
              <w:bottom w:w="70" w:type="dxa"/>
              <w:right w:w="80" w:type="dxa"/>
            </w:tcMar>
          </w:tcPr>
          <w:p>
            <w:pPr>
              <w:spacing w:after="0" w:line="240" w:lineRule="auto"/>
            </w:pPr>
            <w:r/>
            <w:r>
              <w:rPr>
                <w:rFonts w:ascii="Calibri" w:hAnsi="Calibri"/>
                <w:b w:val="0"/>
                <w:sz w:val="19"/>
              </w:rPr>
              <w:t>Dynamic Evidence Window</w:t>
            </w:r>
          </w:p>
        </w:tc>
        <w:tc>
          <w:tcPr>
            <w:tcW w:type="dxa" w:w="5083"/>
            <w:vAlign w:val="top"/>
            <w:tcMar>
              <w:top w:w="70" w:type="dxa"/>
              <w:left w:w="80" w:type="dxa"/>
              <w:bottom w:w="70" w:type="dxa"/>
              <w:right w:w="80" w:type="dxa"/>
            </w:tcMar>
          </w:tcPr>
          <w:p>
            <w:pPr>
              <w:spacing w:after="0" w:line="240" w:lineRule="auto"/>
            </w:pPr>
            <w:r/>
            <w:r>
              <w:rPr>
                <w:rFonts w:ascii="Calibri" w:hAnsi="Calibri"/>
                <w:b w:val="0"/>
                <w:sz w:val="19"/>
              </w:rPr>
              <w:t>Continuous controls current within configured freshness thresholds</w:t>
            </w:r>
          </w:p>
        </w:tc>
      </w:tr>
      <w:tr>
        <w:trPr>
          <w:cantSplit w:val="true"/>
        </w:trPr>
        <w:tc>
          <w:tcPr>
            <w:tcW w:type="dxa" w:w="5083"/>
            <w:vAlign w:val="top"/>
            <w:tcMar>
              <w:top w:w="70" w:type="dxa"/>
              <w:left w:w="80" w:type="dxa"/>
              <w:bottom w:w="70" w:type="dxa"/>
              <w:right w:w="80" w:type="dxa"/>
            </w:tcMar>
          </w:tcPr>
          <w:p>
            <w:pPr>
              <w:spacing w:after="0" w:line="240" w:lineRule="auto"/>
            </w:pPr>
            <w:r/>
            <w:r>
              <w:rPr>
                <w:rFonts w:ascii="Calibri" w:hAnsi="Calibri"/>
                <w:b w:val="0"/>
                <w:sz w:val="19"/>
              </w:rPr>
              <w:t>Digital Integrity</w:t>
            </w:r>
          </w:p>
        </w:tc>
        <w:tc>
          <w:tcPr>
            <w:tcW w:type="dxa" w:w="5083"/>
            <w:vAlign w:val="top"/>
            <w:tcMar>
              <w:top w:w="70" w:type="dxa"/>
              <w:left w:w="80" w:type="dxa"/>
              <w:bottom w:w="70" w:type="dxa"/>
              <w:right w:w="80" w:type="dxa"/>
            </w:tcMar>
          </w:tcPr>
          <w:p>
            <w:pPr>
              <w:spacing w:after="0" w:line="240" w:lineRule="auto"/>
            </w:pPr>
            <w:r/>
            <w:r>
              <w:rPr>
                <w:rFonts w:ascii="Calibri" w:hAnsi="Calibri"/>
                <w:b w:val="0"/>
                <w:sz w:val="19"/>
              </w:rPr>
              <w:t>Passport signature, assurance-policy version, evidence hashes, revocation endpoint</w:t>
            </w:r>
          </w:p>
        </w:tc>
      </w:tr>
      <w:tr>
        <w:trPr>
          <w:cantSplit w:val="true"/>
        </w:trPr>
        <w:tc>
          <w:tcPr>
            <w:tcW w:type="dxa" w:w="5083"/>
            <w:vAlign w:val="top"/>
            <w:tcMar>
              <w:top w:w="70" w:type="dxa"/>
              <w:left w:w="80" w:type="dxa"/>
              <w:bottom w:w="70" w:type="dxa"/>
              <w:right w:w="80" w:type="dxa"/>
            </w:tcMar>
          </w:tcPr>
          <w:p>
            <w:pPr>
              <w:spacing w:after="0" w:line="240" w:lineRule="auto"/>
            </w:pPr>
            <w:r/>
            <w:r>
              <w:rPr>
                <w:rFonts w:ascii="Calibri" w:hAnsi="Calibri"/>
                <w:b w:val="0"/>
                <w:sz w:val="19"/>
              </w:rPr>
              <w:t>Sharing</w:t>
            </w:r>
          </w:p>
        </w:tc>
        <w:tc>
          <w:tcPr>
            <w:tcW w:type="dxa" w:w="5083"/>
            <w:vAlign w:val="top"/>
            <w:tcMar>
              <w:top w:w="70" w:type="dxa"/>
              <w:left w:w="80" w:type="dxa"/>
              <w:bottom w:w="70" w:type="dxa"/>
              <w:right w:w="80" w:type="dxa"/>
            </w:tcMar>
          </w:tcPr>
          <w:p>
            <w:pPr>
              <w:spacing w:after="0" w:line="240" w:lineRule="auto"/>
            </w:pPr>
            <w:r/>
            <w:r>
              <w:rPr>
                <w:rFonts w:ascii="Calibri" w:hAnsi="Calibri"/>
                <w:b w:val="0"/>
                <w:sz w:val="19"/>
              </w:rPr>
              <w:t>Customer-approved recipients and time-limited access grants</w:t>
            </w:r>
          </w:p>
        </w:tc>
      </w:tr>
    </w:tbl>
    <w:p>
      <w:pPr>
        <w:spacing w:after="40"/>
      </w:pPr>
    </w:p>
    <w:p>
      <w:pPr>
        <w:pStyle w:val="Heading2"/>
        <w:keepNext/>
        <w:spacing w:before="100" w:after="80"/>
      </w:pPr>
      <w:r>
        <w:rPr>
          <w:rFonts w:ascii="Calibri" w:hAnsi="Calibri"/>
          <w:b/>
          <w:color w:val="1F4E79"/>
          <w:sz w:val="25"/>
        </w:rPr>
        <w:t>5.8 Selective disclosure and privacy-by-design</w:t>
      </w:r>
    </w:p>
    <w:p>
      <w:pPr>
        <w:spacing w:after="80" w:line="259" w:lineRule="auto"/>
      </w:pPr>
      <w:r>
        <w:rPr>
          <w:rFonts w:ascii="Calibri" w:hAnsi="Calibri"/>
          <w:sz w:val="21"/>
        </w:rPr>
        <w:t>The insurer should not automatically receive raw customer security configurations. Laurelshield should return the minimum defensible assurance claim necessary for the underwriting question. Example: “Privileged MFA coverage is 100%, ECL-5, verified within 24 hours” while the underlying Entra configuration remains protected in the evidence vault.</w:t>
      </w:r>
    </w:p>
    <w:p>
      <w:pPr>
        <w:pStyle w:val="ListBullet"/>
        <w:spacing w:after="40" w:line="252" w:lineRule="auto"/>
      </w:pPr>
      <w:r>
        <w:rPr>
          <w:rFonts w:ascii="Calibri" w:hAnsi="Calibri"/>
          <w:sz w:val="21"/>
        </w:rPr>
        <w:t>Customer approval is mandatory before a new counterparty receives access unless contract/law clearly provides otherwise.</w:t>
      </w:r>
    </w:p>
    <w:p>
      <w:pPr>
        <w:pStyle w:val="ListBullet"/>
        <w:spacing w:after="40" w:line="252" w:lineRule="auto"/>
      </w:pPr>
      <w:r>
        <w:rPr>
          <w:rFonts w:ascii="Calibri" w:hAnsi="Calibri"/>
          <w:sz w:val="21"/>
        </w:rPr>
        <w:t>Disclosure scopes should expire automatically.</w:t>
      </w:r>
    </w:p>
    <w:p>
      <w:pPr>
        <w:pStyle w:val="ListBullet"/>
        <w:spacing w:after="40" w:line="252" w:lineRule="auto"/>
      </w:pPr>
      <w:r>
        <w:rPr>
          <w:rFonts w:ascii="Calibri" w:hAnsi="Calibri"/>
          <w:sz w:val="21"/>
        </w:rPr>
        <w:t>Every counterparty access should be logged and visible to the customer.</w:t>
      </w:r>
    </w:p>
    <w:p>
      <w:pPr>
        <w:pStyle w:val="ListBullet"/>
        <w:spacing w:after="40" w:line="252" w:lineRule="auto"/>
      </w:pPr>
      <w:r>
        <w:rPr>
          <w:rFonts w:ascii="Calibri" w:hAnsi="Calibri"/>
          <w:sz w:val="21"/>
        </w:rPr>
        <w:t>Carrier mappings should be used to answer approved questions without revealing another carrier’s confidential rules.</w:t>
      </w:r>
    </w:p>
    <w:p>
      <w:pPr>
        <w:pStyle w:val="ListBullet"/>
        <w:spacing w:after="40" w:line="252" w:lineRule="auto"/>
      </w:pPr>
      <w:r>
        <w:rPr>
          <w:rFonts w:ascii="Calibri" w:hAnsi="Calibri"/>
          <w:sz w:val="21"/>
        </w:rPr>
        <w:t>Raw security evidence should be downloadable only under tightly controlled exceptional workflows.</w:t>
      </w:r>
    </w:p>
    <w:p>
      <w:pPr>
        <w:pStyle w:val="Heading2"/>
        <w:keepNext/>
        <w:spacing w:before="100" w:after="80"/>
      </w:pPr>
      <w:r>
        <w:rPr>
          <w:rFonts w:ascii="Calibri" w:hAnsi="Calibri"/>
          <w:b/>
          <w:color w:val="1F4E79"/>
          <w:sz w:val="25"/>
        </w:rPr>
        <w:t>5.9 Continuous assurance and evidence freshness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val="true"/>
        </w:trPr>
        <w:tc>
          <w:tcPr>
            <w:tcW w:type="dxa" w:w="3389"/>
            <w:vAlign w:val="top"/>
            <w:shd w:fill="D9EAF7"/>
            <w:tcMar>
              <w:top w:w="70" w:type="dxa"/>
              <w:left w:w="80" w:type="dxa"/>
              <w:bottom w:w="70" w:type="dxa"/>
              <w:right w:w="80" w:type="dxa"/>
            </w:tcMar>
          </w:tcPr>
          <w:p>
            <w:pPr>
              <w:spacing w:after="0" w:line="240" w:lineRule="auto"/>
            </w:pPr>
            <w:r/>
            <w:r>
              <w:rPr>
                <w:rFonts w:ascii="Calibri" w:hAnsi="Calibri"/>
                <w:b/>
                <w:sz w:val="19"/>
              </w:rPr>
              <w:t>Control Type</w:t>
            </w:r>
          </w:p>
        </w:tc>
        <w:tc>
          <w:tcPr>
            <w:tcW w:type="dxa" w:w="3389"/>
            <w:vAlign w:val="top"/>
            <w:shd w:fill="D9EAF7"/>
            <w:tcMar>
              <w:top w:w="70" w:type="dxa"/>
              <w:left w:w="80" w:type="dxa"/>
              <w:bottom w:w="70" w:type="dxa"/>
              <w:right w:w="80" w:type="dxa"/>
            </w:tcMar>
          </w:tcPr>
          <w:p>
            <w:pPr>
              <w:spacing w:after="0" w:line="240" w:lineRule="auto"/>
            </w:pPr>
            <w:r/>
            <w:r>
              <w:rPr>
                <w:rFonts w:ascii="Calibri" w:hAnsi="Calibri"/>
                <w:b/>
                <w:sz w:val="19"/>
              </w:rPr>
              <w:t>Illustrative Freshness Target</w:t>
            </w:r>
          </w:p>
        </w:tc>
        <w:tc>
          <w:tcPr>
            <w:tcW w:type="dxa" w:w="3389"/>
            <w:vAlign w:val="top"/>
            <w:shd w:fill="D9EAF7"/>
            <w:tcMar>
              <w:top w:w="70" w:type="dxa"/>
              <w:left w:w="80" w:type="dxa"/>
              <w:bottom w:w="70" w:type="dxa"/>
              <w:right w:w="80" w:type="dxa"/>
            </w:tcMar>
          </w:tcPr>
          <w:p>
            <w:pPr>
              <w:spacing w:after="0" w:line="240" w:lineRule="auto"/>
            </w:pPr>
            <w:r/>
            <w:r>
              <w:rPr>
                <w:rFonts w:ascii="Calibri" w:hAnsi="Calibri"/>
                <w:b/>
                <w:sz w:val="19"/>
              </w:rPr>
              <w:t>If Stale / Drift Detected</w:t>
            </w:r>
          </w:p>
        </w:tc>
      </w:tr>
      <w:tr>
        <w:trPr>
          <w:cantSplit w:val="true"/>
        </w:trPr>
        <w:tc>
          <w:tcPr>
            <w:tcW w:type="dxa" w:w="3389"/>
            <w:vAlign w:val="top"/>
            <w:tcMar>
              <w:top w:w="70" w:type="dxa"/>
              <w:left w:w="80" w:type="dxa"/>
              <w:bottom w:w="70" w:type="dxa"/>
              <w:right w:w="80" w:type="dxa"/>
            </w:tcMar>
          </w:tcPr>
          <w:p>
            <w:pPr>
              <w:spacing w:after="0" w:line="240" w:lineRule="auto"/>
            </w:pPr>
            <w:r/>
            <w:r>
              <w:rPr>
                <w:rFonts w:ascii="Calibri" w:hAnsi="Calibri"/>
                <w:b w:val="0"/>
                <w:sz w:val="19"/>
              </w:rPr>
              <w:t>Privileged MFA / Conditional Access</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24 hours</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Expire claim or reduce confidence; notify customer.</w:t>
            </w:r>
          </w:p>
        </w:tc>
      </w:tr>
      <w:tr>
        <w:trPr>
          <w:cantSplit w:val="true"/>
        </w:trPr>
        <w:tc>
          <w:tcPr>
            <w:tcW w:type="dxa" w:w="3389"/>
            <w:vAlign w:val="top"/>
            <w:tcMar>
              <w:top w:w="70" w:type="dxa"/>
              <w:left w:w="80" w:type="dxa"/>
              <w:bottom w:w="70" w:type="dxa"/>
              <w:right w:w="80" w:type="dxa"/>
            </w:tcMar>
          </w:tcPr>
          <w:p>
            <w:pPr>
              <w:spacing w:after="0" w:line="240" w:lineRule="auto"/>
            </w:pPr>
            <w:r/>
            <w:r>
              <w:rPr>
                <w:rFonts w:ascii="Calibri" w:hAnsi="Calibri"/>
                <w:b w:val="0"/>
                <w:sz w:val="19"/>
              </w:rPr>
              <w:t>EDR coverage and sensor health</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24 hours</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Invalidate endpoint-protection claim if material coverage falls below threshold.</w:t>
            </w:r>
          </w:p>
        </w:tc>
      </w:tr>
      <w:tr>
        <w:trPr>
          <w:cantSplit w:val="true"/>
        </w:trPr>
        <w:tc>
          <w:tcPr>
            <w:tcW w:type="dxa" w:w="3389"/>
            <w:vAlign w:val="top"/>
            <w:tcMar>
              <w:top w:w="70" w:type="dxa"/>
              <w:left w:w="80" w:type="dxa"/>
              <w:bottom w:w="70" w:type="dxa"/>
              <w:right w:w="80" w:type="dxa"/>
            </w:tcMar>
          </w:tcPr>
          <w:p>
            <w:pPr>
              <w:spacing w:after="0" w:line="240" w:lineRule="auto"/>
            </w:pPr>
            <w:r/>
            <w:r>
              <w:rPr>
                <w:rFonts w:ascii="Calibri" w:hAnsi="Calibri"/>
                <w:b w:val="0"/>
                <w:sz w:val="19"/>
              </w:rPr>
              <w:t>External attack surface</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24 hours to 7 days</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Open finding for newly exposed critical services/CVEs.</w:t>
            </w:r>
          </w:p>
        </w:tc>
      </w:tr>
      <w:tr>
        <w:trPr>
          <w:cantSplit w:val="true"/>
        </w:trPr>
        <w:tc>
          <w:tcPr>
            <w:tcW w:type="dxa" w:w="3389"/>
            <w:vAlign w:val="top"/>
            <w:tcMar>
              <w:top w:w="70" w:type="dxa"/>
              <w:left w:w="80" w:type="dxa"/>
              <w:bottom w:w="70" w:type="dxa"/>
              <w:right w:w="80" w:type="dxa"/>
            </w:tcMar>
          </w:tcPr>
          <w:p>
            <w:pPr>
              <w:spacing w:after="0" w:line="240" w:lineRule="auto"/>
            </w:pPr>
            <w:r/>
            <w:r>
              <w:rPr>
                <w:rFonts w:ascii="Calibri" w:hAnsi="Calibri"/>
                <w:b w:val="0"/>
                <w:sz w:val="19"/>
              </w:rPr>
              <w:t>Backup job success / immutability</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24 hours</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Flag gap; maintain separate restore-test freshness.</w:t>
            </w:r>
          </w:p>
        </w:tc>
      </w:tr>
      <w:tr>
        <w:trPr>
          <w:cantSplit w:val="true"/>
        </w:trPr>
        <w:tc>
          <w:tcPr>
            <w:tcW w:type="dxa" w:w="3389"/>
            <w:vAlign w:val="top"/>
            <w:tcMar>
              <w:top w:w="70" w:type="dxa"/>
              <w:left w:w="80" w:type="dxa"/>
              <w:bottom w:w="70" w:type="dxa"/>
              <w:right w:w="80" w:type="dxa"/>
            </w:tcMar>
          </w:tcPr>
          <w:p>
            <w:pPr>
              <w:spacing w:after="0" w:line="240" w:lineRule="auto"/>
            </w:pPr>
            <w:r/>
            <w:r>
              <w:rPr>
                <w:rFonts w:ascii="Calibri" w:hAnsi="Calibri"/>
                <w:b w:val="0"/>
                <w:sz w:val="19"/>
              </w:rPr>
              <w:t>Restore test</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90 days</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Downgrade recovery assurance when evidence ages out.</w:t>
            </w:r>
          </w:p>
        </w:tc>
      </w:tr>
      <w:tr>
        <w:trPr>
          <w:cantSplit w:val="true"/>
        </w:trPr>
        <w:tc>
          <w:tcPr>
            <w:tcW w:type="dxa" w:w="3389"/>
            <w:vAlign w:val="top"/>
            <w:tcMar>
              <w:top w:w="70" w:type="dxa"/>
              <w:left w:w="80" w:type="dxa"/>
              <w:bottom w:w="70" w:type="dxa"/>
              <w:right w:w="80" w:type="dxa"/>
            </w:tcMar>
          </w:tcPr>
          <w:p>
            <w:pPr>
              <w:spacing w:after="0" w:line="240" w:lineRule="auto"/>
            </w:pPr>
            <w:r/>
            <w:r>
              <w:rPr>
                <w:rFonts w:ascii="Calibri" w:hAnsi="Calibri"/>
                <w:b w:val="0"/>
                <w:sz w:val="19"/>
              </w:rPr>
              <w:t>Incident-response tabletop</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12 months</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Expire operational test claim until new exercise.</w:t>
            </w:r>
          </w:p>
        </w:tc>
      </w:tr>
      <w:tr>
        <w:trPr>
          <w:cantSplit w:val="true"/>
        </w:trPr>
        <w:tc>
          <w:tcPr>
            <w:tcW w:type="dxa" w:w="3389"/>
            <w:vAlign w:val="top"/>
            <w:tcMar>
              <w:top w:w="70" w:type="dxa"/>
              <w:left w:w="80" w:type="dxa"/>
              <w:bottom w:w="70" w:type="dxa"/>
              <w:right w:w="80" w:type="dxa"/>
            </w:tcMar>
          </w:tcPr>
          <w:p>
            <w:pPr>
              <w:spacing w:after="0" w:line="240" w:lineRule="auto"/>
            </w:pPr>
            <w:r/>
            <w:r>
              <w:rPr>
                <w:rFonts w:ascii="Calibri" w:hAnsi="Calibri"/>
                <w:b w:val="0"/>
                <w:sz w:val="19"/>
              </w:rPr>
              <w:t>Board policy approval</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12 months</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Governance claim becomes stale until reviewed.</w:t>
            </w:r>
          </w:p>
        </w:tc>
      </w:tr>
    </w:tbl>
    <w:p>
      <w:pPr>
        <w:spacing w:after="40"/>
      </w:pPr>
    </w:p>
    <w:p>
      <w:pPr>
        <w:pStyle w:val="Heading2"/>
        <w:keepNext/>
        <w:spacing w:before="100" w:after="80"/>
      </w:pPr>
      <w:r>
        <w:rPr>
          <w:rFonts w:ascii="Calibri" w:hAnsi="Calibri"/>
          <w:b/>
          <w:color w:val="1F4E79"/>
          <w:sz w:val="25"/>
        </w:rPr>
        <w:t>5.10 API strategy</w:t>
      </w:r>
    </w:p>
    <w:p>
      <w:pPr>
        <w:spacing w:after="80" w:line="259" w:lineRule="auto"/>
      </w:pPr>
      <w:r>
        <w:rPr>
          <w:rFonts w:ascii="Calibri" w:hAnsi="Calibri"/>
          <w:sz w:val="21"/>
        </w:rPr>
        <w:t>The API should expose assurance claims, not arbitrary raw evidence. Suggested endpoint families include organization scope, passport status, control claims, evidence freshness, remediation status, sharing authorization, revocation, and partner-specific readiness. Use OAuth 2.0/OIDC, mutual TLS for high-trust partners, fine-grained scopes, rate limits, signed responses, audit logging, and tenant-bound tokens.</w:t>
      </w:r>
    </w:p>
    <w:p>
      <w:pPr>
        <w:spacing w:after="80" w:line="259" w:lineRule="auto"/>
      </w:pPr>
      <w:r>
        <w:rPr>
          <w:rFonts w:ascii="Calibri" w:hAnsi="Calibri"/>
          <w:sz w:val="21"/>
        </w:rPr>
        <w:t>Example conceptual response: GET /v1/passports/{passportId}/controls/LS-ID-101 -&gt; status=VERIFIED; coverage=100%; ecl=5; verified_at=timestamp; expires_at=timestamp; exception_count=0; signature=... . The raw Entra export is not returned.</w:t>
      </w:r>
    </w:p>
    <w:p>
      <w:pPr>
        <w:pStyle w:val="Heading1"/>
        <w:keepNext/>
        <w:spacing w:before="160" w:after="80"/>
      </w:pPr>
      <w:r>
        <w:rPr>
          <w:rFonts w:ascii="Calibri" w:hAnsi="Calibri"/>
          <w:b/>
          <w:color w:val="1F4E79"/>
          <w:sz w:val="30"/>
        </w:rPr>
        <w:t>6. Control, Evidence, and Passport Data Model</w:t>
      </w:r>
    </w:p>
    <w:p>
      <w:pPr>
        <w:pStyle w:val="Heading2"/>
        <w:keepNext/>
        <w:spacing w:before="100" w:after="80"/>
      </w:pPr>
      <w:r>
        <w:rPr>
          <w:rFonts w:ascii="Calibri" w:hAnsi="Calibri"/>
          <w:b/>
          <w:color w:val="1F4E79"/>
          <w:sz w:val="25"/>
        </w:rPr>
        <w:t>6.1 Minimum control domains for v1.0</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val="true"/>
        </w:trPr>
        <w:tc>
          <w:tcPr>
            <w:tcW w:type="dxa" w:w="5083"/>
            <w:vAlign w:val="top"/>
            <w:shd w:fill="D9EAF7"/>
            <w:tcMar>
              <w:top w:w="70" w:type="dxa"/>
              <w:left w:w="80" w:type="dxa"/>
              <w:bottom w:w="70" w:type="dxa"/>
              <w:right w:w="80" w:type="dxa"/>
            </w:tcMar>
          </w:tcPr>
          <w:p>
            <w:pPr>
              <w:spacing w:after="0" w:line="240" w:lineRule="auto"/>
            </w:pPr>
            <w:r/>
            <w:r>
              <w:rPr>
                <w:rFonts w:ascii="Calibri" w:hAnsi="Calibri"/>
                <w:b/>
                <w:sz w:val="19"/>
              </w:rPr>
              <w:t>Domain</w:t>
            </w:r>
          </w:p>
        </w:tc>
        <w:tc>
          <w:tcPr>
            <w:tcW w:type="dxa" w:w="5083"/>
            <w:vAlign w:val="top"/>
            <w:shd w:fill="D9EAF7"/>
            <w:tcMar>
              <w:top w:w="70" w:type="dxa"/>
              <w:left w:w="80" w:type="dxa"/>
              <w:bottom w:w="70" w:type="dxa"/>
              <w:right w:w="80" w:type="dxa"/>
            </w:tcMar>
          </w:tcPr>
          <w:p>
            <w:pPr>
              <w:spacing w:after="0" w:line="240" w:lineRule="auto"/>
            </w:pPr>
            <w:r/>
            <w:r>
              <w:rPr>
                <w:rFonts w:ascii="Calibri" w:hAnsi="Calibri"/>
                <w:b/>
                <w:sz w:val="19"/>
              </w:rPr>
              <w:t>Illustrative Canonical Controls</w:t>
            </w:r>
          </w:p>
        </w:tc>
      </w:tr>
      <w:tr>
        <w:trPr>
          <w:cantSplit w:val="true"/>
        </w:trPr>
        <w:tc>
          <w:tcPr>
            <w:tcW w:type="dxa" w:w="5083"/>
            <w:vAlign w:val="top"/>
            <w:tcMar>
              <w:top w:w="70" w:type="dxa"/>
              <w:left w:w="80" w:type="dxa"/>
              <w:bottom w:w="70" w:type="dxa"/>
              <w:right w:w="80" w:type="dxa"/>
            </w:tcMar>
          </w:tcPr>
          <w:p>
            <w:pPr>
              <w:spacing w:after="0" w:line="240" w:lineRule="auto"/>
            </w:pPr>
            <w:r/>
            <w:r>
              <w:rPr>
                <w:rFonts w:ascii="Calibri" w:hAnsi="Calibri"/>
                <w:b w:val="0"/>
                <w:sz w:val="19"/>
              </w:rPr>
              <w:t>Identity &amp; Access</w:t>
            </w:r>
          </w:p>
        </w:tc>
        <w:tc>
          <w:tcPr>
            <w:tcW w:type="dxa" w:w="5083"/>
            <w:vAlign w:val="top"/>
            <w:tcMar>
              <w:top w:w="70" w:type="dxa"/>
              <w:left w:w="80" w:type="dxa"/>
              <w:bottom w:w="70" w:type="dxa"/>
              <w:right w:w="80" w:type="dxa"/>
            </w:tcMar>
          </w:tcPr>
          <w:p>
            <w:pPr>
              <w:spacing w:after="0" w:line="240" w:lineRule="auto"/>
            </w:pPr>
            <w:r/>
            <w:r>
              <w:rPr>
                <w:rFonts w:ascii="Calibri" w:hAnsi="Calibri"/>
                <w:b w:val="0"/>
                <w:sz w:val="19"/>
              </w:rPr>
              <w:t>Privileged MFA, remote-access MFA, identity lifecycle, privileged-role separation, dormant accounts, service-account governance.</w:t>
            </w:r>
          </w:p>
        </w:tc>
      </w:tr>
      <w:tr>
        <w:trPr>
          <w:cantSplit w:val="true"/>
        </w:trPr>
        <w:tc>
          <w:tcPr>
            <w:tcW w:type="dxa" w:w="5083"/>
            <w:vAlign w:val="top"/>
            <w:tcMar>
              <w:top w:w="70" w:type="dxa"/>
              <w:left w:w="80" w:type="dxa"/>
              <w:bottom w:w="70" w:type="dxa"/>
              <w:right w:w="80" w:type="dxa"/>
            </w:tcMar>
          </w:tcPr>
          <w:p>
            <w:pPr>
              <w:spacing w:after="0" w:line="240" w:lineRule="auto"/>
            </w:pPr>
            <w:r/>
            <w:r>
              <w:rPr>
                <w:rFonts w:ascii="Calibri" w:hAnsi="Calibri"/>
                <w:b w:val="0"/>
                <w:sz w:val="19"/>
              </w:rPr>
              <w:t>Endpoint</w:t>
            </w:r>
          </w:p>
        </w:tc>
        <w:tc>
          <w:tcPr>
            <w:tcW w:type="dxa" w:w="5083"/>
            <w:vAlign w:val="top"/>
            <w:tcMar>
              <w:top w:w="70" w:type="dxa"/>
              <w:left w:w="80" w:type="dxa"/>
              <w:bottom w:w="70" w:type="dxa"/>
              <w:right w:w="80" w:type="dxa"/>
            </w:tcMar>
          </w:tcPr>
          <w:p>
            <w:pPr>
              <w:spacing w:after="0" w:line="240" w:lineRule="auto"/>
            </w:pPr>
            <w:r/>
            <w:r>
              <w:rPr>
                <w:rFonts w:ascii="Calibri" w:hAnsi="Calibri"/>
                <w:b w:val="0"/>
                <w:sz w:val="19"/>
              </w:rPr>
              <w:t>EDR coverage, tamper protection, endpoint inventory, unsupported OS, local administrator controls.</w:t>
            </w:r>
          </w:p>
        </w:tc>
      </w:tr>
      <w:tr>
        <w:trPr>
          <w:cantSplit w:val="true"/>
        </w:trPr>
        <w:tc>
          <w:tcPr>
            <w:tcW w:type="dxa" w:w="5083"/>
            <w:vAlign w:val="top"/>
            <w:tcMar>
              <w:top w:w="70" w:type="dxa"/>
              <w:left w:w="80" w:type="dxa"/>
              <w:bottom w:w="70" w:type="dxa"/>
              <w:right w:w="80" w:type="dxa"/>
            </w:tcMar>
          </w:tcPr>
          <w:p>
            <w:pPr>
              <w:spacing w:after="0" w:line="240" w:lineRule="auto"/>
            </w:pPr>
            <w:r/>
            <w:r>
              <w:rPr>
                <w:rFonts w:ascii="Calibri" w:hAnsi="Calibri"/>
                <w:b w:val="0"/>
                <w:sz w:val="19"/>
              </w:rPr>
              <w:t>Vulnerability &amp; Patch</w:t>
            </w:r>
          </w:p>
        </w:tc>
        <w:tc>
          <w:tcPr>
            <w:tcW w:type="dxa" w:w="5083"/>
            <w:vAlign w:val="top"/>
            <w:tcMar>
              <w:top w:w="70" w:type="dxa"/>
              <w:left w:w="80" w:type="dxa"/>
              <w:bottom w:w="70" w:type="dxa"/>
              <w:right w:w="80" w:type="dxa"/>
            </w:tcMar>
          </w:tcPr>
          <w:p>
            <w:pPr>
              <w:spacing w:after="0" w:line="240" w:lineRule="auto"/>
            </w:pPr>
            <w:r/>
            <w:r>
              <w:rPr>
                <w:rFonts w:ascii="Calibri" w:hAnsi="Calibri"/>
                <w:b w:val="0"/>
                <w:sz w:val="19"/>
              </w:rPr>
              <w:t>Authenticated scanning, critical remediation SLA, external exposure, patch cadence, exception governance.</w:t>
            </w:r>
          </w:p>
        </w:tc>
      </w:tr>
      <w:tr>
        <w:trPr>
          <w:cantSplit w:val="true"/>
        </w:trPr>
        <w:tc>
          <w:tcPr>
            <w:tcW w:type="dxa" w:w="5083"/>
            <w:vAlign w:val="top"/>
            <w:tcMar>
              <w:top w:w="70" w:type="dxa"/>
              <w:left w:w="80" w:type="dxa"/>
              <w:bottom w:w="70" w:type="dxa"/>
              <w:right w:w="80" w:type="dxa"/>
            </w:tcMar>
          </w:tcPr>
          <w:p>
            <w:pPr>
              <w:spacing w:after="0" w:line="240" w:lineRule="auto"/>
            </w:pPr>
            <w:r/>
            <w:r>
              <w:rPr>
                <w:rFonts w:ascii="Calibri" w:hAnsi="Calibri"/>
                <w:b w:val="0"/>
                <w:sz w:val="19"/>
              </w:rPr>
              <w:t>Backup &amp; Recovery</w:t>
            </w:r>
          </w:p>
        </w:tc>
        <w:tc>
          <w:tcPr>
            <w:tcW w:type="dxa" w:w="5083"/>
            <w:vAlign w:val="top"/>
            <w:tcMar>
              <w:top w:w="70" w:type="dxa"/>
              <w:left w:w="80" w:type="dxa"/>
              <w:bottom w:w="70" w:type="dxa"/>
              <w:right w:w="80" w:type="dxa"/>
            </w:tcMar>
          </w:tcPr>
          <w:p>
            <w:pPr>
              <w:spacing w:after="0" w:line="240" w:lineRule="auto"/>
            </w:pPr>
            <w:r/>
            <w:r>
              <w:rPr>
                <w:rFonts w:ascii="Calibri" w:hAnsi="Calibri"/>
                <w:b w:val="0"/>
                <w:sz w:val="19"/>
              </w:rPr>
              <w:t>Immutability/offline copy, credential separation, critical-system coverage, restore tests, RTO/RPO evidence.</w:t>
            </w:r>
          </w:p>
        </w:tc>
      </w:tr>
      <w:tr>
        <w:trPr>
          <w:cantSplit w:val="true"/>
        </w:trPr>
        <w:tc>
          <w:tcPr>
            <w:tcW w:type="dxa" w:w="5083"/>
            <w:vAlign w:val="top"/>
            <w:tcMar>
              <w:top w:w="70" w:type="dxa"/>
              <w:left w:w="80" w:type="dxa"/>
              <w:bottom w:w="70" w:type="dxa"/>
              <w:right w:w="80" w:type="dxa"/>
            </w:tcMar>
          </w:tcPr>
          <w:p>
            <w:pPr>
              <w:spacing w:after="0" w:line="240" w:lineRule="auto"/>
            </w:pPr>
            <w:r/>
            <w:r>
              <w:rPr>
                <w:rFonts w:ascii="Calibri" w:hAnsi="Calibri"/>
                <w:b w:val="0"/>
                <w:sz w:val="19"/>
              </w:rPr>
              <w:t>Network &amp; Remote Access</w:t>
            </w:r>
          </w:p>
        </w:tc>
        <w:tc>
          <w:tcPr>
            <w:tcW w:type="dxa" w:w="5083"/>
            <w:vAlign w:val="top"/>
            <w:tcMar>
              <w:top w:w="70" w:type="dxa"/>
              <w:left w:w="80" w:type="dxa"/>
              <w:bottom w:w="70" w:type="dxa"/>
              <w:right w:w="80" w:type="dxa"/>
            </w:tcMar>
          </w:tcPr>
          <w:p>
            <w:pPr>
              <w:spacing w:after="0" w:line="240" w:lineRule="auto"/>
            </w:pPr>
            <w:r/>
            <w:r>
              <w:rPr>
                <w:rFonts w:ascii="Calibri" w:hAnsi="Calibri"/>
                <w:b w:val="0"/>
                <w:sz w:val="19"/>
              </w:rPr>
              <w:t>Segmentation, secure remote access, firewall exposure, management-plane isolation.</w:t>
            </w:r>
          </w:p>
        </w:tc>
      </w:tr>
      <w:tr>
        <w:trPr>
          <w:cantSplit w:val="true"/>
        </w:trPr>
        <w:tc>
          <w:tcPr>
            <w:tcW w:type="dxa" w:w="5083"/>
            <w:vAlign w:val="top"/>
            <w:tcMar>
              <w:top w:w="70" w:type="dxa"/>
              <w:left w:w="80" w:type="dxa"/>
              <w:bottom w:w="70" w:type="dxa"/>
              <w:right w:w="80" w:type="dxa"/>
            </w:tcMar>
          </w:tcPr>
          <w:p>
            <w:pPr>
              <w:spacing w:after="0" w:line="240" w:lineRule="auto"/>
            </w:pPr>
            <w:r/>
            <w:r>
              <w:rPr>
                <w:rFonts w:ascii="Calibri" w:hAnsi="Calibri"/>
                <w:b w:val="0"/>
                <w:sz w:val="19"/>
              </w:rPr>
              <w:t>Email &amp; Collaboration</w:t>
            </w:r>
          </w:p>
        </w:tc>
        <w:tc>
          <w:tcPr>
            <w:tcW w:type="dxa" w:w="5083"/>
            <w:vAlign w:val="top"/>
            <w:tcMar>
              <w:top w:w="70" w:type="dxa"/>
              <w:left w:w="80" w:type="dxa"/>
              <w:bottom w:w="70" w:type="dxa"/>
              <w:right w:w="80" w:type="dxa"/>
            </w:tcMar>
          </w:tcPr>
          <w:p>
            <w:pPr>
              <w:spacing w:after="0" w:line="240" w:lineRule="auto"/>
            </w:pPr>
            <w:r/>
            <w:r>
              <w:rPr>
                <w:rFonts w:ascii="Calibri" w:hAnsi="Calibri"/>
                <w:b w:val="0"/>
                <w:sz w:val="19"/>
              </w:rPr>
              <w:t>DMARC/SPF/DKIM, anti-phishing, malicious attachment/link controls, forwarding-rule monitoring.</w:t>
            </w:r>
          </w:p>
        </w:tc>
      </w:tr>
      <w:tr>
        <w:trPr>
          <w:cantSplit w:val="true"/>
        </w:trPr>
        <w:tc>
          <w:tcPr>
            <w:tcW w:type="dxa" w:w="5083"/>
            <w:vAlign w:val="top"/>
            <w:tcMar>
              <w:top w:w="70" w:type="dxa"/>
              <w:left w:w="80" w:type="dxa"/>
              <w:bottom w:w="70" w:type="dxa"/>
              <w:right w:w="80" w:type="dxa"/>
            </w:tcMar>
          </w:tcPr>
          <w:p>
            <w:pPr>
              <w:spacing w:after="0" w:line="240" w:lineRule="auto"/>
            </w:pPr>
            <w:r/>
            <w:r>
              <w:rPr>
                <w:rFonts w:ascii="Calibri" w:hAnsi="Calibri"/>
                <w:b w:val="0"/>
                <w:sz w:val="19"/>
              </w:rPr>
              <w:t>Logging / Detection / Response</w:t>
            </w:r>
          </w:p>
        </w:tc>
        <w:tc>
          <w:tcPr>
            <w:tcW w:type="dxa" w:w="5083"/>
            <w:vAlign w:val="top"/>
            <w:tcMar>
              <w:top w:w="70" w:type="dxa"/>
              <w:left w:w="80" w:type="dxa"/>
              <w:bottom w:w="70" w:type="dxa"/>
              <w:right w:w="80" w:type="dxa"/>
            </w:tcMar>
          </w:tcPr>
          <w:p>
            <w:pPr>
              <w:spacing w:after="0" w:line="240" w:lineRule="auto"/>
            </w:pPr>
            <w:r/>
            <w:r>
              <w:rPr>
                <w:rFonts w:ascii="Calibri" w:hAnsi="Calibri"/>
                <w:b w:val="0"/>
                <w:sz w:val="19"/>
              </w:rPr>
              <w:t>Critical log-source coverage, detection workflows, SOC escalation, IR plan, tabletop, forensic readiness.</w:t>
            </w:r>
          </w:p>
        </w:tc>
      </w:tr>
      <w:tr>
        <w:trPr>
          <w:cantSplit w:val="true"/>
        </w:trPr>
        <w:tc>
          <w:tcPr>
            <w:tcW w:type="dxa" w:w="5083"/>
            <w:vAlign w:val="top"/>
            <w:tcMar>
              <w:top w:w="70" w:type="dxa"/>
              <w:left w:w="80" w:type="dxa"/>
              <w:bottom w:w="70" w:type="dxa"/>
              <w:right w:w="80" w:type="dxa"/>
            </w:tcMar>
          </w:tcPr>
          <w:p>
            <w:pPr>
              <w:spacing w:after="0" w:line="240" w:lineRule="auto"/>
            </w:pPr>
            <w:r/>
            <w:r>
              <w:rPr>
                <w:rFonts w:ascii="Calibri" w:hAnsi="Calibri"/>
                <w:b w:val="0"/>
                <w:sz w:val="19"/>
              </w:rPr>
              <w:t>Cloud</w:t>
            </w:r>
          </w:p>
        </w:tc>
        <w:tc>
          <w:tcPr>
            <w:tcW w:type="dxa" w:w="5083"/>
            <w:vAlign w:val="top"/>
            <w:tcMar>
              <w:top w:w="70" w:type="dxa"/>
              <w:left w:w="80" w:type="dxa"/>
              <w:bottom w:w="70" w:type="dxa"/>
              <w:right w:w="80" w:type="dxa"/>
            </w:tcMar>
          </w:tcPr>
          <w:p>
            <w:pPr>
              <w:spacing w:after="0" w:line="240" w:lineRule="auto"/>
            </w:pPr>
            <w:r/>
            <w:r>
              <w:rPr>
                <w:rFonts w:ascii="Calibri" w:hAnsi="Calibri"/>
                <w:b w:val="0"/>
                <w:sz w:val="19"/>
              </w:rPr>
              <w:t>Cloud IAM, public exposure, logging, encryption/key controls, workload security, configuration governance.</w:t>
            </w:r>
          </w:p>
        </w:tc>
      </w:tr>
      <w:tr>
        <w:trPr>
          <w:cantSplit w:val="true"/>
        </w:trPr>
        <w:tc>
          <w:tcPr>
            <w:tcW w:type="dxa" w:w="5083"/>
            <w:vAlign w:val="top"/>
            <w:tcMar>
              <w:top w:w="70" w:type="dxa"/>
              <w:left w:w="80" w:type="dxa"/>
              <w:bottom w:w="70" w:type="dxa"/>
              <w:right w:w="80" w:type="dxa"/>
            </w:tcMar>
          </w:tcPr>
          <w:p>
            <w:pPr>
              <w:spacing w:after="0" w:line="240" w:lineRule="auto"/>
            </w:pPr>
            <w:r/>
            <w:r>
              <w:rPr>
                <w:rFonts w:ascii="Calibri" w:hAnsi="Calibri"/>
                <w:b w:val="0"/>
                <w:sz w:val="19"/>
              </w:rPr>
              <w:t>Data Security</w:t>
            </w:r>
          </w:p>
        </w:tc>
        <w:tc>
          <w:tcPr>
            <w:tcW w:type="dxa" w:w="5083"/>
            <w:vAlign w:val="top"/>
            <w:tcMar>
              <w:top w:w="70" w:type="dxa"/>
              <w:left w:w="80" w:type="dxa"/>
              <w:bottom w:w="70" w:type="dxa"/>
              <w:right w:w="80" w:type="dxa"/>
            </w:tcMar>
          </w:tcPr>
          <w:p>
            <w:pPr>
              <w:spacing w:after="0" w:line="240" w:lineRule="auto"/>
            </w:pPr>
            <w:r/>
            <w:r>
              <w:rPr>
                <w:rFonts w:ascii="Calibri" w:hAnsi="Calibri"/>
                <w:b w:val="0"/>
                <w:sz w:val="19"/>
              </w:rPr>
              <w:t>Data inventory/classification, encryption, privileged data access, DLP/egress controls where applicable.</w:t>
            </w:r>
          </w:p>
        </w:tc>
      </w:tr>
      <w:tr>
        <w:trPr>
          <w:cantSplit w:val="true"/>
        </w:trPr>
        <w:tc>
          <w:tcPr>
            <w:tcW w:type="dxa" w:w="5083"/>
            <w:vAlign w:val="top"/>
            <w:tcMar>
              <w:top w:w="70" w:type="dxa"/>
              <w:left w:w="80" w:type="dxa"/>
              <w:bottom w:w="70" w:type="dxa"/>
              <w:right w:w="80" w:type="dxa"/>
            </w:tcMar>
          </w:tcPr>
          <w:p>
            <w:pPr>
              <w:spacing w:after="0" w:line="240" w:lineRule="auto"/>
            </w:pPr>
            <w:r/>
            <w:r>
              <w:rPr>
                <w:rFonts w:ascii="Calibri" w:hAnsi="Calibri"/>
                <w:b w:val="0"/>
                <w:sz w:val="19"/>
              </w:rPr>
              <w:t>Governance</w:t>
            </w:r>
          </w:p>
        </w:tc>
        <w:tc>
          <w:tcPr>
            <w:tcW w:type="dxa" w:w="5083"/>
            <w:vAlign w:val="top"/>
            <w:tcMar>
              <w:top w:w="70" w:type="dxa"/>
              <w:left w:w="80" w:type="dxa"/>
              <w:bottom w:w="70" w:type="dxa"/>
              <w:right w:w="80" w:type="dxa"/>
            </w:tcMar>
          </w:tcPr>
          <w:p>
            <w:pPr>
              <w:spacing w:after="0" w:line="240" w:lineRule="auto"/>
            </w:pPr>
            <w:r/>
            <w:r>
              <w:rPr>
                <w:rFonts w:ascii="Calibri" w:hAnsi="Calibri"/>
                <w:b w:val="0"/>
                <w:sz w:val="19"/>
              </w:rPr>
              <w:t>Security ownership, policies, training, vendor risk, cyber incident reporting, change management.</w:t>
            </w:r>
          </w:p>
        </w:tc>
      </w:tr>
    </w:tbl>
    <w:p>
      <w:pPr>
        <w:spacing w:after="40"/>
      </w:pPr>
    </w:p>
    <w:p>
      <w:pPr>
        <w:pStyle w:val="Heading2"/>
        <w:keepNext/>
        <w:spacing w:before="100" w:after="80"/>
      </w:pPr>
      <w:r>
        <w:rPr>
          <w:rFonts w:ascii="Calibri" w:hAnsi="Calibri"/>
          <w:b/>
          <w:color w:val="1F4E79"/>
          <w:sz w:val="25"/>
        </w:rPr>
        <w:t>6.2 Control result schema</w:t>
      </w:r>
    </w:p>
    <w:p>
      <w:pPr>
        <w:spacing w:after="80" w:line="259" w:lineRule="auto"/>
      </w:pPr>
      <w:r>
        <w:rPr>
          <w:rFonts w:ascii="Calibri" w:hAnsi="Calibri"/>
          <w:sz w:val="21"/>
        </w:rPr>
        <w:t>Each control decision should contain at least: Control ID; scope; applicable/not applicable; status; coverage percentage; ECL; effectiveness score; evidence IDs; evidence timestamps; test-procedure version; verifier; exceptions; compensating controls; remediation record; valid-from; valid-until; digital signature; and revocation status.</w:t>
      </w:r>
    </w:p>
    <w:p>
      <w:pPr>
        <w:pStyle w:val="Heading2"/>
        <w:keepNext/>
        <w:spacing w:before="100" w:after="80"/>
      </w:pPr>
      <w:r>
        <w:rPr>
          <w:rFonts w:ascii="Calibri" w:hAnsi="Calibri"/>
          <w:b/>
          <w:color w:val="1F4E79"/>
          <w:sz w:val="25"/>
        </w:rPr>
        <w:t>6.3 Carrier translation schema</w:t>
      </w:r>
    </w:p>
    <w:p>
      <w:pPr>
        <w:spacing w:after="80" w:line="259" w:lineRule="auto"/>
      </w:pPr>
      <w:r>
        <w:rPr>
          <w:rFonts w:ascii="Calibri" w:hAnsi="Calibri"/>
          <w:sz w:val="21"/>
        </w:rPr>
        <w:t>A carrier requirement record should contain: partner ID; requirement ID; text/version; permitted-use classification; effective dates; mapped Laurelshield controls; minimum ECL; maximum evidence age; mandatory/conditional status; industry/size applicability; compensating-control rule; evidence-display template; last validation date; and partner owner. This structure allows one canonical control to satisfy many carrier formulations without exposing one carrier’s confidential rule to another.</w:t>
      </w:r>
    </w:p>
    <w:p>
      <w:pPr>
        <w:pStyle w:val="Heading1"/>
        <w:keepNext/>
        <w:spacing w:before="160" w:after="80"/>
      </w:pPr>
      <w:r>
        <w:rPr>
          <w:rFonts w:ascii="Calibri" w:hAnsi="Calibri"/>
          <w:b/>
          <w:color w:val="1F4E79"/>
          <w:sz w:val="30"/>
        </w:rPr>
        <w:t>7. Product and Commercial Model</w:t>
      </w:r>
    </w:p>
    <w:p>
      <w:pPr>
        <w:pStyle w:val="Heading2"/>
        <w:keepNext/>
        <w:spacing w:before="100" w:after="80"/>
      </w:pPr>
      <w:r>
        <w:rPr>
          <w:rFonts w:ascii="Calibri" w:hAnsi="Calibri"/>
          <w:b/>
          <w:color w:val="1F4E79"/>
          <w:sz w:val="25"/>
        </w:rPr>
        <w:t>7.1 Product ladder</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val="true"/>
        </w:trPr>
        <w:tc>
          <w:tcPr>
            <w:tcW w:type="dxa" w:w="2541"/>
            <w:vAlign w:val="top"/>
            <w:shd w:fill="D9EAF7"/>
            <w:tcMar>
              <w:top w:w="70" w:type="dxa"/>
              <w:left w:w="80" w:type="dxa"/>
              <w:bottom w:w="70" w:type="dxa"/>
              <w:right w:w="80" w:type="dxa"/>
            </w:tcMar>
          </w:tcPr>
          <w:p>
            <w:pPr>
              <w:spacing w:after="0" w:line="240" w:lineRule="auto"/>
            </w:pPr>
            <w:r/>
            <w:r>
              <w:rPr>
                <w:rFonts w:ascii="Calibri" w:hAnsi="Calibri"/>
                <w:b/>
                <w:sz w:val="19"/>
              </w:rPr>
              <w:t>Product</w:t>
            </w:r>
          </w:p>
        </w:tc>
        <w:tc>
          <w:tcPr>
            <w:tcW w:type="dxa" w:w="2541"/>
            <w:vAlign w:val="top"/>
            <w:shd w:fill="D9EAF7"/>
            <w:tcMar>
              <w:top w:w="70" w:type="dxa"/>
              <w:left w:w="80" w:type="dxa"/>
              <w:bottom w:w="70" w:type="dxa"/>
              <w:right w:w="80" w:type="dxa"/>
            </w:tcMar>
          </w:tcPr>
          <w:p>
            <w:pPr>
              <w:spacing w:after="0" w:line="240" w:lineRule="auto"/>
            </w:pPr>
            <w:r/>
            <w:r>
              <w:rPr>
                <w:rFonts w:ascii="Calibri" w:hAnsi="Calibri"/>
                <w:b/>
                <w:sz w:val="19"/>
              </w:rPr>
              <w:t>Purpose</w:t>
            </w:r>
          </w:p>
        </w:tc>
        <w:tc>
          <w:tcPr>
            <w:tcW w:type="dxa" w:w="2541"/>
            <w:vAlign w:val="top"/>
            <w:shd w:fill="D9EAF7"/>
            <w:tcMar>
              <w:top w:w="70" w:type="dxa"/>
              <w:left w:w="80" w:type="dxa"/>
              <w:bottom w:w="70" w:type="dxa"/>
              <w:right w:w="80" w:type="dxa"/>
            </w:tcMar>
          </w:tcPr>
          <w:p>
            <w:pPr>
              <w:spacing w:after="0" w:line="240" w:lineRule="auto"/>
            </w:pPr>
            <w:r/>
            <w:r>
              <w:rPr>
                <w:rFonts w:ascii="Calibri" w:hAnsi="Calibri"/>
                <w:b/>
                <w:sz w:val="19"/>
              </w:rPr>
              <w:t>Typical Buyer</w:t>
            </w:r>
          </w:p>
        </w:tc>
        <w:tc>
          <w:tcPr>
            <w:tcW w:type="dxa" w:w="2541"/>
            <w:vAlign w:val="top"/>
            <w:shd w:fill="D9EAF7"/>
            <w:tcMar>
              <w:top w:w="70" w:type="dxa"/>
              <w:left w:w="80" w:type="dxa"/>
              <w:bottom w:w="70" w:type="dxa"/>
              <w:right w:w="80" w:type="dxa"/>
            </w:tcMar>
          </w:tcPr>
          <w:p>
            <w:pPr>
              <w:spacing w:after="0" w:line="240" w:lineRule="auto"/>
            </w:pPr>
            <w:r/>
            <w:r>
              <w:rPr>
                <w:rFonts w:ascii="Calibri" w:hAnsi="Calibri"/>
                <w:b/>
                <w:sz w:val="19"/>
              </w:rPr>
              <w:t>Revenue Model</w:t>
            </w:r>
          </w:p>
        </w:tc>
      </w:tr>
      <w:tr>
        <w:trPr>
          <w:cantSplit w:val="true"/>
        </w:trPr>
        <w:tc>
          <w:tcPr>
            <w:tcW w:type="dxa" w:w="2541"/>
            <w:vAlign w:val="top"/>
            <w:tcMar>
              <w:top w:w="70" w:type="dxa"/>
              <w:left w:w="80" w:type="dxa"/>
              <w:bottom w:w="70" w:type="dxa"/>
              <w:right w:w="80" w:type="dxa"/>
            </w:tcMar>
          </w:tcPr>
          <w:p>
            <w:pPr>
              <w:spacing w:after="0" w:line="240" w:lineRule="auto"/>
            </w:pPr>
            <w:r/>
            <w:r>
              <w:rPr>
                <w:rFonts w:ascii="Calibri" w:hAnsi="Calibri"/>
                <w:b w:val="0"/>
                <w:sz w:val="19"/>
              </w:rPr>
              <w:t>Laurelshield Readiness Assessment</w:t>
            </w:r>
          </w:p>
        </w:tc>
        <w:tc>
          <w:tcPr>
            <w:tcW w:type="dxa" w:w="2541"/>
            <w:vAlign w:val="top"/>
            <w:tcMar>
              <w:top w:w="70" w:type="dxa"/>
              <w:left w:w="80" w:type="dxa"/>
              <w:bottom w:w="70" w:type="dxa"/>
              <w:right w:w="80" w:type="dxa"/>
            </w:tcMar>
          </w:tcPr>
          <w:p>
            <w:pPr>
              <w:spacing w:after="0" w:line="240" w:lineRule="auto"/>
            </w:pPr>
            <w:r/>
            <w:r>
              <w:rPr>
                <w:rFonts w:ascii="Calibri" w:hAnsi="Calibri"/>
                <w:b w:val="0"/>
                <w:sz w:val="19"/>
              </w:rPr>
              <w:t>Identify gaps before formal verification.</w:t>
            </w:r>
          </w:p>
        </w:tc>
        <w:tc>
          <w:tcPr>
            <w:tcW w:type="dxa" w:w="2541"/>
            <w:vAlign w:val="top"/>
            <w:tcMar>
              <w:top w:w="70" w:type="dxa"/>
              <w:left w:w="80" w:type="dxa"/>
              <w:bottom w:w="70" w:type="dxa"/>
              <w:right w:w="80" w:type="dxa"/>
            </w:tcMar>
          </w:tcPr>
          <w:p>
            <w:pPr>
              <w:spacing w:after="0" w:line="240" w:lineRule="auto"/>
            </w:pPr>
            <w:r/>
            <w:r>
              <w:rPr>
                <w:rFonts w:ascii="Calibri" w:hAnsi="Calibri"/>
                <w:b w:val="0"/>
                <w:sz w:val="19"/>
              </w:rPr>
              <w:t>SME / mid-market organization</w:t>
            </w:r>
          </w:p>
        </w:tc>
        <w:tc>
          <w:tcPr>
            <w:tcW w:type="dxa" w:w="2541"/>
            <w:vAlign w:val="top"/>
            <w:tcMar>
              <w:top w:w="70" w:type="dxa"/>
              <w:left w:w="80" w:type="dxa"/>
              <w:bottom w:w="70" w:type="dxa"/>
              <w:right w:w="80" w:type="dxa"/>
            </w:tcMar>
          </w:tcPr>
          <w:p>
            <w:pPr>
              <w:spacing w:after="0" w:line="240" w:lineRule="auto"/>
            </w:pPr>
            <w:r/>
            <w:r>
              <w:rPr>
                <w:rFonts w:ascii="Calibri" w:hAnsi="Calibri"/>
                <w:b w:val="0"/>
                <w:sz w:val="19"/>
              </w:rPr>
              <w:t>Fixed project fee.</w:t>
            </w:r>
          </w:p>
        </w:tc>
      </w:tr>
      <w:tr>
        <w:trPr>
          <w:cantSplit w:val="true"/>
        </w:trPr>
        <w:tc>
          <w:tcPr>
            <w:tcW w:type="dxa" w:w="2541"/>
            <w:vAlign w:val="top"/>
            <w:tcMar>
              <w:top w:w="70" w:type="dxa"/>
              <w:left w:w="80" w:type="dxa"/>
              <w:bottom w:w="70" w:type="dxa"/>
              <w:right w:w="80" w:type="dxa"/>
            </w:tcMar>
          </w:tcPr>
          <w:p>
            <w:pPr>
              <w:spacing w:after="0" w:line="240" w:lineRule="auto"/>
            </w:pPr>
            <w:r/>
            <w:r>
              <w:rPr>
                <w:rFonts w:ascii="Calibri" w:hAnsi="Calibri"/>
                <w:b w:val="0"/>
                <w:sz w:val="19"/>
              </w:rPr>
              <w:t>Laurelshield Verified Assessment</w:t>
            </w:r>
          </w:p>
        </w:tc>
        <w:tc>
          <w:tcPr>
            <w:tcW w:type="dxa" w:w="2541"/>
            <w:vAlign w:val="top"/>
            <w:tcMar>
              <w:top w:w="70" w:type="dxa"/>
              <w:left w:w="80" w:type="dxa"/>
              <w:bottom w:w="70" w:type="dxa"/>
              <w:right w:w="80" w:type="dxa"/>
            </w:tcMar>
          </w:tcPr>
          <w:p>
            <w:pPr>
              <w:spacing w:after="0" w:line="240" w:lineRule="auto"/>
            </w:pPr>
            <w:r/>
            <w:r>
              <w:rPr>
                <w:rFonts w:ascii="Calibri" w:hAnsi="Calibri"/>
                <w:b w:val="0"/>
                <w:sz w:val="19"/>
              </w:rPr>
              <w:t>Independent technical verification and initial Passport issuance.</w:t>
            </w:r>
          </w:p>
        </w:tc>
        <w:tc>
          <w:tcPr>
            <w:tcW w:type="dxa" w:w="2541"/>
            <w:vAlign w:val="top"/>
            <w:tcMar>
              <w:top w:w="70" w:type="dxa"/>
              <w:left w:w="80" w:type="dxa"/>
              <w:bottom w:w="70" w:type="dxa"/>
              <w:right w:w="80" w:type="dxa"/>
            </w:tcMar>
          </w:tcPr>
          <w:p>
            <w:pPr>
              <w:spacing w:after="0" w:line="240" w:lineRule="auto"/>
            </w:pPr>
            <w:r/>
            <w:r>
              <w:rPr>
                <w:rFonts w:ascii="Calibri" w:hAnsi="Calibri"/>
                <w:b w:val="0"/>
                <w:sz w:val="19"/>
              </w:rPr>
              <w:t>Organization / broker-referred client</w:t>
            </w:r>
          </w:p>
        </w:tc>
        <w:tc>
          <w:tcPr>
            <w:tcW w:type="dxa" w:w="2541"/>
            <w:vAlign w:val="top"/>
            <w:tcMar>
              <w:top w:w="70" w:type="dxa"/>
              <w:left w:w="80" w:type="dxa"/>
              <w:bottom w:w="70" w:type="dxa"/>
              <w:right w:w="80" w:type="dxa"/>
            </w:tcMar>
          </w:tcPr>
          <w:p>
            <w:pPr>
              <w:spacing w:after="0" w:line="240" w:lineRule="auto"/>
            </w:pPr>
            <w:r/>
            <w:r>
              <w:rPr>
                <w:rFonts w:ascii="Calibri" w:hAnsi="Calibri"/>
                <w:b w:val="0"/>
                <w:sz w:val="19"/>
              </w:rPr>
              <w:t>Fixed fee based on scope/complexity.</w:t>
            </w:r>
          </w:p>
        </w:tc>
      </w:tr>
      <w:tr>
        <w:trPr>
          <w:cantSplit w:val="true"/>
        </w:trPr>
        <w:tc>
          <w:tcPr>
            <w:tcW w:type="dxa" w:w="2541"/>
            <w:vAlign w:val="top"/>
            <w:tcMar>
              <w:top w:w="70" w:type="dxa"/>
              <w:left w:w="80" w:type="dxa"/>
              <w:bottom w:w="70" w:type="dxa"/>
              <w:right w:w="80" w:type="dxa"/>
            </w:tcMar>
          </w:tcPr>
          <w:p>
            <w:pPr>
              <w:spacing w:after="0" w:line="240" w:lineRule="auto"/>
            </w:pPr>
            <w:r/>
            <w:r>
              <w:rPr>
                <w:rFonts w:ascii="Calibri" w:hAnsi="Calibri"/>
                <w:b w:val="0"/>
                <w:sz w:val="19"/>
              </w:rPr>
              <w:t>Cyber Risk Passport Subscription</w:t>
            </w:r>
          </w:p>
        </w:tc>
        <w:tc>
          <w:tcPr>
            <w:tcW w:type="dxa" w:w="2541"/>
            <w:vAlign w:val="top"/>
            <w:tcMar>
              <w:top w:w="70" w:type="dxa"/>
              <w:left w:w="80" w:type="dxa"/>
              <w:bottom w:w="70" w:type="dxa"/>
              <w:right w:w="80" w:type="dxa"/>
            </w:tcMar>
          </w:tcPr>
          <w:p>
            <w:pPr>
              <w:spacing w:after="0" w:line="240" w:lineRule="auto"/>
            </w:pPr>
            <w:r/>
            <w:r>
              <w:rPr>
                <w:rFonts w:ascii="Calibri" w:hAnsi="Calibri"/>
                <w:b w:val="0"/>
                <w:sz w:val="19"/>
              </w:rPr>
              <w:t>Maintain credential, sharing, evidence freshness, and renewal readiness.</w:t>
            </w:r>
          </w:p>
        </w:tc>
        <w:tc>
          <w:tcPr>
            <w:tcW w:type="dxa" w:w="2541"/>
            <w:vAlign w:val="top"/>
            <w:tcMar>
              <w:top w:w="70" w:type="dxa"/>
              <w:left w:w="80" w:type="dxa"/>
              <w:bottom w:w="70" w:type="dxa"/>
              <w:right w:w="80" w:type="dxa"/>
            </w:tcMar>
          </w:tcPr>
          <w:p>
            <w:pPr>
              <w:spacing w:after="0" w:line="240" w:lineRule="auto"/>
            </w:pPr>
            <w:r/>
            <w:r>
              <w:rPr>
                <w:rFonts w:ascii="Calibri" w:hAnsi="Calibri"/>
                <w:b w:val="0"/>
                <w:sz w:val="19"/>
              </w:rPr>
              <w:t>Organization</w:t>
            </w:r>
          </w:p>
        </w:tc>
        <w:tc>
          <w:tcPr>
            <w:tcW w:type="dxa" w:w="2541"/>
            <w:vAlign w:val="top"/>
            <w:tcMar>
              <w:top w:w="70" w:type="dxa"/>
              <w:left w:w="80" w:type="dxa"/>
              <w:bottom w:w="70" w:type="dxa"/>
              <w:right w:w="80" w:type="dxa"/>
            </w:tcMar>
          </w:tcPr>
          <w:p>
            <w:pPr>
              <w:spacing w:after="0" w:line="240" w:lineRule="auto"/>
            </w:pPr>
            <w:r/>
            <w:r>
              <w:rPr>
                <w:rFonts w:ascii="Calibri" w:hAnsi="Calibri"/>
                <w:b w:val="0"/>
                <w:sz w:val="19"/>
              </w:rPr>
              <w:t>Annual subscription.</w:t>
            </w:r>
          </w:p>
        </w:tc>
      </w:tr>
      <w:tr>
        <w:trPr>
          <w:cantSplit w:val="true"/>
        </w:trPr>
        <w:tc>
          <w:tcPr>
            <w:tcW w:type="dxa" w:w="2541"/>
            <w:vAlign w:val="top"/>
            <w:tcMar>
              <w:top w:w="70" w:type="dxa"/>
              <w:left w:w="80" w:type="dxa"/>
              <w:bottom w:w="70" w:type="dxa"/>
              <w:right w:w="80" w:type="dxa"/>
            </w:tcMar>
          </w:tcPr>
          <w:p>
            <w:pPr>
              <w:spacing w:after="0" w:line="240" w:lineRule="auto"/>
            </w:pPr>
            <w:r/>
            <w:r>
              <w:rPr>
                <w:rFonts w:ascii="Calibri" w:hAnsi="Calibri"/>
                <w:b w:val="0"/>
                <w:sz w:val="19"/>
              </w:rPr>
              <w:t>Continuous Assurance</w:t>
            </w:r>
          </w:p>
        </w:tc>
        <w:tc>
          <w:tcPr>
            <w:tcW w:type="dxa" w:w="2541"/>
            <w:vAlign w:val="top"/>
            <w:tcMar>
              <w:top w:w="70" w:type="dxa"/>
              <w:left w:w="80" w:type="dxa"/>
              <w:bottom w:w="70" w:type="dxa"/>
              <w:right w:w="80" w:type="dxa"/>
            </w:tcMar>
          </w:tcPr>
          <w:p>
            <w:pPr>
              <w:spacing w:after="0" w:line="240" w:lineRule="auto"/>
            </w:pPr>
            <w:r/>
            <w:r>
              <w:rPr>
                <w:rFonts w:ascii="Calibri" w:hAnsi="Calibri"/>
                <w:b w:val="0"/>
                <w:sz w:val="19"/>
              </w:rPr>
              <w:t>API-connected monitoring of dynamic controls.</w:t>
            </w:r>
          </w:p>
        </w:tc>
        <w:tc>
          <w:tcPr>
            <w:tcW w:type="dxa" w:w="2541"/>
            <w:vAlign w:val="top"/>
            <w:tcMar>
              <w:top w:w="70" w:type="dxa"/>
              <w:left w:w="80" w:type="dxa"/>
              <w:bottom w:w="70" w:type="dxa"/>
              <w:right w:w="80" w:type="dxa"/>
            </w:tcMar>
          </w:tcPr>
          <w:p>
            <w:pPr>
              <w:spacing w:after="0" w:line="240" w:lineRule="auto"/>
            </w:pPr>
            <w:r/>
            <w:r>
              <w:rPr>
                <w:rFonts w:ascii="Calibri" w:hAnsi="Calibri"/>
                <w:b w:val="0"/>
                <w:sz w:val="19"/>
              </w:rPr>
              <w:t>Mid-market / enterprise</w:t>
            </w:r>
          </w:p>
        </w:tc>
        <w:tc>
          <w:tcPr>
            <w:tcW w:type="dxa" w:w="2541"/>
            <w:vAlign w:val="top"/>
            <w:tcMar>
              <w:top w:w="70" w:type="dxa"/>
              <w:left w:w="80" w:type="dxa"/>
              <w:bottom w:w="70" w:type="dxa"/>
              <w:right w:w="80" w:type="dxa"/>
            </w:tcMar>
          </w:tcPr>
          <w:p>
            <w:pPr>
              <w:spacing w:after="0" w:line="240" w:lineRule="auto"/>
            </w:pPr>
            <w:r/>
            <w:r>
              <w:rPr>
                <w:rFonts w:ascii="Calibri" w:hAnsi="Calibri"/>
                <w:b w:val="0"/>
                <w:sz w:val="19"/>
              </w:rPr>
              <w:t>Annual subscription + connector tier.</w:t>
            </w:r>
          </w:p>
        </w:tc>
      </w:tr>
      <w:tr>
        <w:trPr>
          <w:cantSplit w:val="true"/>
        </w:trPr>
        <w:tc>
          <w:tcPr>
            <w:tcW w:type="dxa" w:w="2541"/>
            <w:vAlign w:val="top"/>
            <w:tcMar>
              <w:top w:w="70" w:type="dxa"/>
              <w:left w:w="80" w:type="dxa"/>
              <w:bottom w:w="70" w:type="dxa"/>
              <w:right w:w="80" w:type="dxa"/>
            </w:tcMar>
          </w:tcPr>
          <w:p>
            <w:pPr>
              <w:spacing w:after="0" w:line="240" w:lineRule="auto"/>
            </w:pPr>
            <w:r/>
            <w:r>
              <w:rPr>
                <w:rFonts w:ascii="Calibri" w:hAnsi="Calibri"/>
                <w:b w:val="0"/>
                <w:sz w:val="19"/>
              </w:rPr>
              <w:t>Broker Console</w:t>
            </w:r>
          </w:p>
        </w:tc>
        <w:tc>
          <w:tcPr>
            <w:tcW w:type="dxa" w:w="2541"/>
            <w:vAlign w:val="top"/>
            <w:tcMar>
              <w:top w:w="70" w:type="dxa"/>
              <w:left w:w="80" w:type="dxa"/>
              <w:bottom w:w="70" w:type="dxa"/>
              <w:right w:w="80" w:type="dxa"/>
            </w:tcMar>
          </w:tcPr>
          <w:p>
            <w:pPr>
              <w:spacing w:after="0" w:line="240" w:lineRule="auto"/>
            </w:pPr>
            <w:r/>
            <w:r>
              <w:rPr>
                <w:rFonts w:ascii="Calibri" w:hAnsi="Calibri"/>
                <w:b w:val="0"/>
                <w:sz w:val="19"/>
              </w:rPr>
              <w:t>Portfolio readiness, referral workflow, renewal queue.</w:t>
            </w:r>
          </w:p>
        </w:tc>
        <w:tc>
          <w:tcPr>
            <w:tcW w:type="dxa" w:w="2541"/>
            <w:vAlign w:val="top"/>
            <w:tcMar>
              <w:top w:w="70" w:type="dxa"/>
              <w:left w:w="80" w:type="dxa"/>
              <w:bottom w:w="70" w:type="dxa"/>
              <w:right w:w="80" w:type="dxa"/>
            </w:tcMar>
          </w:tcPr>
          <w:p>
            <w:pPr>
              <w:spacing w:after="0" w:line="240" w:lineRule="auto"/>
            </w:pPr>
            <w:r/>
            <w:r>
              <w:rPr>
                <w:rFonts w:ascii="Calibri" w:hAnsi="Calibri"/>
                <w:b w:val="0"/>
                <w:sz w:val="19"/>
              </w:rPr>
              <w:t>Brokerage</w:t>
            </w:r>
          </w:p>
        </w:tc>
        <w:tc>
          <w:tcPr>
            <w:tcW w:type="dxa" w:w="2541"/>
            <w:vAlign w:val="top"/>
            <w:tcMar>
              <w:top w:w="70" w:type="dxa"/>
              <w:left w:w="80" w:type="dxa"/>
              <w:bottom w:w="70" w:type="dxa"/>
              <w:right w:w="80" w:type="dxa"/>
            </w:tcMar>
          </w:tcPr>
          <w:p>
            <w:pPr>
              <w:spacing w:after="0" w:line="240" w:lineRule="auto"/>
            </w:pPr>
            <w:r/>
            <w:r>
              <w:rPr>
                <w:rFonts w:ascii="Calibri" w:hAnsi="Calibri"/>
                <w:b w:val="0"/>
                <w:sz w:val="19"/>
              </w:rPr>
              <w:t>Enterprise license, referral model, or partner agreement.</w:t>
            </w:r>
          </w:p>
        </w:tc>
      </w:tr>
      <w:tr>
        <w:trPr>
          <w:cantSplit w:val="true"/>
        </w:trPr>
        <w:tc>
          <w:tcPr>
            <w:tcW w:type="dxa" w:w="2541"/>
            <w:vAlign w:val="top"/>
            <w:tcMar>
              <w:top w:w="70" w:type="dxa"/>
              <w:left w:w="80" w:type="dxa"/>
              <w:bottom w:w="70" w:type="dxa"/>
              <w:right w:w="80" w:type="dxa"/>
            </w:tcMar>
          </w:tcPr>
          <w:p>
            <w:pPr>
              <w:spacing w:after="0" w:line="240" w:lineRule="auto"/>
            </w:pPr>
            <w:r/>
            <w:r>
              <w:rPr>
                <w:rFonts w:ascii="Calibri" w:hAnsi="Calibri"/>
                <w:b w:val="0"/>
                <w:sz w:val="19"/>
              </w:rPr>
              <w:t>Underwriter API</w:t>
            </w:r>
          </w:p>
        </w:tc>
        <w:tc>
          <w:tcPr>
            <w:tcW w:type="dxa" w:w="2541"/>
            <w:vAlign w:val="top"/>
            <w:tcMar>
              <w:top w:w="70" w:type="dxa"/>
              <w:left w:w="80" w:type="dxa"/>
              <w:bottom w:w="70" w:type="dxa"/>
              <w:right w:w="80" w:type="dxa"/>
            </w:tcMar>
          </w:tcPr>
          <w:p>
            <w:pPr>
              <w:spacing w:after="0" w:line="240" w:lineRule="auto"/>
            </w:pPr>
            <w:r/>
            <w:r>
              <w:rPr>
                <w:rFonts w:ascii="Calibri" w:hAnsi="Calibri"/>
                <w:b w:val="0"/>
                <w:sz w:val="19"/>
              </w:rPr>
              <w:t>Verified assurance claims integrated into underwriting workflow.</w:t>
            </w:r>
          </w:p>
        </w:tc>
        <w:tc>
          <w:tcPr>
            <w:tcW w:type="dxa" w:w="2541"/>
            <w:vAlign w:val="top"/>
            <w:tcMar>
              <w:top w:w="70" w:type="dxa"/>
              <w:left w:w="80" w:type="dxa"/>
              <w:bottom w:w="70" w:type="dxa"/>
              <w:right w:w="80" w:type="dxa"/>
            </w:tcMar>
          </w:tcPr>
          <w:p>
            <w:pPr>
              <w:spacing w:after="0" w:line="240" w:lineRule="auto"/>
            </w:pPr>
            <w:r/>
            <w:r>
              <w:rPr>
                <w:rFonts w:ascii="Calibri" w:hAnsi="Calibri"/>
                <w:b w:val="0"/>
                <w:sz w:val="19"/>
              </w:rPr>
              <w:t>Carrier/MGA</w:t>
            </w:r>
          </w:p>
        </w:tc>
        <w:tc>
          <w:tcPr>
            <w:tcW w:type="dxa" w:w="2541"/>
            <w:vAlign w:val="top"/>
            <w:tcMar>
              <w:top w:w="70" w:type="dxa"/>
              <w:left w:w="80" w:type="dxa"/>
              <w:bottom w:w="70" w:type="dxa"/>
              <w:right w:w="80" w:type="dxa"/>
            </w:tcMar>
          </w:tcPr>
          <w:p>
            <w:pPr>
              <w:spacing w:after="0" w:line="240" w:lineRule="auto"/>
            </w:pPr>
            <w:r/>
            <w:r>
              <w:rPr>
                <w:rFonts w:ascii="Calibri" w:hAnsi="Calibri"/>
                <w:b w:val="0"/>
                <w:sz w:val="19"/>
              </w:rPr>
              <w:t>Enterprise/API license.</w:t>
            </w:r>
          </w:p>
        </w:tc>
      </w:tr>
      <w:tr>
        <w:trPr>
          <w:cantSplit w:val="true"/>
        </w:trPr>
        <w:tc>
          <w:tcPr>
            <w:tcW w:type="dxa" w:w="2541"/>
            <w:vAlign w:val="top"/>
            <w:tcMar>
              <w:top w:w="70" w:type="dxa"/>
              <w:left w:w="80" w:type="dxa"/>
              <w:bottom w:w="70" w:type="dxa"/>
              <w:right w:w="80" w:type="dxa"/>
            </w:tcMar>
          </w:tcPr>
          <w:p>
            <w:pPr>
              <w:spacing w:after="0" w:line="240" w:lineRule="auto"/>
            </w:pPr>
            <w:r/>
            <w:r>
              <w:rPr>
                <w:rFonts w:ascii="Calibri" w:hAnsi="Calibri"/>
                <w:b w:val="0"/>
                <w:sz w:val="19"/>
              </w:rPr>
              <w:t>Carrier Mapping Service</w:t>
            </w:r>
          </w:p>
        </w:tc>
        <w:tc>
          <w:tcPr>
            <w:tcW w:type="dxa" w:w="2541"/>
            <w:vAlign w:val="top"/>
            <w:tcMar>
              <w:top w:w="70" w:type="dxa"/>
              <w:left w:w="80" w:type="dxa"/>
              <w:bottom w:w="70" w:type="dxa"/>
              <w:right w:w="80" w:type="dxa"/>
            </w:tcMar>
          </w:tcPr>
          <w:p>
            <w:pPr>
              <w:spacing w:after="0" w:line="240" w:lineRule="auto"/>
            </w:pPr>
            <w:r/>
            <w:r>
              <w:rPr>
                <w:rFonts w:ascii="Calibri" w:hAnsi="Calibri"/>
                <w:b w:val="0"/>
                <w:sz w:val="19"/>
              </w:rPr>
              <w:t>Private mapping workspace and requirement maintenance.</w:t>
            </w:r>
          </w:p>
        </w:tc>
        <w:tc>
          <w:tcPr>
            <w:tcW w:type="dxa" w:w="2541"/>
            <w:vAlign w:val="top"/>
            <w:tcMar>
              <w:top w:w="70" w:type="dxa"/>
              <w:left w:w="80" w:type="dxa"/>
              <w:bottom w:w="70" w:type="dxa"/>
              <w:right w:w="80" w:type="dxa"/>
            </w:tcMar>
          </w:tcPr>
          <w:p>
            <w:pPr>
              <w:spacing w:after="0" w:line="240" w:lineRule="auto"/>
            </w:pPr>
            <w:r/>
            <w:r>
              <w:rPr>
                <w:rFonts w:ascii="Calibri" w:hAnsi="Calibri"/>
                <w:b w:val="0"/>
                <w:sz w:val="19"/>
              </w:rPr>
              <w:t>Carrier / broker</w:t>
            </w:r>
          </w:p>
        </w:tc>
        <w:tc>
          <w:tcPr>
            <w:tcW w:type="dxa" w:w="2541"/>
            <w:vAlign w:val="top"/>
            <w:tcMar>
              <w:top w:w="70" w:type="dxa"/>
              <w:left w:w="80" w:type="dxa"/>
              <w:bottom w:w="70" w:type="dxa"/>
              <w:right w:w="80" w:type="dxa"/>
            </w:tcMar>
          </w:tcPr>
          <w:p>
            <w:pPr>
              <w:spacing w:after="0" w:line="240" w:lineRule="auto"/>
            </w:pPr>
            <w:r/>
            <w:r>
              <w:rPr>
                <w:rFonts w:ascii="Calibri" w:hAnsi="Calibri"/>
                <w:b w:val="0"/>
                <w:sz w:val="19"/>
              </w:rPr>
              <w:t>Annual partner fee or strategic agreement.</w:t>
            </w:r>
          </w:p>
        </w:tc>
      </w:tr>
      <w:tr>
        <w:trPr>
          <w:cantSplit w:val="true"/>
        </w:trPr>
        <w:tc>
          <w:tcPr>
            <w:tcW w:type="dxa" w:w="2541"/>
            <w:vAlign w:val="top"/>
            <w:tcMar>
              <w:top w:w="70" w:type="dxa"/>
              <w:left w:w="80" w:type="dxa"/>
              <w:bottom w:w="70" w:type="dxa"/>
              <w:right w:w="80" w:type="dxa"/>
            </w:tcMar>
          </w:tcPr>
          <w:p>
            <w:pPr>
              <w:spacing w:after="0" w:line="240" w:lineRule="auto"/>
            </w:pPr>
            <w:r/>
            <w:r>
              <w:rPr>
                <w:rFonts w:ascii="Calibri" w:hAnsi="Calibri"/>
                <w:b w:val="0"/>
                <w:sz w:val="19"/>
              </w:rPr>
              <w:t>Benchmark / Risk Intelligence</w:t>
            </w:r>
          </w:p>
        </w:tc>
        <w:tc>
          <w:tcPr>
            <w:tcW w:type="dxa" w:w="2541"/>
            <w:vAlign w:val="top"/>
            <w:tcMar>
              <w:top w:w="70" w:type="dxa"/>
              <w:left w:w="80" w:type="dxa"/>
              <w:bottom w:w="70" w:type="dxa"/>
              <w:right w:w="80" w:type="dxa"/>
            </w:tcMar>
          </w:tcPr>
          <w:p>
            <w:pPr>
              <w:spacing w:after="0" w:line="240" w:lineRule="auto"/>
            </w:pPr>
            <w:r/>
            <w:r>
              <w:rPr>
                <w:rFonts w:ascii="Calibri" w:hAnsi="Calibri"/>
                <w:b w:val="0"/>
                <w:sz w:val="19"/>
              </w:rPr>
              <w:t>Aggregated and de-identified risk intelligence subject to rights and privacy limits.</w:t>
            </w:r>
          </w:p>
        </w:tc>
        <w:tc>
          <w:tcPr>
            <w:tcW w:type="dxa" w:w="2541"/>
            <w:vAlign w:val="top"/>
            <w:tcMar>
              <w:top w:w="70" w:type="dxa"/>
              <w:left w:w="80" w:type="dxa"/>
              <w:bottom w:w="70" w:type="dxa"/>
              <w:right w:w="80" w:type="dxa"/>
            </w:tcMar>
          </w:tcPr>
          <w:p>
            <w:pPr>
              <w:spacing w:after="0" w:line="240" w:lineRule="auto"/>
            </w:pPr>
            <w:r/>
            <w:r>
              <w:rPr>
                <w:rFonts w:ascii="Calibri" w:hAnsi="Calibri"/>
                <w:b w:val="0"/>
                <w:sz w:val="19"/>
              </w:rPr>
              <w:t>Broker, insurer, reinsurer</w:t>
            </w:r>
          </w:p>
        </w:tc>
        <w:tc>
          <w:tcPr>
            <w:tcW w:type="dxa" w:w="2541"/>
            <w:vAlign w:val="top"/>
            <w:tcMar>
              <w:top w:w="70" w:type="dxa"/>
              <w:left w:w="80" w:type="dxa"/>
              <w:bottom w:w="70" w:type="dxa"/>
              <w:right w:w="80" w:type="dxa"/>
            </w:tcMar>
          </w:tcPr>
          <w:p>
            <w:pPr>
              <w:spacing w:after="0" w:line="240" w:lineRule="auto"/>
            </w:pPr>
            <w:r/>
            <w:r>
              <w:rPr>
                <w:rFonts w:ascii="Calibri" w:hAnsi="Calibri"/>
                <w:b w:val="0"/>
                <w:sz w:val="19"/>
              </w:rPr>
              <w:t>Data subscription / analytics license.</w:t>
            </w:r>
          </w:p>
        </w:tc>
      </w:tr>
    </w:tbl>
    <w:p>
      <w:pPr>
        <w:spacing w:after="40"/>
      </w:pPr>
    </w:p>
    <w:p>
      <w:pPr>
        <w:pStyle w:val="Heading2"/>
        <w:keepNext/>
        <w:spacing w:before="100" w:after="80"/>
      </w:pPr>
      <w:r>
        <w:rPr>
          <w:rFonts w:ascii="Calibri" w:hAnsi="Calibri"/>
          <w:b/>
          <w:color w:val="1F4E79"/>
          <w:sz w:val="25"/>
        </w:rPr>
        <w:t>7.2 Revenue independence principle</w:t>
      </w:r>
    </w:p>
    <w:p>
      <w:pPr>
        <w:spacing w:after="80" w:line="259" w:lineRule="auto"/>
      </w:pPr>
      <w:r>
        <w:rPr>
          <w:rFonts w:ascii="Calibri" w:hAnsi="Calibri"/>
          <w:sz w:val="21"/>
        </w:rPr>
        <w:t>The credibility of the assurance decision improves if Laurelshield’s assessment fee is not contingent on a policy being bound, the premium charged, or a particular carrier being selected. Referral compensation and insurance-related fees must be separately documented, licensed where required, and disclosed. The assurance team should be economically capable of issuing a negative or conditional result without losing its entire fee.</w:t>
      </w:r>
    </w:p>
    <w:p>
      <w:pPr>
        <w:pStyle w:val="Heading2"/>
        <w:keepNext/>
        <w:spacing w:before="100" w:after="80"/>
      </w:pPr>
      <w:r>
        <w:rPr>
          <w:rFonts w:ascii="Calibri" w:hAnsi="Calibri"/>
          <w:b/>
          <w:color w:val="1F4E79"/>
          <w:sz w:val="25"/>
        </w:rPr>
        <w:t>7.3 Pricing design principles</w:t>
      </w:r>
    </w:p>
    <w:p>
      <w:pPr>
        <w:pStyle w:val="ListBullet"/>
        <w:spacing w:after="40" w:line="252" w:lineRule="auto"/>
      </w:pPr>
      <w:r>
        <w:rPr>
          <w:rFonts w:ascii="Calibri" w:hAnsi="Calibri"/>
          <w:sz w:val="21"/>
        </w:rPr>
        <w:t>Price verification by complexity: entity count, endpoints, cloud accounts, critical applications, evidence connectors, OT, and required test depth — not simply revenue.</w:t>
      </w:r>
    </w:p>
    <w:p>
      <w:pPr>
        <w:pStyle w:val="ListBullet"/>
        <w:spacing w:after="40" w:line="252" w:lineRule="auto"/>
      </w:pPr>
      <w:r>
        <w:rPr>
          <w:rFonts w:ascii="Calibri" w:hAnsi="Calibri"/>
          <w:sz w:val="21"/>
        </w:rPr>
        <w:t>Use recurring subscription pricing for continuous assurance and passport maintenance; do not rely only on one-time assessments.</w:t>
      </w:r>
    </w:p>
    <w:p>
      <w:pPr>
        <w:pStyle w:val="ListBullet"/>
        <w:spacing w:after="40" w:line="252" w:lineRule="auto"/>
      </w:pPr>
      <w:r>
        <w:rPr>
          <w:rFonts w:ascii="Calibri" w:hAnsi="Calibri"/>
          <w:sz w:val="21"/>
        </w:rPr>
        <w:t>Offer broker/carrier enterprise economics only after the pilot demonstrates measurable reduction in underwriting friction.</w:t>
      </w:r>
    </w:p>
    <w:p>
      <w:pPr>
        <w:pStyle w:val="ListBullet"/>
        <w:spacing w:after="40" w:line="252" w:lineRule="auto"/>
      </w:pPr>
      <w:r>
        <w:rPr>
          <w:rFonts w:ascii="Calibri" w:hAnsi="Calibri"/>
          <w:sz w:val="21"/>
        </w:rPr>
        <w:t>Keep a clean separation between technical assurance fees and insurance placement/referral compensation.</w:t>
      </w:r>
    </w:p>
    <w:p>
      <w:pPr>
        <w:pStyle w:val="Heading1"/>
        <w:keepNext/>
        <w:spacing w:before="160" w:after="80"/>
      </w:pPr>
      <w:r>
        <w:rPr>
          <w:rFonts w:ascii="Calibri" w:hAnsi="Calibri"/>
          <w:b/>
          <w:color w:val="1F4E79"/>
          <w:sz w:val="30"/>
        </w:rPr>
        <w:t>8. Broker Partnership Process</w:t>
      </w:r>
    </w:p>
    <w:p>
      <w:pPr>
        <w:spacing w:after="80" w:line="259" w:lineRule="auto"/>
      </w:pPr>
      <w:r>
        <w:rPr>
          <w:rFonts w:ascii="Calibri" w:hAnsi="Calibri"/>
          <w:sz w:val="21"/>
        </w:rPr>
        <w:t>Brokers are distribution partners and workflow beneficiaries. The broker proposition should be “higher-quality evidence, fewer technical follow-ups, earlier identification of placement problems, and a portfolio view of renewal readiness,” not “Laurelshield decides which insurer to use.” CyberCube’s broker-preparation model provides market validation that brokers value tools that identify insurance-relevant security issues before placement.</w:t>
      </w:r>
      <w:r>
        <w:rPr>
          <w:rFonts w:ascii="Calibri" w:hAnsi="Calibri"/>
          <w:sz w:val="21"/>
        </w:rPr>
        <w:t xml:space="preserve"> </w:t>
      </w:r>
      <w:hyperlink r:id="rId14">
        <w:r>
          <w:rPr>
            <w:rFonts w:ascii="Calibri" w:hAnsi="Calibri"/>
            <w:sz w:val="19"/>
            <w:szCs w:val="19"/>
            <w:color w:val="0563C1"/>
            <w:u w:val="single"/>
          </w:rPr>
          <w:t>[6]</w:t>
        </w:r>
      </w:hyperlink>
    </w:p>
    <w:p>
      <w:pPr>
        <w:pStyle w:val="Heading2"/>
        <w:keepNext/>
        <w:spacing w:before="100" w:after="80"/>
      </w:pPr>
      <w:r>
        <w:rPr>
          <w:rFonts w:ascii="Calibri" w:hAnsi="Calibri"/>
          <w:b/>
          <w:color w:val="1F4E79"/>
          <w:sz w:val="25"/>
        </w:rPr>
        <w:t>8.1 Broker onboarding sequence</w:t>
      </w:r>
    </w:p>
    <w:p>
      <w:pPr>
        <w:spacing w:after="80" w:line="259" w:lineRule="auto"/>
      </w:pPr>
      <w:r>
        <w:rPr>
          <w:rFonts w:ascii="Calibri" w:hAnsi="Calibri"/>
          <w:sz w:val="21"/>
        </w:rPr>
        <w:t>1. Discovery: document current cyber placement workflow, renewal timeline, common underwriting follow-ups, and technical bottlenecks.</w:t>
      </w:r>
    </w:p>
    <w:p>
      <w:pPr>
        <w:spacing w:after="80" w:line="259" w:lineRule="auto"/>
      </w:pPr>
      <w:r>
        <w:rPr>
          <w:rFonts w:ascii="Calibri" w:hAnsi="Calibri"/>
          <w:sz w:val="21"/>
        </w:rPr>
        <w:t>2. Mapping workshop: translate the broker’s existing application/evidence requests to Laurelshield canonical controls.</w:t>
      </w:r>
    </w:p>
    <w:p>
      <w:pPr>
        <w:spacing w:after="80" w:line="259" w:lineRule="auto"/>
      </w:pPr>
      <w:r>
        <w:rPr>
          <w:rFonts w:ascii="Calibri" w:hAnsi="Calibri"/>
          <w:sz w:val="21"/>
        </w:rPr>
        <w:t>3. Legal/compliance: define client consent, referral disclosures, data use, confidentiality, non-exclusivity, IP ownership, and no-underwriting-authority boundary.</w:t>
      </w:r>
    </w:p>
    <w:p>
      <w:pPr>
        <w:spacing w:after="80" w:line="259" w:lineRule="auto"/>
      </w:pPr>
      <w:r>
        <w:rPr>
          <w:rFonts w:ascii="Calibri" w:hAnsi="Calibri"/>
          <w:sz w:val="21"/>
        </w:rPr>
        <w:t>4. Pilot: 5–10 clients, preferably 90–180 days before renewal.</w:t>
      </w:r>
    </w:p>
    <w:p>
      <w:pPr>
        <w:spacing w:after="80" w:line="259" w:lineRule="auto"/>
      </w:pPr>
      <w:r>
        <w:rPr>
          <w:rFonts w:ascii="Calibri" w:hAnsi="Calibri"/>
          <w:sz w:val="21"/>
        </w:rPr>
        <w:t>5. Measure: evidence reuse, broker technical touchpoints, additional information requests, time to market-ready, client remediation rate.</w:t>
      </w:r>
    </w:p>
    <w:p>
      <w:pPr>
        <w:spacing w:after="80" w:line="259" w:lineRule="auto"/>
      </w:pPr>
      <w:r>
        <w:rPr>
          <w:rFonts w:ascii="Calibri" w:hAnsi="Calibri"/>
          <w:sz w:val="21"/>
        </w:rPr>
        <w:t>6. Institutionalize: broker console, referral trigger codes, service-level agreements, renewal queue, standardized evidence package.</w:t>
      </w:r>
    </w:p>
    <w:p>
      <w:pPr>
        <w:spacing w:after="80" w:line="259" w:lineRule="auto"/>
      </w:pPr>
      <w:r>
        <w:rPr>
          <w:rFonts w:ascii="Calibri" w:hAnsi="Calibri"/>
          <w:sz w:val="21"/>
        </w:rPr>
        <w:t>7. Integrate: API or workflow integration only after repeatable product-market fit.</w:t>
      </w:r>
    </w:p>
    <w:p>
      <w:pPr>
        <w:pStyle w:val="Heading2"/>
        <w:keepNext/>
        <w:spacing w:before="100" w:after="80"/>
      </w:pPr>
      <w:r>
        <w:rPr>
          <w:rFonts w:ascii="Calibri" w:hAnsi="Calibri"/>
          <w:b/>
          <w:color w:val="1F4E79"/>
          <w:sz w:val="25"/>
        </w:rPr>
        <w:t>8.2 Broker referral triggers</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val="true"/>
        </w:trPr>
        <w:tc>
          <w:tcPr>
            <w:tcW w:type="dxa" w:w="5083"/>
            <w:vAlign w:val="top"/>
            <w:shd w:fill="D9EAF7"/>
            <w:tcMar>
              <w:top w:w="70" w:type="dxa"/>
              <w:left w:w="80" w:type="dxa"/>
              <w:bottom w:w="70" w:type="dxa"/>
              <w:right w:w="80" w:type="dxa"/>
            </w:tcMar>
          </w:tcPr>
          <w:p>
            <w:pPr>
              <w:spacing w:after="0" w:line="240" w:lineRule="auto"/>
            </w:pPr>
            <w:r/>
            <w:r>
              <w:rPr>
                <w:rFonts w:ascii="Calibri" w:hAnsi="Calibri"/>
                <w:b/>
                <w:sz w:val="19"/>
              </w:rPr>
              <w:t>Trigger</w:t>
            </w:r>
          </w:p>
        </w:tc>
        <w:tc>
          <w:tcPr>
            <w:tcW w:type="dxa" w:w="5083"/>
            <w:vAlign w:val="top"/>
            <w:shd w:fill="D9EAF7"/>
            <w:tcMar>
              <w:top w:w="70" w:type="dxa"/>
              <w:left w:w="80" w:type="dxa"/>
              <w:bottom w:w="70" w:type="dxa"/>
              <w:right w:w="80" w:type="dxa"/>
            </w:tcMar>
          </w:tcPr>
          <w:p>
            <w:pPr>
              <w:spacing w:after="0" w:line="240" w:lineRule="auto"/>
            </w:pPr>
            <w:r/>
            <w:r>
              <w:rPr>
                <w:rFonts w:ascii="Calibri" w:hAnsi="Calibri"/>
                <w:b/>
                <w:sz w:val="19"/>
              </w:rPr>
              <w:t>Example</w:t>
            </w:r>
          </w:p>
        </w:tc>
      </w:tr>
      <w:tr>
        <w:trPr>
          <w:cantSplit w:val="true"/>
        </w:trPr>
        <w:tc>
          <w:tcPr>
            <w:tcW w:type="dxa" w:w="5083"/>
            <w:vAlign w:val="top"/>
            <w:tcMar>
              <w:top w:w="70" w:type="dxa"/>
              <w:left w:w="80" w:type="dxa"/>
              <w:bottom w:w="70" w:type="dxa"/>
              <w:right w:w="80" w:type="dxa"/>
            </w:tcMar>
          </w:tcPr>
          <w:p>
            <w:pPr>
              <w:spacing w:after="0" w:line="240" w:lineRule="auto"/>
            </w:pPr>
            <w:r/>
            <w:r>
              <w:rPr>
                <w:rFonts w:ascii="Calibri" w:hAnsi="Calibri"/>
                <w:b w:val="0"/>
                <w:sz w:val="19"/>
              </w:rPr>
              <w:t>Unverified MFA</w:t>
            </w:r>
          </w:p>
        </w:tc>
        <w:tc>
          <w:tcPr>
            <w:tcW w:type="dxa" w:w="5083"/>
            <w:vAlign w:val="top"/>
            <w:tcMar>
              <w:top w:w="70" w:type="dxa"/>
              <w:left w:w="80" w:type="dxa"/>
              <w:bottom w:w="70" w:type="dxa"/>
              <w:right w:w="80" w:type="dxa"/>
            </w:tcMar>
          </w:tcPr>
          <w:p>
            <w:pPr>
              <w:spacing w:after="0" w:line="240" w:lineRule="auto"/>
            </w:pPr>
            <w:r/>
            <w:r>
              <w:rPr>
                <w:rFonts w:ascii="Calibri" w:hAnsi="Calibri"/>
                <w:b w:val="0"/>
                <w:sz w:val="19"/>
              </w:rPr>
              <w:t>Client answered “yes” but coverage/scope is uncertain.</w:t>
            </w:r>
          </w:p>
        </w:tc>
      </w:tr>
      <w:tr>
        <w:trPr>
          <w:cantSplit w:val="true"/>
        </w:trPr>
        <w:tc>
          <w:tcPr>
            <w:tcW w:type="dxa" w:w="5083"/>
            <w:vAlign w:val="top"/>
            <w:tcMar>
              <w:top w:w="70" w:type="dxa"/>
              <w:left w:w="80" w:type="dxa"/>
              <w:bottom w:w="70" w:type="dxa"/>
              <w:right w:w="80" w:type="dxa"/>
            </w:tcMar>
          </w:tcPr>
          <w:p>
            <w:pPr>
              <w:spacing w:after="0" w:line="240" w:lineRule="auto"/>
            </w:pPr>
            <w:r/>
            <w:r>
              <w:rPr>
                <w:rFonts w:ascii="Calibri" w:hAnsi="Calibri"/>
                <w:b w:val="0"/>
                <w:sz w:val="19"/>
              </w:rPr>
              <w:t>Backup concern</w:t>
            </w:r>
          </w:p>
        </w:tc>
        <w:tc>
          <w:tcPr>
            <w:tcW w:type="dxa" w:w="5083"/>
            <w:vAlign w:val="top"/>
            <w:tcMar>
              <w:top w:w="70" w:type="dxa"/>
              <w:left w:w="80" w:type="dxa"/>
              <w:bottom w:w="70" w:type="dxa"/>
              <w:right w:w="80" w:type="dxa"/>
            </w:tcMar>
          </w:tcPr>
          <w:p>
            <w:pPr>
              <w:spacing w:after="0" w:line="240" w:lineRule="auto"/>
            </w:pPr>
            <w:r/>
            <w:r>
              <w:rPr>
                <w:rFonts w:ascii="Calibri" w:hAnsi="Calibri"/>
                <w:b w:val="0"/>
                <w:sz w:val="19"/>
              </w:rPr>
              <w:t>Carrier asks about immutability, separation, or restore testing.</w:t>
            </w:r>
          </w:p>
        </w:tc>
      </w:tr>
      <w:tr>
        <w:trPr>
          <w:cantSplit w:val="true"/>
        </w:trPr>
        <w:tc>
          <w:tcPr>
            <w:tcW w:type="dxa" w:w="5083"/>
            <w:vAlign w:val="top"/>
            <w:tcMar>
              <w:top w:w="70" w:type="dxa"/>
              <w:left w:w="80" w:type="dxa"/>
              <w:bottom w:w="70" w:type="dxa"/>
              <w:right w:w="80" w:type="dxa"/>
            </w:tcMar>
          </w:tcPr>
          <w:p>
            <w:pPr>
              <w:spacing w:after="0" w:line="240" w:lineRule="auto"/>
            </w:pPr>
            <w:r/>
            <w:r>
              <w:rPr>
                <w:rFonts w:ascii="Calibri" w:hAnsi="Calibri"/>
                <w:b w:val="0"/>
                <w:sz w:val="19"/>
              </w:rPr>
              <w:t>EDR gap</w:t>
            </w:r>
          </w:p>
        </w:tc>
        <w:tc>
          <w:tcPr>
            <w:tcW w:type="dxa" w:w="5083"/>
            <w:vAlign w:val="top"/>
            <w:tcMar>
              <w:top w:w="70" w:type="dxa"/>
              <w:left w:w="80" w:type="dxa"/>
              <w:bottom w:w="70" w:type="dxa"/>
              <w:right w:w="80" w:type="dxa"/>
            </w:tcMar>
          </w:tcPr>
          <w:p>
            <w:pPr>
              <w:spacing w:after="0" w:line="240" w:lineRule="auto"/>
            </w:pPr>
            <w:r/>
            <w:r>
              <w:rPr>
                <w:rFonts w:ascii="Calibri" w:hAnsi="Calibri"/>
                <w:b w:val="0"/>
                <w:sz w:val="19"/>
              </w:rPr>
              <w:t>Insurer requests proof of endpoint coverage or sensor health.</w:t>
            </w:r>
          </w:p>
        </w:tc>
      </w:tr>
      <w:tr>
        <w:trPr>
          <w:cantSplit w:val="true"/>
        </w:trPr>
        <w:tc>
          <w:tcPr>
            <w:tcW w:type="dxa" w:w="5083"/>
            <w:vAlign w:val="top"/>
            <w:tcMar>
              <w:top w:w="70" w:type="dxa"/>
              <w:left w:w="80" w:type="dxa"/>
              <w:bottom w:w="70" w:type="dxa"/>
              <w:right w:w="80" w:type="dxa"/>
            </w:tcMar>
          </w:tcPr>
          <w:p>
            <w:pPr>
              <w:spacing w:after="0" w:line="240" w:lineRule="auto"/>
            </w:pPr>
            <w:r/>
            <w:r>
              <w:rPr>
                <w:rFonts w:ascii="Calibri" w:hAnsi="Calibri"/>
                <w:b w:val="0"/>
                <w:sz w:val="19"/>
              </w:rPr>
              <w:t>External exposure</w:t>
            </w:r>
          </w:p>
        </w:tc>
        <w:tc>
          <w:tcPr>
            <w:tcW w:type="dxa" w:w="5083"/>
            <w:vAlign w:val="top"/>
            <w:tcMar>
              <w:top w:w="70" w:type="dxa"/>
              <w:left w:w="80" w:type="dxa"/>
              <w:bottom w:w="70" w:type="dxa"/>
              <w:right w:w="80" w:type="dxa"/>
            </w:tcMar>
          </w:tcPr>
          <w:p>
            <w:pPr>
              <w:spacing w:after="0" w:line="240" w:lineRule="auto"/>
            </w:pPr>
            <w:r/>
            <w:r>
              <w:rPr>
                <w:rFonts w:ascii="Calibri" w:hAnsi="Calibri"/>
                <w:b w:val="0"/>
                <w:sz w:val="19"/>
              </w:rPr>
              <w:t>RDP/VPN/critical vulnerability identified during market preparation.</w:t>
            </w:r>
          </w:p>
        </w:tc>
      </w:tr>
      <w:tr>
        <w:trPr>
          <w:cantSplit w:val="true"/>
        </w:trPr>
        <w:tc>
          <w:tcPr>
            <w:tcW w:type="dxa" w:w="5083"/>
            <w:vAlign w:val="top"/>
            <w:tcMar>
              <w:top w:w="70" w:type="dxa"/>
              <w:left w:w="80" w:type="dxa"/>
              <w:bottom w:w="70" w:type="dxa"/>
              <w:right w:w="80" w:type="dxa"/>
            </w:tcMar>
          </w:tcPr>
          <w:p>
            <w:pPr>
              <w:spacing w:after="0" w:line="240" w:lineRule="auto"/>
            </w:pPr>
            <w:r/>
            <w:r>
              <w:rPr>
                <w:rFonts w:ascii="Calibri" w:hAnsi="Calibri"/>
                <w:b w:val="0"/>
                <w:sz w:val="19"/>
              </w:rPr>
              <w:t>Questionnaire uncertainty</w:t>
            </w:r>
          </w:p>
        </w:tc>
        <w:tc>
          <w:tcPr>
            <w:tcW w:type="dxa" w:w="5083"/>
            <w:vAlign w:val="top"/>
            <w:tcMar>
              <w:top w:w="70" w:type="dxa"/>
              <w:left w:w="80" w:type="dxa"/>
              <w:bottom w:w="70" w:type="dxa"/>
              <w:right w:w="80" w:type="dxa"/>
            </w:tcMar>
          </w:tcPr>
          <w:p>
            <w:pPr>
              <w:spacing w:after="0" w:line="240" w:lineRule="auto"/>
            </w:pPr>
            <w:r/>
            <w:r>
              <w:rPr>
                <w:rFonts w:ascii="Calibri" w:hAnsi="Calibri"/>
                <w:b w:val="0"/>
                <w:sz w:val="19"/>
              </w:rPr>
              <w:t>Business cannot confidently answer technical application questions.</w:t>
            </w:r>
          </w:p>
        </w:tc>
      </w:tr>
      <w:tr>
        <w:trPr>
          <w:cantSplit w:val="true"/>
        </w:trPr>
        <w:tc>
          <w:tcPr>
            <w:tcW w:type="dxa" w:w="5083"/>
            <w:vAlign w:val="top"/>
            <w:tcMar>
              <w:top w:w="70" w:type="dxa"/>
              <w:left w:w="80" w:type="dxa"/>
              <w:bottom w:w="70" w:type="dxa"/>
              <w:right w:w="80" w:type="dxa"/>
            </w:tcMar>
          </w:tcPr>
          <w:p>
            <w:pPr>
              <w:spacing w:after="0" w:line="240" w:lineRule="auto"/>
            </w:pPr>
            <w:r/>
            <w:r>
              <w:rPr>
                <w:rFonts w:ascii="Calibri" w:hAnsi="Calibri"/>
                <w:b w:val="0"/>
                <w:sz w:val="19"/>
              </w:rPr>
              <w:t>Renewal readiness</w:t>
            </w:r>
          </w:p>
        </w:tc>
        <w:tc>
          <w:tcPr>
            <w:tcW w:type="dxa" w:w="5083"/>
            <w:vAlign w:val="top"/>
            <w:tcMar>
              <w:top w:w="70" w:type="dxa"/>
              <w:left w:w="80" w:type="dxa"/>
              <w:bottom w:w="70" w:type="dxa"/>
              <w:right w:w="80" w:type="dxa"/>
            </w:tcMar>
          </w:tcPr>
          <w:p>
            <w:pPr>
              <w:spacing w:after="0" w:line="240" w:lineRule="auto"/>
            </w:pPr>
            <w:r/>
            <w:r>
              <w:rPr>
                <w:rFonts w:ascii="Calibri" w:hAnsi="Calibri"/>
                <w:b w:val="0"/>
                <w:sz w:val="19"/>
              </w:rPr>
              <w:t>Client is 90–180 days from renewal and requires evidence refresh.</w:t>
            </w:r>
          </w:p>
        </w:tc>
      </w:tr>
      <w:tr>
        <w:trPr>
          <w:cantSplit w:val="true"/>
        </w:trPr>
        <w:tc>
          <w:tcPr>
            <w:tcW w:type="dxa" w:w="5083"/>
            <w:vAlign w:val="top"/>
            <w:tcMar>
              <w:top w:w="70" w:type="dxa"/>
              <w:left w:w="80" w:type="dxa"/>
              <w:bottom w:w="70" w:type="dxa"/>
              <w:right w:w="80" w:type="dxa"/>
            </w:tcMar>
          </w:tcPr>
          <w:p>
            <w:pPr>
              <w:spacing w:after="0" w:line="240" w:lineRule="auto"/>
            </w:pPr>
            <w:r/>
            <w:r>
              <w:rPr>
                <w:rFonts w:ascii="Calibri" w:hAnsi="Calibri"/>
                <w:b w:val="0"/>
                <w:sz w:val="19"/>
              </w:rPr>
              <w:t>Carrier remediation condition</w:t>
            </w:r>
          </w:p>
        </w:tc>
        <w:tc>
          <w:tcPr>
            <w:tcW w:type="dxa" w:w="5083"/>
            <w:vAlign w:val="top"/>
            <w:tcMar>
              <w:top w:w="70" w:type="dxa"/>
              <w:left w:w="80" w:type="dxa"/>
              <w:bottom w:w="70" w:type="dxa"/>
              <w:right w:w="80" w:type="dxa"/>
            </w:tcMar>
          </w:tcPr>
          <w:p>
            <w:pPr>
              <w:spacing w:after="0" w:line="240" w:lineRule="auto"/>
            </w:pPr>
            <w:r/>
            <w:r>
              <w:rPr>
                <w:rFonts w:ascii="Calibri" w:hAnsi="Calibri"/>
                <w:b w:val="0"/>
                <w:sz w:val="19"/>
              </w:rPr>
              <w:t>Underwriter requests specific control improvement before quote/bind.</w:t>
            </w:r>
          </w:p>
        </w:tc>
      </w:tr>
    </w:tbl>
    <w:p>
      <w:pPr>
        <w:spacing w:after="40"/>
      </w:pPr>
    </w:p>
    <w:p>
      <w:pPr>
        <w:pStyle w:val="Heading1"/>
        <w:keepNext/>
        <w:spacing w:before="160" w:after="80"/>
      </w:pPr>
      <w:r>
        <w:rPr>
          <w:rFonts w:ascii="Calibri" w:hAnsi="Calibri"/>
          <w:b/>
          <w:color w:val="1F4E79"/>
          <w:sz w:val="30"/>
        </w:rPr>
        <w:t>9. Carrier Partnership and Acceptance Process</w:t>
      </w:r>
    </w:p>
    <w:p>
      <w:pPr>
        <w:spacing w:after="80" w:line="259" w:lineRule="auto"/>
      </w:pPr>
      <w:r>
        <w:rPr>
          <w:rFonts w:ascii="Calibri" w:hAnsi="Calibri"/>
          <w:sz w:val="21"/>
        </w:rPr>
        <w:t>The initial goal is not “endorsement of the Laurelshield standard.” The lower-friction objective is evidence acceptance: determine whether underwriters find the verified claims useful and which evidence attributes they require. Carrier acceptance can then progress from informal utility to documented evidence protocols and, later, integrated underwriting workflows.</w:t>
      </w:r>
    </w:p>
    <w:p>
      <w:pPr>
        <w:pStyle w:val="Heading2"/>
        <w:keepNext/>
        <w:spacing w:before="100" w:after="80"/>
      </w:pPr>
      <w:r>
        <w:rPr>
          <w:rFonts w:ascii="Calibri" w:hAnsi="Calibri"/>
          <w:b/>
          <w:color w:val="1F4E79"/>
          <w:sz w:val="25"/>
        </w:rPr>
        <w:t>9.1 Carrier onboarding maturity model</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val="true"/>
        </w:trPr>
        <w:tc>
          <w:tcPr>
            <w:tcW w:type="dxa" w:w="3389"/>
            <w:vAlign w:val="top"/>
            <w:shd w:fill="D9EAF7"/>
            <w:tcMar>
              <w:top w:w="70" w:type="dxa"/>
              <w:left w:w="80" w:type="dxa"/>
              <w:bottom w:w="70" w:type="dxa"/>
              <w:right w:w="80" w:type="dxa"/>
            </w:tcMar>
          </w:tcPr>
          <w:p>
            <w:pPr>
              <w:spacing w:after="0" w:line="240" w:lineRule="auto"/>
            </w:pPr>
            <w:r/>
            <w:r>
              <w:rPr>
                <w:rFonts w:ascii="Calibri" w:hAnsi="Calibri"/>
                <w:b/>
                <w:sz w:val="19"/>
              </w:rPr>
              <w:t>Level</w:t>
            </w:r>
          </w:p>
        </w:tc>
        <w:tc>
          <w:tcPr>
            <w:tcW w:type="dxa" w:w="3389"/>
            <w:vAlign w:val="top"/>
            <w:shd w:fill="D9EAF7"/>
            <w:tcMar>
              <w:top w:w="70" w:type="dxa"/>
              <w:left w:w="80" w:type="dxa"/>
              <w:bottom w:w="70" w:type="dxa"/>
              <w:right w:w="80" w:type="dxa"/>
            </w:tcMar>
          </w:tcPr>
          <w:p>
            <w:pPr>
              <w:spacing w:after="0" w:line="240" w:lineRule="auto"/>
            </w:pPr>
            <w:r/>
            <w:r>
              <w:rPr>
                <w:rFonts w:ascii="Calibri" w:hAnsi="Calibri"/>
                <w:b/>
                <w:sz w:val="19"/>
              </w:rPr>
              <w:t>Relationship</w:t>
            </w:r>
          </w:p>
        </w:tc>
        <w:tc>
          <w:tcPr>
            <w:tcW w:type="dxa" w:w="3389"/>
            <w:vAlign w:val="top"/>
            <w:shd w:fill="D9EAF7"/>
            <w:tcMar>
              <w:top w:w="70" w:type="dxa"/>
              <w:left w:w="80" w:type="dxa"/>
              <w:bottom w:w="70" w:type="dxa"/>
              <w:right w:w="80" w:type="dxa"/>
            </w:tcMar>
          </w:tcPr>
          <w:p>
            <w:pPr>
              <w:spacing w:after="0" w:line="240" w:lineRule="auto"/>
            </w:pPr>
            <w:r/>
            <w:r>
              <w:rPr>
                <w:rFonts w:ascii="Calibri" w:hAnsi="Calibri"/>
                <w:b/>
                <w:sz w:val="19"/>
              </w:rPr>
              <w:t>What Laurelshield Can Claim</w:t>
            </w:r>
          </w:p>
        </w:tc>
      </w:tr>
      <w:tr>
        <w:trPr>
          <w:cantSplit w:val="true"/>
        </w:trPr>
        <w:tc>
          <w:tcPr>
            <w:tcW w:type="dxa" w:w="3389"/>
            <w:vAlign w:val="top"/>
            <w:tcMar>
              <w:top w:w="70" w:type="dxa"/>
              <w:left w:w="80" w:type="dxa"/>
              <w:bottom w:w="70" w:type="dxa"/>
              <w:right w:w="80" w:type="dxa"/>
            </w:tcMar>
          </w:tcPr>
          <w:p>
            <w:pPr>
              <w:spacing w:after="0" w:line="240" w:lineRule="auto"/>
            </w:pPr>
            <w:r/>
            <w:r>
              <w:rPr>
                <w:rFonts w:ascii="Calibri" w:hAnsi="Calibri"/>
                <w:b w:val="0"/>
                <w:sz w:val="19"/>
              </w:rPr>
              <w:t>0</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No relationship</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Only public requirement mapping; no acceptance claim.</w:t>
            </w:r>
          </w:p>
        </w:tc>
      </w:tr>
      <w:tr>
        <w:trPr>
          <w:cantSplit w:val="true"/>
        </w:trPr>
        <w:tc>
          <w:tcPr>
            <w:tcW w:type="dxa" w:w="3389"/>
            <w:vAlign w:val="top"/>
            <w:tcMar>
              <w:top w:w="70" w:type="dxa"/>
              <w:left w:w="80" w:type="dxa"/>
              <w:bottom w:w="70" w:type="dxa"/>
              <w:right w:w="80" w:type="dxa"/>
            </w:tcMar>
          </w:tcPr>
          <w:p>
            <w:pPr>
              <w:spacing w:after="0" w:line="240" w:lineRule="auto"/>
            </w:pPr>
            <w:r/>
            <w:r>
              <w:rPr>
                <w:rFonts w:ascii="Calibri" w:hAnsi="Calibri"/>
                <w:b w:val="0"/>
                <w:sz w:val="19"/>
              </w:rPr>
              <w:t>1</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Underwriter feedback</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Carrier reviewed sample evidence; Laurelshield may describe feedback only if authorized.</w:t>
            </w:r>
          </w:p>
        </w:tc>
      </w:tr>
      <w:tr>
        <w:trPr>
          <w:cantSplit w:val="true"/>
        </w:trPr>
        <w:tc>
          <w:tcPr>
            <w:tcW w:type="dxa" w:w="3389"/>
            <w:vAlign w:val="top"/>
            <w:tcMar>
              <w:top w:w="70" w:type="dxa"/>
              <w:left w:w="80" w:type="dxa"/>
              <w:bottom w:w="70" w:type="dxa"/>
              <w:right w:w="80" w:type="dxa"/>
            </w:tcMar>
          </w:tcPr>
          <w:p>
            <w:pPr>
              <w:spacing w:after="0" w:line="240" w:lineRule="auto"/>
            </w:pPr>
            <w:r/>
            <w:r>
              <w:rPr>
                <w:rFonts w:ascii="Calibri" w:hAnsi="Calibri"/>
                <w:b w:val="0"/>
                <w:sz w:val="19"/>
              </w:rPr>
              <w:t>2</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Pilot acceptance</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Carrier agrees to consider defined Laurelshield evidence in a controlled pilot.</w:t>
            </w:r>
          </w:p>
        </w:tc>
      </w:tr>
      <w:tr>
        <w:trPr>
          <w:cantSplit w:val="true"/>
        </w:trPr>
        <w:tc>
          <w:tcPr>
            <w:tcW w:type="dxa" w:w="3389"/>
            <w:vAlign w:val="top"/>
            <w:tcMar>
              <w:top w:w="70" w:type="dxa"/>
              <w:left w:w="80" w:type="dxa"/>
              <w:bottom w:w="70" w:type="dxa"/>
              <w:right w:w="80" w:type="dxa"/>
            </w:tcMar>
          </w:tcPr>
          <w:p>
            <w:pPr>
              <w:spacing w:after="0" w:line="240" w:lineRule="auto"/>
            </w:pPr>
            <w:r/>
            <w:r>
              <w:rPr>
                <w:rFonts w:ascii="Calibri" w:hAnsi="Calibri"/>
                <w:b w:val="0"/>
                <w:sz w:val="19"/>
              </w:rPr>
              <w:t>3</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Documented evidence protocol</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Carrier specifies acceptable controls, ECL, freshness, and data format.</w:t>
            </w:r>
          </w:p>
        </w:tc>
      </w:tr>
      <w:tr>
        <w:trPr>
          <w:cantSplit w:val="true"/>
        </w:trPr>
        <w:tc>
          <w:tcPr>
            <w:tcW w:type="dxa" w:w="3389"/>
            <w:vAlign w:val="top"/>
            <w:tcMar>
              <w:top w:w="70" w:type="dxa"/>
              <w:left w:w="80" w:type="dxa"/>
              <w:bottom w:w="70" w:type="dxa"/>
              <w:right w:w="80" w:type="dxa"/>
            </w:tcMar>
          </w:tcPr>
          <w:p>
            <w:pPr>
              <w:spacing w:after="0" w:line="240" w:lineRule="auto"/>
            </w:pPr>
            <w:r/>
            <w:r>
              <w:rPr>
                <w:rFonts w:ascii="Calibri" w:hAnsi="Calibri"/>
                <w:b w:val="0"/>
                <w:sz w:val="19"/>
              </w:rPr>
              <w:t>4</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Workflow integration</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Carrier receives verified claims through portal/API in regular underwriting.</w:t>
            </w:r>
          </w:p>
        </w:tc>
      </w:tr>
      <w:tr>
        <w:trPr>
          <w:cantSplit w:val="true"/>
        </w:trPr>
        <w:tc>
          <w:tcPr>
            <w:tcW w:type="dxa" w:w="3389"/>
            <w:vAlign w:val="top"/>
            <w:tcMar>
              <w:top w:w="70" w:type="dxa"/>
              <w:left w:w="80" w:type="dxa"/>
              <w:bottom w:w="70" w:type="dxa"/>
              <w:right w:w="80" w:type="dxa"/>
            </w:tcMar>
          </w:tcPr>
          <w:p>
            <w:pPr>
              <w:spacing w:after="0" w:line="240" w:lineRule="auto"/>
            </w:pPr>
            <w:r/>
            <w:r>
              <w:rPr>
                <w:rFonts w:ascii="Calibri" w:hAnsi="Calibri"/>
                <w:b w:val="0"/>
                <w:sz w:val="19"/>
              </w:rPr>
              <w:t>5</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Program recognition</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Carrier formally recognizes a Laurelshield assurance profile or certification for defined segments.</w:t>
            </w:r>
          </w:p>
        </w:tc>
      </w:tr>
    </w:tbl>
    <w:p>
      <w:pPr>
        <w:spacing w:after="40"/>
      </w:pPr>
    </w:p>
    <w:p>
      <w:pPr>
        <w:pStyle w:val="Heading2"/>
        <w:keepNext/>
        <w:spacing w:before="100" w:after="80"/>
      </w:pPr>
      <w:r>
        <w:rPr>
          <w:rFonts w:ascii="Calibri" w:hAnsi="Calibri"/>
          <w:b/>
          <w:color w:val="1F4E79"/>
          <w:sz w:val="25"/>
        </w:rPr>
        <w:t>9.2 Information Laurelshield should request from participating carriers</w:t>
      </w:r>
    </w:p>
    <w:p>
      <w:pPr>
        <w:pStyle w:val="ListBullet"/>
        <w:spacing w:after="40" w:line="252" w:lineRule="auto"/>
      </w:pPr>
      <w:r>
        <w:rPr>
          <w:rFonts w:ascii="Calibri" w:hAnsi="Calibri"/>
          <w:sz w:val="21"/>
        </w:rPr>
        <w:t>Which control assertions create the most underwriting uncertainty?</w:t>
      </w:r>
    </w:p>
    <w:p>
      <w:pPr>
        <w:pStyle w:val="ListBullet"/>
        <w:spacing w:after="40" w:line="252" w:lineRule="auto"/>
      </w:pPr>
      <w:r>
        <w:rPr>
          <w:rFonts w:ascii="Calibri" w:hAnsi="Calibri"/>
          <w:sz w:val="21"/>
        </w:rPr>
        <w:t>What minimum evidence is needed to treat a claim as credible?</w:t>
      </w:r>
    </w:p>
    <w:p>
      <w:pPr>
        <w:pStyle w:val="ListBullet"/>
        <w:spacing w:after="40" w:line="252" w:lineRule="auto"/>
      </w:pPr>
      <w:r>
        <w:rPr>
          <w:rFonts w:ascii="Calibri" w:hAnsi="Calibri"/>
          <w:sz w:val="21"/>
        </w:rPr>
        <w:t>How old can each type of evidence be?</w:t>
      </w:r>
    </w:p>
    <w:p>
      <w:pPr>
        <w:pStyle w:val="ListBullet"/>
        <w:spacing w:after="40" w:line="252" w:lineRule="auto"/>
      </w:pPr>
      <w:r>
        <w:rPr>
          <w:rFonts w:ascii="Calibri" w:hAnsi="Calibri"/>
          <w:sz w:val="21"/>
        </w:rPr>
        <w:t>Which controls are hard requirements versus factors in overall risk appetite?</w:t>
      </w:r>
    </w:p>
    <w:p>
      <w:pPr>
        <w:pStyle w:val="ListBullet"/>
        <w:spacing w:after="40" w:line="252" w:lineRule="auto"/>
      </w:pPr>
      <w:r>
        <w:rPr>
          <w:rFonts w:ascii="Calibri" w:hAnsi="Calibri"/>
          <w:sz w:val="21"/>
        </w:rPr>
        <w:t>Which compensating controls are acceptable?</w:t>
      </w:r>
    </w:p>
    <w:p>
      <w:pPr>
        <w:pStyle w:val="ListBullet"/>
        <w:spacing w:after="40" w:line="252" w:lineRule="auto"/>
      </w:pPr>
      <w:r>
        <w:rPr>
          <w:rFonts w:ascii="Calibri" w:hAnsi="Calibri"/>
          <w:sz w:val="21"/>
        </w:rPr>
        <w:t>What fields should the evidence object contain?</w:t>
      </w:r>
    </w:p>
    <w:p>
      <w:pPr>
        <w:pStyle w:val="ListBullet"/>
        <w:spacing w:after="40" w:line="252" w:lineRule="auto"/>
      </w:pPr>
      <w:r>
        <w:rPr>
          <w:rFonts w:ascii="Calibri" w:hAnsi="Calibri"/>
          <w:sz w:val="21"/>
        </w:rPr>
        <w:t>Which information should never be exposed to competitors or customers?</w:t>
      </w:r>
    </w:p>
    <w:p>
      <w:pPr>
        <w:pStyle w:val="ListBullet"/>
        <w:spacing w:after="40" w:line="252" w:lineRule="auto"/>
      </w:pPr>
      <w:r>
        <w:rPr>
          <w:rFonts w:ascii="Calibri" w:hAnsi="Calibri"/>
          <w:sz w:val="21"/>
        </w:rPr>
        <w:t>How should a material control deterioration be communicated after binding?</w:t>
      </w:r>
    </w:p>
    <w:p>
      <w:pPr>
        <w:pStyle w:val="ListBullet"/>
        <w:spacing w:after="40" w:line="252" w:lineRule="auto"/>
      </w:pPr>
      <w:r>
        <w:rPr>
          <w:rFonts w:ascii="Calibri" w:hAnsi="Calibri"/>
          <w:sz w:val="21"/>
        </w:rPr>
        <w:t>What outcome data can be returned to Laurelshield for model improvement under an approved data-use agreement?</w:t>
      </w:r>
    </w:p>
    <w:p>
      <w:pPr>
        <w:pStyle w:val="Heading1"/>
        <w:keepNext/>
        <w:spacing w:before="160" w:after="80"/>
      </w:pPr>
      <w:r>
        <w:rPr>
          <w:rFonts w:ascii="Calibri" w:hAnsi="Calibri"/>
          <w:b/>
          <w:color w:val="1F4E79"/>
          <w:sz w:val="30"/>
        </w:rPr>
        <w:t>10. Certification and Assurance Governance</w:t>
      </w:r>
    </w:p>
    <w:p>
      <w:pPr>
        <w:spacing w:after="80" w:line="259" w:lineRule="auto"/>
      </w:pPr>
      <w:r>
        <w:rPr>
          <w:rFonts w:ascii="Calibri" w:hAnsi="Calibri"/>
          <w:sz w:val="21"/>
        </w:rPr>
        <w:t>If Laurelshield wants the passport to become a recognized assurance credential, governance becomes as important as technology. ISO describes conformity assessment as demonstrating whether specified requirements are fulfilled, and certification as written assurance by an independent body. ISO/IEC 17029 addresses validation/verification bodies, while ISO/IEC 17065 sets requirements for bodies certifying products, processes, and services, including impartiality, evaluation, certification decisions, surveillance, complaints, and appeals.</w:t>
      </w:r>
      <w:r>
        <w:rPr>
          <w:rFonts w:ascii="Calibri" w:hAnsi="Calibri"/>
          <w:sz w:val="21"/>
        </w:rPr>
        <w:t xml:space="preserve"> </w:t>
      </w:r>
      <w:hyperlink r:id="rId34">
        <w:r>
          <w:rPr>
            <w:rFonts w:ascii="Calibri" w:hAnsi="Calibri"/>
            <w:sz w:val="19"/>
            <w:szCs w:val="19"/>
            <w:color w:val="0563C1"/>
            <w:u w:val="single"/>
          </w:rPr>
          <w:t>[22]</w:t>
        </w:r>
      </w:hyperlink>
      <w:r>
        <w:rPr>
          <w:rFonts w:ascii="Calibri" w:hAnsi="Calibri"/>
          <w:sz w:val="19"/>
        </w:rPr>
        <w:t xml:space="preserve">, </w:t>
      </w:r>
      <w:hyperlink r:id="rId35">
        <w:r>
          <w:rPr>
            <w:rFonts w:ascii="Calibri" w:hAnsi="Calibri"/>
            <w:sz w:val="19"/>
            <w:szCs w:val="19"/>
            <w:color w:val="0563C1"/>
            <w:u w:val="single"/>
          </w:rPr>
          <w:t>[23]</w:t>
        </w:r>
      </w:hyperlink>
      <w:r>
        <w:rPr>
          <w:rFonts w:ascii="Calibri" w:hAnsi="Calibri"/>
          <w:sz w:val="19"/>
        </w:rPr>
        <w:t xml:space="preserve">, </w:t>
      </w:r>
      <w:hyperlink r:id="rId36">
        <w:r>
          <w:rPr>
            <w:rFonts w:ascii="Calibri" w:hAnsi="Calibri"/>
            <w:sz w:val="19"/>
            <w:szCs w:val="19"/>
            <w:color w:val="0563C1"/>
            <w:u w:val="single"/>
          </w:rPr>
          <w:t>[24]</w:t>
        </w:r>
      </w:hyperlink>
      <w:r>
        <w:rPr>
          <w:rFonts w:ascii="Calibri" w:hAnsi="Calibri"/>
          <w:sz w:val="19"/>
        </w:rPr>
        <w:t xml:space="preserve">, </w:t>
      </w:r>
      <w:hyperlink r:id="rId37">
        <w:r>
          <w:rPr>
            <w:rFonts w:ascii="Calibri" w:hAnsi="Calibri"/>
            <w:sz w:val="19"/>
            <w:szCs w:val="19"/>
            <w:color w:val="0563C1"/>
            <w:u w:val="single"/>
          </w:rPr>
          <w:t>[37]</w:t>
        </w:r>
      </w:hyperlink>
    </w:p>
    <w:p>
      <w:pPr>
        <w:pStyle w:val="Heading2"/>
        <w:keepNext/>
        <w:spacing w:before="100" w:after="80"/>
      </w:pPr>
      <w:r>
        <w:rPr>
          <w:rFonts w:ascii="Calibri" w:hAnsi="Calibri"/>
          <w:b/>
          <w:color w:val="1F4E79"/>
          <w:sz w:val="25"/>
        </w:rPr>
        <w:t>10.1 Proposed organizational separation</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val="true"/>
        </w:trPr>
        <w:tc>
          <w:tcPr>
            <w:tcW w:type="dxa" w:w="5083"/>
            <w:vAlign w:val="top"/>
            <w:shd w:fill="D9EAF7"/>
            <w:tcMar>
              <w:top w:w="70" w:type="dxa"/>
              <w:left w:w="80" w:type="dxa"/>
              <w:bottom w:w="70" w:type="dxa"/>
              <w:right w:w="80" w:type="dxa"/>
            </w:tcMar>
          </w:tcPr>
          <w:p>
            <w:pPr>
              <w:spacing w:after="0" w:line="240" w:lineRule="auto"/>
            </w:pPr>
            <w:r/>
            <w:r>
              <w:rPr>
                <w:rFonts w:ascii="Calibri" w:hAnsi="Calibri"/>
                <w:b/>
                <w:sz w:val="19"/>
              </w:rPr>
              <w:t>Entity / Function</w:t>
            </w:r>
          </w:p>
        </w:tc>
        <w:tc>
          <w:tcPr>
            <w:tcW w:type="dxa" w:w="5083"/>
            <w:vAlign w:val="top"/>
            <w:shd w:fill="D9EAF7"/>
            <w:tcMar>
              <w:top w:w="70" w:type="dxa"/>
              <w:left w:w="80" w:type="dxa"/>
              <w:bottom w:w="70" w:type="dxa"/>
              <w:right w:w="80" w:type="dxa"/>
            </w:tcMar>
          </w:tcPr>
          <w:p>
            <w:pPr>
              <w:spacing w:after="0" w:line="240" w:lineRule="auto"/>
            </w:pPr>
            <w:r/>
            <w:r>
              <w:rPr>
                <w:rFonts w:ascii="Calibri" w:hAnsi="Calibri"/>
                <w:b/>
                <w:sz w:val="19"/>
              </w:rPr>
              <w:t>Role</w:t>
            </w:r>
          </w:p>
        </w:tc>
      </w:tr>
      <w:tr>
        <w:trPr>
          <w:cantSplit w:val="true"/>
        </w:trPr>
        <w:tc>
          <w:tcPr>
            <w:tcW w:type="dxa" w:w="5083"/>
            <w:vAlign w:val="top"/>
            <w:tcMar>
              <w:top w:w="70" w:type="dxa"/>
              <w:left w:w="80" w:type="dxa"/>
              <w:bottom w:w="70" w:type="dxa"/>
              <w:right w:w="80" w:type="dxa"/>
            </w:tcMar>
          </w:tcPr>
          <w:p>
            <w:pPr>
              <w:spacing w:after="0" w:line="240" w:lineRule="auto"/>
            </w:pPr>
            <w:r/>
            <w:r>
              <w:rPr>
                <w:rFonts w:ascii="Calibri" w:hAnsi="Calibri"/>
                <w:b w:val="0"/>
                <w:sz w:val="19"/>
              </w:rPr>
              <w:t>Laurelshield Holdings</w:t>
            </w:r>
          </w:p>
        </w:tc>
        <w:tc>
          <w:tcPr>
            <w:tcW w:type="dxa" w:w="5083"/>
            <w:vAlign w:val="top"/>
            <w:tcMar>
              <w:top w:w="70" w:type="dxa"/>
              <w:left w:w="80" w:type="dxa"/>
              <w:bottom w:w="70" w:type="dxa"/>
              <w:right w:w="80" w:type="dxa"/>
            </w:tcMar>
          </w:tcPr>
          <w:p>
            <w:pPr>
              <w:spacing w:after="0" w:line="240" w:lineRule="auto"/>
            </w:pPr>
            <w:r/>
            <w:r>
              <w:rPr>
                <w:rFonts w:ascii="Calibri" w:hAnsi="Calibri"/>
                <w:b w:val="0"/>
                <w:sz w:val="19"/>
              </w:rPr>
              <w:t>Owns core IP, trademarks, patents, and strategic rights.</w:t>
            </w:r>
          </w:p>
        </w:tc>
      </w:tr>
      <w:tr>
        <w:trPr>
          <w:cantSplit w:val="true"/>
        </w:trPr>
        <w:tc>
          <w:tcPr>
            <w:tcW w:type="dxa" w:w="5083"/>
            <w:vAlign w:val="top"/>
            <w:tcMar>
              <w:top w:w="70" w:type="dxa"/>
              <w:left w:w="80" w:type="dxa"/>
              <w:bottom w:w="70" w:type="dxa"/>
              <w:right w:w="80" w:type="dxa"/>
            </w:tcMar>
          </w:tcPr>
          <w:p>
            <w:pPr>
              <w:spacing w:after="0" w:line="240" w:lineRule="auto"/>
            </w:pPr>
            <w:r/>
            <w:r>
              <w:rPr>
                <w:rFonts w:ascii="Calibri" w:hAnsi="Calibri"/>
                <w:b w:val="0"/>
                <w:sz w:val="19"/>
              </w:rPr>
              <w:t>Laurelshield Technologies</w:t>
            </w:r>
          </w:p>
        </w:tc>
        <w:tc>
          <w:tcPr>
            <w:tcW w:type="dxa" w:w="5083"/>
            <w:vAlign w:val="top"/>
            <w:tcMar>
              <w:top w:w="70" w:type="dxa"/>
              <w:left w:w="80" w:type="dxa"/>
              <w:bottom w:w="70" w:type="dxa"/>
              <w:right w:w="80" w:type="dxa"/>
            </w:tcMar>
          </w:tcPr>
          <w:p>
            <w:pPr>
              <w:spacing w:after="0" w:line="240" w:lineRule="auto"/>
            </w:pPr>
            <w:r/>
            <w:r>
              <w:rPr>
                <w:rFonts w:ascii="Calibri" w:hAnsi="Calibri"/>
                <w:b w:val="0"/>
                <w:sz w:val="19"/>
              </w:rPr>
              <w:t>Builds evidence platform, connectors, passport, exchange, APIs, analytics.</w:t>
            </w:r>
          </w:p>
        </w:tc>
      </w:tr>
      <w:tr>
        <w:trPr>
          <w:cantSplit w:val="true"/>
        </w:trPr>
        <w:tc>
          <w:tcPr>
            <w:tcW w:type="dxa" w:w="5083"/>
            <w:vAlign w:val="top"/>
            <w:tcMar>
              <w:top w:w="70" w:type="dxa"/>
              <w:left w:w="80" w:type="dxa"/>
              <w:bottom w:w="70" w:type="dxa"/>
              <w:right w:w="80" w:type="dxa"/>
            </w:tcMar>
          </w:tcPr>
          <w:p>
            <w:pPr>
              <w:spacing w:after="0" w:line="240" w:lineRule="auto"/>
            </w:pPr>
            <w:r/>
            <w:r>
              <w:rPr>
                <w:rFonts w:ascii="Calibri" w:hAnsi="Calibri"/>
                <w:b w:val="0"/>
                <w:sz w:val="19"/>
              </w:rPr>
              <w:t>Laurelshield Advisory</w:t>
            </w:r>
          </w:p>
        </w:tc>
        <w:tc>
          <w:tcPr>
            <w:tcW w:type="dxa" w:w="5083"/>
            <w:vAlign w:val="top"/>
            <w:tcMar>
              <w:top w:w="70" w:type="dxa"/>
              <w:left w:w="80" w:type="dxa"/>
              <w:bottom w:w="70" w:type="dxa"/>
              <w:right w:w="80" w:type="dxa"/>
            </w:tcMar>
          </w:tcPr>
          <w:p>
            <w:pPr>
              <w:spacing w:after="0" w:line="240" w:lineRule="auto"/>
            </w:pPr>
            <w:r/>
            <w:r>
              <w:rPr>
                <w:rFonts w:ascii="Calibri" w:hAnsi="Calibri"/>
                <w:b w:val="0"/>
                <w:sz w:val="19"/>
              </w:rPr>
              <w:t>Readiness, remediation design, implementation assistance, customer advisory.</w:t>
            </w:r>
          </w:p>
        </w:tc>
      </w:tr>
      <w:tr>
        <w:trPr>
          <w:cantSplit w:val="true"/>
        </w:trPr>
        <w:tc>
          <w:tcPr>
            <w:tcW w:type="dxa" w:w="5083"/>
            <w:vAlign w:val="top"/>
            <w:tcMar>
              <w:top w:w="70" w:type="dxa"/>
              <w:left w:w="80" w:type="dxa"/>
              <w:bottom w:w="70" w:type="dxa"/>
              <w:right w:w="80" w:type="dxa"/>
            </w:tcMar>
          </w:tcPr>
          <w:p>
            <w:pPr>
              <w:spacing w:after="0" w:line="240" w:lineRule="auto"/>
            </w:pPr>
            <w:r/>
            <w:r>
              <w:rPr>
                <w:rFonts w:ascii="Calibri" w:hAnsi="Calibri"/>
                <w:b w:val="0"/>
                <w:sz w:val="19"/>
              </w:rPr>
              <w:t>Laurelshield Assurance Institute (future)</w:t>
            </w:r>
          </w:p>
        </w:tc>
        <w:tc>
          <w:tcPr>
            <w:tcW w:type="dxa" w:w="5083"/>
            <w:vAlign w:val="top"/>
            <w:tcMar>
              <w:top w:w="70" w:type="dxa"/>
              <w:left w:w="80" w:type="dxa"/>
              <w:bottom w:w="70" w:type="dxa"/>
              <w:right w:w="80" w:type="dxa"/>
            </w:tcMar>
          </w:tcPr>
          <w:p>
            <w:pPr>
              <w:spacing w:after="0" w:line="240" w:lineRule="auto"/>
            </w:pPr>
            <w:r/>
            <w:r>
              <w:rPr>
                <w:rFonts w:ascii="Calibri" w:hAnsi="Calibri"/>
                <w:b w:val="0"/>
                <w:sz w:val="19"/>
              </w:rPr>
              <w:t>Owns assurance scheme, certification rules, assessor competence, impartiality, appeals, certification mark.</w:t>
            </w:r>
          </w:p>
        </w:tc>
      </w:tr>
      <w:tr>
        <w:trPr>
          <w:cantSplit w:val="true"/>
        </w:trPr>
        <w:tc>
          <w:tcPr>
            <w:tcW w:type="dxa" w:w="5083"/>
            <w:vAlign w:val="top"/>
            <w:tcMar>
              <w:top w:w="70" w:type="dxa"/>
              <w:left w:w="80" w:type="dxa"/>
              <w:bottom w:w="70" w:type="dxa"/>
              <w:right w:w="80" w:type="dxa"/>
            </w:tcMar>
          </w:tcPr>
          <w:p>
            <w:pPr>
              <w:spacing w:after="0" w:line="240" w:lineRule="auto"/>
            </w:pPr>
            <w:r/>
            <w:r>
              <w:rPr>
                <w:rFonts w:ascii="Calibri" w:hAnsi="Calibri"/>
                <w:b w:val="0"/>
                <w:sz w:val="19"/>
              </w:rPr>
              <w:t>Independent Assessors / Authorized Assessment Organizations (future)</w:t>
            </w:r>
          </w:p>
        </w:tc>
        <w:tc>
          <w:tcPr>
            <w:tcW w:type="dxa" w:w="5083"/>
            <w:vAlign w:val="top"/>
            <w:tcMar>
              <w:top w:w="70" w:type="dxa"/>
              <w:left w:w="80" w:type="dxa"/>
              <w:bottom w:w="70" w:type="dxa"/>
              <w:right w:w="80" w:type="dxa"/>
            </w:tcMar>
          </w:tcPr>
          <w:p>
            <w:pPr>
              <w:spacing w:after="0" w:line="240" w:lineRule="auto"/>
            </w:pPr>
            <w:r/>
            <w:r>
              <w:rPr>
                <w:rFonts w:ascii="Calibri" w:hAnsi="Calibri"/>
                <w:b w:val="0"/>
                <w:sz w:val="19"/>
              </w:rPr>
              <w:t>Perform verification under controlled scheme rules.</w:t>
            </w:r>
          </w:p>
        </w:tc>
      </w:tr>
      <w:tr>
        <w:trPr>
          <w:cantSplit w:val="true"/>
        </w:trPr>
        <w:tc>
          <w:tcPr>
            <w:tcW w:type="dxa" w:w="5083"/>
            <w:vAlign w:val="top"/>
            <w:tcMar>
              <w:top w:w="70" w:type="dxa"/>
              <w:left w:w="80" w:type="dxa"/>
              <w:bottom w:w="70" w:type="dxa"/>
              <w:right w:w="80" w:type="dxa"/>
            </w:tcMar>
          </w:tcPr>
          <w:p>
            <w:pPr>
              <w:spacing w:after="0" w:line="240" w:lineRule="auto"/>
            </w:pPr>
            <w:r/>
            <w:r>
              <w:rPr>
                <w:rFonts w:ascii="Calibri" w:hAnsi="Calibri"/>
                <w:b w:val="0"/>
                <w:sz w:val="19"/>
              </w:rPr>
              <w:t>Independent Certification Decision Function</w:t>
            </w:r>
          </w:p>
        </w:tc>
        <w:tc>
          <w:tcPr>
            <w:tcW w:type="dxa" w:w="5083"/>
            <w:vAlign w:val="top"/>
            <w:tcMar>
              <w:top w:w="70" w:type="dxa"/>
              <w:left w:w="80" w:type="dxa"/>
              <w:bottom w:w="70" w:type="dxa"/>
              <w:right w:w="80" w:type="dxa"/>
            </w:tcMar>
          </w:tcPr>
          <w:p>
            <w:pPr>
              <w:spacing w:after="0" w:line="240" w:lineRule="auto"/>
            </w:pPr>
            <w:r/>
            <w:r>
              <w:rPr>
                <w:rFonts w:ascii="Calibri" w:hAnsi="Calibri"/>
                <w:b w:val="0"/>
                <w:sz w:val="19"/>
              </w:rPr>
              <w:t>Issues/withdraws certification or passport status independently from remediation delivery.</w:t>
            </w:r>
          </w:p>
        </w:tc>
      </w:tr>
    </w:tbl>
    <w:p>
      <w:pPr>
        <w:spacing w:after="40"/>
      </w:pPr>
    </w:p>
    <w:p>
      <w:pPr>
        <w:pStyle w:val="Heading2"/>
        <w:keepNext/>
        <w:spacing w:before="100" w:after="80"/>
      </w:pPr>
      <w:r>
        <w:rPr>
          <w:rFonts w:ascii="Calibri" w:hAnsi="Calibri"/>
          <w:b/>
          <w:color w:val="1F4E79"/>
          <w:sz w:val="25"/>
        </w:rPr>
        <w:t>10.2 Assurance scheme documents</w:t>
      </w:r>
    </w:p>
    <w:p>
      <w:pPr>
        <w:pStyle w:val="ListBullet"/>
        <w:spacing w:after="40" w:line="252" w:lineRule="auto"/>
      </w:pPr>
      <w:r>
        <w:rPr>
          <w:rFonts w:ascii="Calibri" w:hAnsi="Calibri"/>
          <w:sz w:val="21"/>
        </w:rPr>
        <w:t>CIA Standard: normative security and evidence requirements.</w:t>
      </w:r>
    </w:p>
    <w:p>
      <w:pPr>
        <w:pStyle w:val="ListBullet"/>
        <w:spacing w:after="40" w:line="252" w:lineRule="auto"/>
      </w:pPr>
      <w:r>
        <w:rPr>
          <w:rFonts w:ascii="Calibri" w:hAnsi="Calibri"/>
          <w:sz w:val="21"/>
        </w:rPr>
        <w:t>Assurance Method Manual: testing procedures, evidence minimums, sampling, coverage calculations.</w:t>
      </w:r>
    </w:p>
    <w:p>
      <w:pPr>
        <w:pStyle w:val="ListBullet"/>
        <w:spacing w:after="40" w:line="252" w:lineRule="auto"/>
      </w:pPr>
      <w:r>
        <w:rPr>
          <w:rFonts w:ascii="Calibri" w:hAnsi="Calibri"/>
          <w:sz w:val="21"/>
        </w:rPr>
        <w:t>Certification Scheme Rules: application, review, evaluation, decision, surveillance, suspension, withdrawal, renewal.</w:t>
      </w:r>
    </w:p>
    <w:p>
      <w:pPr>
        <w:pStyle w:val="ListBullet"/>
        <w:spacing w:after="40" w:line="252" w:lineRule="auto"/>
      </w:pPr>
      <w:r>
        <w:rPr>
          <w:rFonts w:ascii="Calibri" w:hAnsi="Calibri"/>
          <w:sz w:val="21"/>
        </w:rPr>
        <w:t>Impartiality and Conflict Policy: remediation separation, financial conflicts, carrier/broker conflicts.</w:t>
      </w:r>
    </w:p>
    <w:p>
      <w:pPr>
        <w:pStyle w:val="ListBullet"/>
        <w:spacing w:after="40" w:line="252" w:lineRule="auto"/>
      </w:pPr>
      <w:r>
        <w:rPr>
          <w:rFonts w:ascii="Calibri" w:hAnsi="Calibri"/>
          <w:sz w:val="21"/>
        </w:rPr>
        <w:t>Assessor Competence Standard: experience, certifications, training, calibration, continuing education.</w:t>
      </w:r>
    </w:p>
    <w:p>
      <w:pPr>
        <w:pStyle w:val="ListBullet"/>
        <w:spacing w:after="40" w:line="252" w:lineRule="auto"/>
      </w:pPr>
      <w:r>
        <w:rPr>
          <w:rFonts w:ascii="Calibri" w:hAnsi="Calibri"/>
          <w:sz w:val="21"/>
        </w:rPr>
        <w:t>Evidence Handling Standard: chain of custody, security, retention, privacy, disclosure.</w:t>
      </w:r>
    </w:p>
    <w:p>
      <w:pPr>
        <w:pStyle w:val="ListBullet"/>
        <w:spacing w:after="40" w:line="252" w:lineRule="auto"/>
      </w:pPr>
      <w:r>
        <w:rPr>
          <w:rFonts w:ascii="Calibri" w:hAnsi="Calibri"/>
          <w:sz w:val="21"/>
        </w:rPr>
        <w:t>Appeals and Complaints Procedure: customer/partner challenge process and independent review.</w:t>
      </w:r>
    </w:p>
    <w:p>
      <w:pPr>
        <w:pStyle w:val="ListBullet"/>
        <w:spacing w:after="40" w:line="252" w:lineRule="auto"/>
      </w:pPr>
      <w:r>
        <w:rPr>
          <w:rFonts w:ascii="Calibri" w:hAnsi="Calibri"/>
          <w:sz w:val="21"/>
        </w:rPr>
        <w:t>Change Management: versioning and transition periods when the standard changes.</w:t>
      </w:r>
    </w:p>
    <w:p>
      <w:pPr>
        <w:pStyle w:val="ListBullet"/>
        <w:spacing w:after="40" w:line="252" w:lineRule="auto"/>
      </w:pPr>
      <w:r>
        <w:rPr>
          <w:rFonts w:ascii="Calibri" w:hAnsi="Calibri"/>
          <w:sz w:val="21"/>
        </w:rPr>
        <w:t>Certification Mark Rules: who may display the mark, for how long, and under which scope.</w:t>
      </w:r>
    </w:p>
    <w:p>
      <w:pPr>
        <w:pStyle w:val="Heading1"/>
        <w:keepNext/>
        <w:spacing w:before="160" w:after="80"/>
      </w:pPr>
      <w:r>
        <w:rPr>
          <w:rFonts w:ascii="Calibri" w:hAnsi="Calibri"/>
          <w:b/>
          <w:color w:val="1F4E79"/>
          <w:sz w:val="30"/>
        </w:rPr>
        <w:t>11. Intellectual Property and Anti-Copy Protection</w:t>
      </w:r>
    </w:p>
    <w:p>
      <w:pPr>
        <w:spacing w:after="80" w:line="259" w:lineRule="auto"/>
      </w:pPr>
      <w:r>
        <w:rPr>
          <w:rFonts w:ascii="Calibri" w:hAnsi="Calibri"/>
          <w:sz w:val="21"/>
        </w:rPr>
        <w:t>No single IP right can protect the overall business concept. Copyright does not protect an idea itself; trademarks protect source-identifying brand elements; patents protect qualifying inventions; trade secrets protect valuable confidential information if secrecy is maintained; contracts allocate rights and restrict use. The recommended strategy is a layered protection stack.</w:t>
      </w:r>
      <w:r>
        <w:rPr>
          <w:rFonts w:ascii="Calibri" w:hAnsi="Calibri"/>
          <w:sz w:val="21"/>
        </w:rPr>
        <w:t xml:space="preserve"> </w:t>
      </w:r>
      <w:hyperlink r:id="rId23">
        <w:r>
          <w:rPr>
            <w:rFonts w:ascii="Calibri" w:hAnsi="Calibri"/>
            <w:sz w:val="19"/>
            <w:szCs w:val="19"/>
            <w:color w:val="0563C1"/>
            <w:u w:val="single"/>
          </w:rPr>
          <w:t>[13]</w:t>
        </w:r>
      </w:hyperlink>
      <w:r>
        <w:rPr>
          <w:rFonts w:ascii="Calibri" w:hAnsi="Calibri"/>
          <w:sz w:val="19"/>
        </w:rPr>
        <w:t xml:space="preserve">, </w:t>
      </w:r>
      <w:hyperlink r:id="rId38">
        <w:r>
          <w:rPr>
            <w:rFonts w:ascii="Calibri" w:hAnsi="Calibri"/>
            <w:sz w:val="19"/>
            <w:szCs w:val="19"/>
            <w:color w:val="0563C1"/>
            <w:u w:val="single"/>
          </w:rPr>
          <w:t>[16]</w:t>
        </w:r>
      </w:hyperlink>
      <w:r>
        <w:rPr>
          <w:rFonts w:ascii="Calibri" w:hAnsi="Calibri"/>
          <w:sz w:val="19"/>
        </w:rPr>
        <w:t xml:space="preserve">, </w:t>
      </w:r>
      <w:hyperlink r:id="rId39">
        <w:r>
          <w:rPr>
            <w:rFonts w:ascii="Calibri" w:hAnsi="Calibri"/>
            <w:sz w:val="19"/>
            <w:szCs w:val="19"/>
            <w:color w:val="0563C1"/>
            <w:u w:val="single"/>
          </w:rPr>
          <w:t>[18]</w:t>
        </w:r>
      </w:hyperlink>
      <w:r>
        <w:rPr>
          <w:rFonts w:ascii="Calibri" w:hAnsi="Calibri"/>
          <w:sz w:val="19"/>
        </w:rPr>
        <w:t xml:space="preserve">, </w:t>
      </w:r>
      <w:hyperlink r:id="rId40">
        <w:r>
          <w:rPr>
            <w:rFonts w:ascii="Calibri" w:hAnsi="Calibri"/>
            <w:sz w:val="19"/>
            <w:szCs w:val="19"/>
            <w:color w:val="0563C1"/>
            <w:u w:val="single"/>
          </w:rPr>
          <w:t>[19]</w:t>
        </w:r>
      </w:hyperlink>
      <w:r>
        <w:rPr>
          <w:rFonts w:ascii="Calibri" w:hAnsi="Calibri"/>
          <w:sz w:val="19"/>
        </w:rPr>
        <w:t xml:space="preserve">, </w:t>
      </w:r>
      <w:hyperlink r:id="rId41">
        <w:r>
          <w:rPr>
            <w:rFonts w:ascii="Calibri" w:hAnsi="Calibri"/>
            <w:sz w:val="19"/>
            <w:szCs w:val="19"/>
            <w:color w:val="0563C1"/>
            <w:u w:val="single"/>
          </w:rPr>
          <w:t>[20]</w:t>
        </w:r>
      </w:hyperlink>
    </w:p>
    <w:p>
      <w:pPr>
        <w:pStyle w:val="Heading2"/>
        <w:keepNext/>
        <w:spacing w:before="100" w:after="80"/>
      </w:pPr>
      <w:r>
        <w:rPr>
          <w:rFonts w:ascii="Calibri" w:hAnsi="Calibri"/>
          <w:b/>
          <w:color w:val="1F4E79"/>
          <w:sz w:val="25"/>
        </w:rPr>
        <w:t>11.1 Trademark strategy</w:t>
      </w:r>
    </w:p>
    <w:p>
      <w:pPr>
        <w:spacing w:after="80" w:line="259" w:lineRule="auto"/>
      </w:pPr>
      <w:r>
        <w:rPr>
          <w:rFonts w:ascii="Calibri" w:hAnsi="Calibri"/>
          <w:sz w:val="21"/>
        </w:rPr>
        <w:t>The strongest trademark should be the distinctive house mark LAURELSHIELD, supported by distinctive product names. “Cyber Insurability Assurance” is commercially useful descriptive language but may face weaker registrability because Canadian trademark rules generally reject marks that clearly describe a characteristic or quality of the services.</w:t>
      </w:r>
      <w:r>
        <w:rPr>
          <w:rFonts w:ascii="Calibri" w:hAnsi="Calibri"/>
          <w:sz w:val="21"/>
        </w:rPr>
        <w:t xml:space="preserve"> </w:t>
      </w:r>
      <w:hyperlink r:id="rId23">
        <w:r>
          <w:rPr>
            <w:rFonts w:ascii="Calibri" w:hAnsi="Calibri"/>
            <w:sz w:val="19"/>
            <w:szCs w:val="19"/>
            <w:color w:val="0563C1"/>
            <w:u w:val="single"/>
          </w:rPr>
          <w:t>[13]</w:t>
        </w:r>
      </w:hyperlink>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val="true"/>
        </w:trPr>
        <w:tc>
          <w:tcPr>
            <w:tcW w:type="dxa" w:w="3389"/>
            <w:vAlign w:val="top"/>
            <w:shd w:fill="D9EAF7"/>
            <w:tcMar>
              <w:top w:w="70" w:type="dxa"/>
              <w:left w:w="80" w:type="dxa"/>
              <w:bottom w:w="70" w:type="dxa"/>
              <w:right w:w="80" w:type="dxa"/>
            </w:tcMar>
          </w:tcPr>
          <w:p>
            <w:pPr>
              <w:spacing w:after="0" w:line="240" w:lineRule="auto"/>
            </w:pPr>
            <w:r/>
            <w:r>
              <w:rPr>
                <w:rFonts w:ascii="Calibri" w:hAnsi="Calibri"/>
                <w:b/>
                <w:sz w:val="19"/>
              </w:rPr>
              <w:t>Candidate Mark</w:t>
            </w:r>
          </w:p>
        </w:tc>
        <w:tc>
          <w:tcPr>
            <w:tcW w:type="dxa" w:w="3389"/>
            <w:vAlign w:val="top"/>
            <w:shd w:fill="D9EAF7"/>
            <w:tcMar>
              <w:top w:w="70" w:type="dxa"/>
              <w:left w:w="80" w:type="dxa"/>
              <w:bottom w:w="70" w:type="dxa"/>
              <w:right w:w="80" w:type="dxa"/>
            </w:tcMar>
          </w:tcPr>
          <w:p>
            <w:pPr>
              <w:spacing w:after="0" w:line="240" w:lineRule="auto"/>
            </w:pPr>
            <w:r/>
            <w:r>
              <w:rPr>
                <w:rFonts w:ascii="Calibri" w:hAnsi="Calibri"/>
                <w:b/>
                <w:sz w:val="19"/>
              </w:rPr>
              <w:t>Purpose</w:t>
            </w:r>
          </w:p>
        </w:tc>
        <w:tc>
          <w:tcPr>
            <w:tcW w:type="dxa" w:w="3389"/>
            <w:vAlign w:val="top"/>
            <w:shd w:fill="D9EAF7"/>
            <w:tcMar>
              <w:top w:w="70" w:type="dxa"/>
              <w:left w:w="80" w:type="dxa"/>
              <w:bottom w:w="70" w:type="dxa"/>
              <w:right w:w="80" w:type="dxa"/>
            </w:tcMar>
          </w:tcPr>
          <w:p>
            <w:pPr>
              <w:spacing w:after="0" w:line="240" w:lineRule="auto"/>
            </w:pPr>
            <w:r/>
            <w:r>
              <w:rPr>
                <w:rFonts w:ascii="Calibri" w:hAnsi="Calibri"/>
                <w:b/>
                <w:sz w:val="19"/>
              </w:rPr>
              <w:t>Protection Approach</w:t>
            </w:r>
          </w:p>
        </w:tc>
      </w:tr>
      <w:tr>
        <w:trPr>
          <w:cantSplit w:val="true"/>
        </w:trPr>
        <w:tc>
          <w:tcPr>
            <w:tcW w:type="dxa" w:w="3389"/>
            <w:vAlign w:val="top"/>
            <w:tcMar>
              <w:top w:w="70" w:type="dxa"/>
              <w:left w:w="80" w:type="dxa"/>
              <w:bottom w:w="70" w:type="dxa"/>
              <w:right w:w="80" w:type="dxa"/>
            </w:tcMar>
          </w:tcPr>
          <w:p>
            <w:pPr>
              <w:spacing w:after="0" w:line="240" w:lineRule="auto"/>
            </w:pPr>
            <w:r/>
            <w:r>
              <w:rPr>
                <w:rFonts w:ascii="Calibri" w:hAnsi="Calibri"/>
                <w:b w:val="0"/>
                <w:sz w:val="19"/>
              </w:rPr>
              <w:t>LAURELSHIELD</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House mark</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Primary Canadian and U.S. trademark; expand internationally.</w:t>
            </w:r>
          </w:p>
        </w:tc>
      </w:tr>
      <w:tr>
        <w:trPr>
          <w:cantSplit w:val="true"/>
        </w:trPr>
        <w:tc>
          <w:tcPr>
            <w:tcW w:type="dxa" w:w="3389"/>
            <w:vAlign w:val="top"/>
            <w:tcMar>
              <w:top w:w="70" w:type="dxa"/>
              <w:left w:w="80" w:type="dxa"/>
              <w:bottom w:w="70" w:type="dxa"/>
              <w:right w:w="80" w:type="dxa"/>
            </w:tcMar>
          </w:tcPr>
          <w:p>
            <w:pPr>
              <w:spacing w:after="0" w:line="240" w:lineRule="auto"/>
            </w:pPr>
            <w:r/>
            <w:r>
              <w:rPr>
                <w:rFonts w:ascii="Calibri" w:hAnsi="Calibri"/>
                <w:b w:val="0"/>
                <w:sz w:val="19"/>
              </w:rPr>
              <w:t>LAURELSHIELD CYBER RISK PASSPORT</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Portable credential product</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Trademark if clearable.</w:t>
            </w:r>
          </w:p>
        </w:tc>
      </w:tr>
      <w:tr>
        <w:trPr>
          <w:cantSplit w:val="true"/>
        </w:trPr>
        <w:tc>
          <w:tcPr>
            <w:tcW w:type="dxa" w:w="3389"/>
            <w:vAlign w:val="top"/>
            <w:tcMar>
              <w:top w:w="70" w:type="dxa"/>
              <w:left w:w="80" w:type="dxa"/>
              <w:bottom w:w="70" w:type="dxa"/>
              <w:right w:w="80" w:type="dxa"/>
            </w:tcMar>
          </w:tcPr>
          <w:p>
            <w:pPr>
              <w:spacing w:after="0" w:line="240" w:lineRule="auto"/>
            </w:pPr>
            <w:r/>
            <w:r>
              <w:rPr>
                <w:rFonts w:ascii="Calibri" w:hAnsi="Calibri"/>
                <w:b w:val="0"/>
                <w:sz w:val="19"/>
              </w:rPr>
              <w:t>LAURELSHIELD VERIFIED</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Assurance badge / credential</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Consider ordinary trademark initially; evaluate certification-mark structure.</w:t>
            </w:r>
          </w:p>
        </w:tc>
      </w:tr>
      <w:tr>
        <w:trPr>
          <w:cantSplit w:val="true"/>
        </w:trPr>
        <w:tc>
          <w:tcPr>
            <w:tcW w:type="dxa" w:w="3389"/>
            <w:vAlign w:val="top"/>
            <w:tcMar>
              <w:top w:w="70" w:type="dxa"/>
              <w:left w:w="80" w:type="dxa"/>
              <w:bottom w:w="70" w:type="dxa"/>
              <w:right w:w="80" w:type="dxa"/>
            </w:tcMar>
          </w:tcPr>
          <w:p>
            <w:pPr>
              <w:spacing w:after="0" w:line="240" w:lineRule="auto"/>
            </w:pPr>
            <w:r/>
            <w:r>
              <w:rPr>
                <w:rFonts w:ascii="Calibri" w:hAnsi="Calibri"/>
                <w:b w:val="0"/>
                <w:sz w:val="19"/>
              </w:rPr>
              <w:t>LAURELSHIELD EVIDENCE EXCHANGE</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Broker/carrier sharing platform</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Trademark if clearable.</w:t>
            </w:r>
          </w:p>
        </w:tc>
      </w:tr>
      <w:tr>
        <w:trPr>
          <w:cantSplit w:val="true"/>
        </w:trPr>
        <w:tc>
          <w:tcPr>
            <w:tcW w:type="dxa" w:w="3389"/>
            <w:vAlign w:val="top"/>
            <w:tcMar>
              <w:top w:w="70" w:type="dxa"/>
              <w:left w:w="80" w:type="dxa"/>
              <w:bottom w:w="70" w:type="dxa"/>
              <w:right w:w="80" w:type="dxa"/>
            </w:tcMar>
          </w:tcPr>
          <w:p>
            <w:pPr>
              <w:spacing w:after="0" w:line="240" w:lineRule="auto"/>
            </w:pPr>
            <w:r/>
            <w:r>
              <w:rPr>
                <w:rFonts w:ascii="Calibri" w:hAnsi="Calibri"/>
                <w:b w:val="0"/>
                <w:sz w:val="19"/>
              </w:rPr>
              <w:t>LAURELSHIELD INSURABILITY GRAPH</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Carrier mapping / analytics product</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Trademark if clearable.</w:t>
            </w:r>
          </w:p>
        </w:tc>
      </w:tr>
      <w:tr>
        <w:trPr>
          <w:cantSplit w:val="true"/>
        </w:trPr>
        <w:tc>
          <w:tcPr>
            <w:tcW w:type="dxa" w:w="3389"/>
            <w:vAlign w:val="top"/>
            <w:tcMar>
              <w:top w:w="70" w:type="dxa"/>
              <w:left w:w="80" w:type="dxa"/>
              <w:bottom w:w="70" w:type="dxa"/>
              <w:right w:w="80" w:type="dxa"/>
            </w:tcMar>
          </w:tcPr>
          <w:p>
            <w:pPr>
              <w:spacing w:after="0" w:line="240" w:lineRule="auto"/>
            </w:pPr>
            <w:r/>
            <w:r>
              <w:rPr>
                <w:rFonts w:ascii="Calibri" w:hAnsi="Calibri"/>
                <w:b w:val="0"/>
                <w:sz w:val="19"/>
              </w:rPr>
              <w:t>VERIFY ONCE. DEMONSTRATE EVERYWHERE.</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Tagline</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Run professional clearance before filing; “verify once” wording is used by others in adjacent identity services.</w:t>
            </w:r>
          </w:p>
        </w:tc>
      </w:tr>
    </w:tbl>
    <w:p>
      <w:pPr>
        <w:spacing w:after="40"/>
      </w:pPr>
    </w:p>
    <w:p>
      <w:pPr>
        <w:spacing w:after="80" w:line="259" w:lineRule="auto"/>
      </w:pPr>
      <w:r>
        <w:rPr>
          <w:rFonts w:ascii="Calibri" w:hAnsi="Calibri"/>
          <w:sz w:val="21"/>
        </w:rPr>
        <w:t>CIPO provides a searchable Canadian Trademarks Database, but a database search is not a substitute for legal clearance. A trademark agent should assess confusingly similar marks, unregistered/common-law use, goods/services classes, geographic strategy, and descriptive/suggestive issues before filing.</w:t>
      </w:r>
      <w:r>
        <w:rPr>
          <w:rFonts w:ascii="Calibri" w:hAnsi="Calibri"/>
          <w:sz w:val="21"/>
        </w:rPr>
        <w:t xml:space="preserve"> </w:t>
      </w:r>
      <w:hyperlink r:id="rId24">
        <w:r>
          <w:rPr>
            <w:rFonts w:ascii="Calibri" w:hAnsi="Calibri"/>
            <w:sz w:val="19"/>
            <w:szCs w:val="19"/>
            <w:color w:val="0563C1"/>
            <w:u w:val="single"/>
          </w:rPr>
          <w:t>[25]</w:t>
        </w:r>
      </w:hyperlink>
      <w:r>
        <w:rPr>
          <w:rFonts w:ascii="Calibri" w:hAnsi="Calibri"/>
          <w:sz w:val="19"/>
        </w:rPr>
        <w:t xml:space="preserve">, </w:t>
      </w:r>
      <w:hyperlink r:id="rId23">
        <w:r>
          <w:rPr>
            <w:rFonts w:ascii="Calibri" w:hAnsi="Calibri"/>
            <w:sz w:val="19"/>
            <w:szCs w:val="19"/>
            <w:color w:val="0563C1"/>
            <w:u w:val="single"/>
          </w:rPr>
          <w:t>[13]</w:t>
        </w:r>
      </w:hyperlink>
    </w:p>
    <w:p>
      <w:pPr>
        <w:spacing w:after="80" w:line="259" w:lineRule="auto"/>
      </w:pPr>
      <w:r>
        <w:rPr>
          <w:rFonts w:ascii="Calibri" w:hAnsi="Calibri"/>
          <w:sz w:val="21"/>
        </w:rPr>
        <w:t>For international expansion, the WIPO Madrid System can support a single international filing process based on an existing national/regional basic mark, with each designated jurisdiction ultimately applying its own substantive law.</w:t>
      </w:r>
      <w:r>
        <w:rPr>
          <w:rFonts w:ascii="Calibri" w:hAnsi="Calibri"/>
          <w:sz w:val="21"/>
        </w:rPr>
        <w:t xml:space="preserve"> </w:t>
      </w:r>
      <w:hyperlink r:id="rId42">
        <w:r>
          <w:rPr>
            <w:rFonts w:ascii="Calibri" w:hAnsi="Calibri"/>
            <w:sz w:val="19"/>
            <w:szCs w:val="19"/>
            <w:color w:val="0563C1"/>
            <w:u w:val="single"/>
          </w:rPr>
          <w:t>[21]</w:t>
        </w:r>
      </w:hyperlink>
    </w:p>
    <w:p>
      <w:pPr>
        <w:pStyle w:val="Heading2"/>
        <w:keepNext/>
        <w:spacing w:before="100" w:after="80"/>
      </w:pPr>
      <w:r>
        <w:rPr>
          <w:rFonts w:ascii="Calibri" w:hAnsi="Calibri"/>
          <w:b/>
          <w:color w:val="1F4E79"/>
          <w:sz w:val="25"/>
        </w:rPr>
        <w:t>11.2 Certification mark strategy</w:t>
      </w:r>
    </w:p>
    <w:p>
      <w:pPr>
        <w:spacing w:after="80" w:line="259" w:lineRule="auto"/>
      </w:pPr>
      <w:r>
        <w:rPr>
          <w:rFonts w:ascii="Calibri" w:hAnsi="Calibri"/>
          <w:sz w:val="21"/>
        </w:rPr>
        <w:t>A certification mark could become one of the most valuable trust assets if “Laurelshield Verified” eventually indicates that an organization has satisfied a defined assurance standard. Canadian law recognizes certification marks tied to a defined standard, and CIPO’s certification-mark materials require the applicant to identify the defined standard represented by the mark.</w:t>
      </w:r>
      <w:r>
        <w:rPr>
          <w:rFonts w:ascii="Calibri" w:hAnsi="Calibri"/>
          <w:sz w:val="21"/>
        </w:rPr>
        <w:t xml:space="preserve"> </w:t>
      </w:r>
      <w:hyperlink r:id="rId43">
        <w:r>
          <w:rPr>
            <w:rFonts w:ascii="Calibri" w:hAnsi="Calibri"/>
            <w:sz w:val="19"/>
            <w:szCs w:val="19"/>
            <w:color w:val="0563C1"/>
            <w:u w:val="single"/>
          </w:rPr>
          <w:t>[14]</w:t>
        </w:r>
      </w:hyperlink>
      <w:r>
        <w:rPr>
          <w:rFonts w:ascii="Calibri" w:hAnsi="Calibri"/>
          <w:sz w:val="19"/>
        </w:rPr>
        <w:t xml:space="preserve">, </w:t>
      </w:r>
      <w:hyperlink r:id="rId44">
        <w:r>
          <w:rPr>
            <w:rFonts w:ascii="Calibri" w:hAnsi="Calibri"/>
            <w:sz w:val="19"/>
            <w:szCs w:val="19"/>
            <w:color w:val="0563C1"/>
            <w:u w:val="single"/>
          </w:rPr>
          <w:t>[15]</w:t>
        </w:r>
      </w:hyperlink>
      <w:r>
        <w:rPr>
          <w:rFonts w:ascii="Calibri" w:hAnsi="Calibri"/>
          <w:sz w:val="19"/>
        </w:rPr>
        <w:t xml:space="preserve">, </w:t>
      </w:r>
      <w:hyperlink r:id="rId45">
        <w:r>
          <w:rPr>
            <w:rFonts w:ascii="Calibri" w:hAnsi="Calibri"/>
            <w:sz w:val="19"/>
            <w:szCs w:val="19"/>
            <w:color w:val="0563C1"/>
            <w:u w:val="single"/>
          </w:rPr>
          <w:t>[36]</w:t>
        </w:r>
      </w:hyperlink>
    </w:p>
    <w:p>
      <w:pPr>
        <w:spacing w:after="80" w:line="259" w:lineRule="auto"/>
      </w:pPr>
      <w:r>
        <w:rPr>
          <w:rFonts w:ascii="Calibri" w:hAnsi="Calibri"/>
          <w:sz w:val="21"/>
        </w:rPr>
        <w:t>This should be designed with counsel because certification marks require structural discipline: the mark represents conformity to a standard, not simply the certifier’s ordinary commercial branding. The certification scheme, impartiality, licensing rules, surveillance, suspension, and misuse enforcement must be designed coherently.</w:t>
      </w:r>
      <w:r>
        <w:rPr>
          <w:rFonts w:ascii="Calibri" w:hAnsi="Calibri"/>
          <w:sz w:val="21"/>
        </w:rPr>
        <w:t xml:space="preserve"> </w:t>
      </w:r>
      <w:hyperlink r:id="rId43">
        <w:r>
          <w:rPr>
            <w:rFonts w:ascii="Calibri" w:hAnsi="Calibri"/>
            <w:sz w:val="19"/>
            <w:szCs w:val="19"/>
            <w:color w:val="0563C1"/>
            <w:u w:val="single"/>
          </w:rPr>
          <w:t>[14]</w:t>
        </w:r>
      </w:hyperlink>
      <w:r>
        <w:rPr>
          <w:rFonts w:ascii="Calibri" w:hAnsi="Calibri"/>
          <w:sz w:val="19"/>
        </w:rPr>
        <w:t xml:space="preserve">, </w:t>
      </w:r>
      <w:hyperlink r:id="rId35">
        <w:r>
          <w:rPr>
            <w:rFonts w:ascii="Calibri" w:hAnsi="Calibri"/>
            <w:sz w:val="19"/>
            <w:szCs w:val="19"/>
            <w:color w:val="0563C1"/>
            <w:u w:val="single"/>
          </w:rPr>
          <w:t>[23]</w:t>
        </w:r>
      </w:hyperlink>
      <w:r>
        <w:rPr>
          <w:rFonts w:ascii="Calibri" w:hAnsi="Calibri"/>
          <w:sz w:val="19"/>
        </w:rPr>
        <w:t xml:space="preserve">, </w:t>
      </w:r>
      <w:hyperlink r:id="rId37">
        <w:r>
          <w:rPr>
            <w:rFonts w:ascii="Calibri" w:hAnsi="Calibri"/>
            <w:sz w:val="19"/>
            <w:szCs w:val="19"/>
            <w:color w:val="0563C1"/>
            <w:u w:val="single"/>
          </w:rPr>
          <w:t>[37]</w:t>
        </w:r>
      </w:hyperlink>
    </w:p>
    <w:p>
      <w:pPr>
        <w:pStyle w:val="Heading2"/>
        <w:keepNext/>
        <w:spacing w:before="100" w:after="80"/>
      </w:pPr>
      <w:r>
        <w:rPr>
          <w:rFonts w:ascii="Calibri" w:hAnsi="Calibri"/>
          <w:b/>
          <w:color w:val="1F4E79"/>
          <w:sz w:val="25"/>
        </w:rPr>
        <w:t>11.3 Copyright</w:t>
      </w:r>
    </w:p>
    <w:p>
      <w:pPr>
        <w:spacing w:after="80" w:line="259" w:lineRule="auto"/>
      </w:pPr>
      <w:r>
        <w:rPr>
          <w:rFonts w:ascii="Calibri" w:hAnsi="Calibri"/>
          <w:sz w:val="21"/>
        </w:rPr>
        <w:t>Copyright automatically protects original expression once created, but it does not protect the underlying idea. Laurelshield should maintain clear authorship and ownership records and consider Canadian copyright registration for high-value written standards, assessor manuals, training materials, diagrams, reports, and software-related works because registration can provide useful evidence of ownership.</w:t>
      </w:r>
      <w:r>
        <w:rPr>
          <w:rFonts w:ascii="Calibri" w:hAnsi="Calibri"/>
          <w:sz w:val="21"/>
        </w:rPr>
        <w:t xml:space="preserve"> </w:t>
      </w:r>
      <w:hyperlink r:id="rId38">
        <w:r>
          <w:rPr>
            <w:rFonts w:ascii="Calibri" w:hAnsi="Calibri"/>
            <w:sz w:val="19"/>
            <w:szCs w:val="19"/>
            <w:color w:val="0563C1"/>
            <w:u w:val="single"/>
          </w:rPr>
          <w:t>[16]</w:t>
        </w:r>
      </w:hyperlink>
      <w:r>
        <w:rPr>
          <w:rFonts w:ascii="Calibri" w:hAnsi="Calibri"/>
          <w:sz w:val="19"/>
        </w:rPr>
        <w:t xml:space="preserve">, </w:t>
      </w:r>
      <w:hyperlink r:id="rId46">
        <w:r>
          <w:rPr>
            <w:rFonts w:ascii="Calibri" w:hAnsi="Calibri"/>
            <w:sz w:val="19"/>
            <w:szCs w:val="19"/>
            <w:color w:val="0563C1"/>
            <w:u w:val="single"/>
          </w:rPr>
          <w:t>[17]</w:t>
        </w:r>
      </w:hyperlink>
    </w:p>
    <w:p>
      <w:pPr>
        <w:pStyle w:val="ListBullet"/>
        <w:spacing w:after="40" w:line="252" w:lineRule="auto"/>
      </w:pPr>
      <w:r>
        <w:rPr>
          <w:rFonts w:ascii="Calibri" w:hAnsi="Calibri"/>
          <w:sz w:val="21"/>
        </w:rPr>
        <w:t>Copyright candidates: CIA Standard v1.0; assessor methodology; report templates; control taxonomy documentation; training curriculum; software source code; user-interface copy; diagrams; data dictionaries.</w:t>
      </w:r>
    </w:p>
    <w:p>
      <w:pPr>
        <w:pStyle w:val="Heading2"/>
        <w:keepNext/>
        <w:spacing w:before="100" w:after="80"/>
      </w:pPr>
      <w:r>
        <w:rPr>
          <w:rFonts w:ascii="Calibri" w:hAnsi="Calibri"/>
          <w:b/>
          <w:color w:val="1F4E79"/>
          <w:sz w:val="25"/>
        </w:rPr>
        <w:t>11.4 Patent strategy</w:t>
      </w:r>
    </w:p>
    <w:p>
      <w:pPr>
        <w:spacing w:after="80" w:line="259" w:lineRule="auto"/>
      </w:pPr>
      <w:r>
        <w:rPr>
          <w:rFonts w:ascii="Calibri" w:hAnsi="Calibri"/>
          <w:sz w:val="21"/>
        </w:rPr>
        <w:t>Do not attempt to patent the abstract business idea “verify cybersecurity once and show it to insurers.” Instead, ask patent counsel whether specific computer-implemented mechanisms are new, useful, and non-obvious. CIPO’s March 2026 practice notice specifically addresses patentable subject matter including computer-implemented inventions, while WIPO warns that public disclosure before filing can destroy novelty in many jurisdictions.</w:t>
      </w:r>
      <w:r>
        <w:rPr>
          <w:rFonts w:ascii="Calibri" w:hAnsi="Calibri"/>
          <w:sz w:val="21"/>
        </w:rPr>
        <w:t xml:space="preserve"> </w:t>
      </w:r>
      <w:hyperlink r:id="rId40">
        <w:r>
          <w:rPr>
            <w:rFonts w:ascii="Calibri" w:hAnsi="Calibri"/>
            <w:sz w:val="19"/>
            <w:szCs w:val="19"/>
            <w:color w:val="0563C1"/>
            <w:u w:val="single"/>
          </w:rPr>
          <w:t>[19]</w:t>
        </w:r>
      </w:hyperlink>
      <w:r>
        <w:rPr>
          <w:rFonts w:ascii="Calibri" w:hAnsi="Calibri"/>
          <w:sz w:val="19"/>
        </w:rPr>
        <w:t xml:space="preserve">, </w:t>
      </w:r>
      <w:hyperlink r:id="rId41">
        <w:r>
          <w:rPr>
            <w:rFonts w:ascii="Calibri" w:hAnsi="Calibri"/>
            <w:sz w:val="19"/>
            <w:szCs w:val="19"/>
            <w:color w:val="0563C1"/>
            <w:u w:val="single"/>
          </w:rPr>
          <w:t>[20]</w:t>
        </w:r>
      </w:hyperlink>
    </w:p>
    <w:p>
      <w:pPr>
        <w:spacing w:after="80" w:line="259" w:lineRule="auto"/>
      </w:pPr>
      <w:r>
        <w:rPr>
          <w:rFonts w:ascii="Calibri" w:hAnsi="Calibri"/>
          <w:sz w:val="21"/>
        </w:rPr>
        <w:t>Potential patent-candidate concept: a system that continuously collects heterogeneous cybersecurity evidence, cryptographically binds evidence to a defined assurance scope, computes confidence and freshness, maps canonical controls into counterparty-specific assertions, selectively discloses those assertions without exposing raw evidence, and automatically revokes or downgrades claims when source-control state changes.</w:t>
      </w:r>
    </w:p>
    <w:p>
      <w:pPr>
        <w:spacing w:after="80" w:line="259" w:lineRule="auto"/>
      </w:pPr>
      <w:r>
        <w:rPr>
          <w:rFonts w:ascii="Calibri" w:hAnsi="Calibri"/>
          <w:sz w:val="21"/>
        </w:rPr>
        <w:t>Patent counsel should perform prior-art searching before public disclosure of detailed technical mechanisms. Use NDAs for investor, partner, and vendor discussions where confidential technical detail is required. Filing early is generally safer than relying on a grace period.</w:t>
      </w:r>
      <w:r>
        <w:rPr>
          <w:rFonts w:ascii="Calibri" w:hAnsi="Calibri"/>
          <w:sz w:val="21"/>
        </w:rPr>
        <w:t xml:space="preserve"> </w:t>
      </w:r>
      <w:hyperlink r:id="rId41">
        <w:r>
          <w:rPr>
            <w:rFonts w:ascii="Calibri" w:hAnsi="Calibri"/>
            <w:sz w:val="19"/>
            <w:szCs w:val="19"/>
            <w:color w:val="0563C1"/>
            <w:u w:val="single"/>
          </w:rPr>
          <w:t>[20]</w:t>
        </w:r>
      </w:hyperlink>
    </w:p>
    <w:p>
      <w:pPr>
        <w:pStyle w:val="Heading2"/>
        <w:keepNext/>
        <w:spacing w:before="100" w:after="80"/>
      </w:pPr>
      <w:r>
        <w:rPr>
          <w:rFonts w:ascii="Calibri" w:hAnsi="Calibri"/>
          <w:b/>
          <w:color w:val="1F4E79"/>
          <w:sz w:val="25"/>
        </w:rPr>
        <w:t>11.5 Trade secrets — probably the most important IP layer</w:t>
      </w:r>
    </w:p>
    <w:p>
      <w:pPr>
        <w:spacing w:after="80" w:line="259" w:lineRule="auto"/>
      </w:pPr>
      <w:r>
        <w:rPr>
          <w:rFonts w:ascii="Calibri" w:hAnsi="Calibri"/>
          <w:sz w:val="21"/>
        </w:rPr>
        <w:t>CIPO describes trade secrets as commercially valuable information whose value derives from secrecy. Canada does not have a single federal trade-secret registration system; protection depends heavily on confidentiality, contract, and reasonable secrecy controls.</w:t>
      </w:r>
      <w:r>
        <w:rPr>
          <w:rFonts w:ascii="Calibri" w:hAnsi="Calibri"/>
          <w:sz w:val="21"/>
        </w:rPr>
        <w:t xml:space="preserve"> </w:t>
      </w:r>
      <w:hyperlink r:id="rId39">
        <w:r>
          <w:rPr>
            <w:rFonts w:ascii="Calibri" w:hAnsi="Calibri"/>
            <w:sz w:val="19"/>
            <w:szCs w:val="19"/>
            <w:color w:val="0563C1"/>
            <w:u w:val="single"/>
          </w:rPr>
          <w:t>[18]</w:t>
        </w:r>
      </w:hyperlink>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val="true"/>
        </w:trPr>
        <w:tc>
          <w:tcPr>
            <w:tcW w:type="dxa" w:w="5083"/>
            <w:vAlign w:val="top"/>
            <w:shd w:fill="D9EAF7"/>
            <w:tcMar>
              <w:top w:w="70" w:type="dxa"/>
              <w:left w:w="80" w:type="dxa"/>
              <w:bottom w:w="70" w:type="dxa"/>
              <w:right w:w="80" w:type="dxa"/>
            </w:tcMar>
          </w:tcPr>
          <w:p>
            <w:pPr>
              <w:spacing w:after="0" w:line="240" w:lineRule="auto"/>
            </w:pPr>
            <w:r/>
            <w:r>
              <w:rPr>
                <w:rFonts w:ascii="Calibri" w:hAnsi="Calibri"/>
                <w:b/>
                <w:sz w:val="19"/>
              </w:rPr>
              <w:t>Keep Confidential</w:t>
            </w:r>
          </w:p>
        </w:tc>
        <w:tc>
          <w:tcPr>
            <w:tcW w:type="dxa" w:w="5083"/>
            <w:vAlign w:val="top"/>
            <w:shd w:fill="D9EAF7"/>
            <w:tcMar>
              <w:top w:w="70" w:type="dxa"/>
              <w:left w:w="80" w:type="dxa"/>
              <w:bottom w:w="70" w:type="dxa"/>
              <w:right w:w="80" w:type="dxa"/>
            </w:tcMar>
          </w:tcPr>
          <w:p>
            <w:pPr>
              <w:spacing w:after="0" w:line="240" w:lineRule="auto"/>
            </w:pPr>
            <w:r/>
            <w:r>
              <w:rPr>
                <w:rFonts w:ascii="Calibri" w:hAnsi="Calibri"/>
                <w:b/>
                <w:sz w:val="19"/>
              </w:rPr>
              <w:t>Why</w:t>
            </w:r>
          </w:p>
        </w:tc>
      </w:tr>
      <w:tr>
        <w:trPr>
          <w:cantSplit w:val="true"/>
        </w:trPr>
        <w:tc>
          <w:tcPr>
            <w:tcW w:type="dxa" w:w="5083"/>
            <w:vAlign w:val="top"/>
            <w:tcMar>
              <w:top w:w="70" w:type="dxa"/>
              <w:left w:w="80" w:type="dxa"/>
              <w:bottom w:w="70" w:type="dxa"/>
              <w:right w:w="80" w:type="dxa"/>
            </w:tcMar>
          </w:tcPr>
          <w:p>
            <w:pPr>
              <w:spacing w:after="0" w:line="240" w:lineRule="auto"/>
            </w:pPr>
            <w:r/>
            <w:r>
              <w:rPr>
                <w:rFonts w:ascii="Calibri" w:hAnsi="Calibri"/>
                <w:b w:val="0"/>
                <w:sz w:val="19"/>
              </w:rPr>
              <w:t>Carrier Requirements Graph</w:t>
            </w:r>
          </w:p>
        </w:tc>
        <w:tc>
          <w:tcPr>
            <w:tcW w:type="dxa" w:w="5083"/>
            <w:vAlign w:val="top"/>
            <w:tcMar>
              <w:top w:w="70" w:type="dxa"/>
              <w:left w:w="80" w:type="dxa"/>
              <w:bottom w:w="70" w:type="dxa"/>
              <w:right w:w="80" w:type="dxa"/>
            </w:tcMar>
          </w:tcPr>
          <w:p>
            <w:pPr>
              <w:spacing w:after="0" w:line="240" w:lineRule="auto"/>
            </w:pPr>
            <w:r/>
            <w:r>
              <w:rPr>
                <w:rFonts w:ascii="Calibri" w:hAnsi="Calibri"/>
                <w:b w:val="0"/>
                <w:sz w:val="19"/>
              </w:rPr>
              <w:t>Cross-carrier mappings are expensive to build and commercially sensitive.</w:t>
            </w:r>
          </w:p>
        </w:tc>
      </w:tr>
      <w:tr>
        <w:trPr>
          <w:cantSplit w:val="true"/>
        </w:trPr>
        <w:tc>
          <w:tcPr>
            <w:tcW w:type="dxa" w:w="5083"/>
            <w:vAlign w:val="top"/>
            <w:tcMar>
              <w:top w:w="70" w:type="dxa"/>
              <w:left w:w="80" w:type="dxa"/>
              <w:bottom w:w="70" w:type="dxa"/>
              <w:right w:w="80" w:type="dxa"/>
            </w:tcMar>
          </w:tcPr>
          <w:p>
            <w:pPr>
              <w:spacing w:after="0" w:line="240" w:lineRule="auto"/>
            </w:pPr>
            <w:r/>
            <w:r>
              <w:rPr>
                <w:rFonts w:ascii="Calibri" w:hAnsi="Calibri"/>
                <w:b w:val="0"/>
                <w:sz w:val="19"/>
              </w:rPr>
              <w:t>Scoring / weighting algorithms</w:t>
            </w:r>
          </w:p>
        </w:tc>
        <w:tc>
          <w:tcPr>
            <w:tcW w:type="dxa" w:w="5083"/>
            <w:vAlign w:val="top"/>
            <w:tcMar>
              <w:top w:w="70" w:type="dxa"/>
              <w:left w:w="80" w:type="dxa"/>
              <w:bottom w:w="70" w:type="dxa"/>
              <w:right w:w="80" w:type="dxa"/>
            </w:tcMar>
          </w:tcPr>
          <w:p>
            <w:pPr>
              <w:spacing w:after="0" w:line="240" w:lineRule="auto"/>
            </w:pPr>
            <w:r/>
            <w:r>
              <w:rPr>
                <w:rFonts w:ascii="Calibri" w:hAnsi="Calibri"/>
                <w:b w:val="0"/>
                <w:sz w:val="19"/>
              </w:rPr>
              <w:t>Prevents easy replication of decision logic.</w:t>
            </w:r>
          </w:p>
        </w:tc>
      </w:tr>
      <w:tr>
        <w:trPr>
          <w:cantSplit w:val="true"/>
        </w:trPr>
        <w:tc>
          <w:tcPr>
            <w:tcW w:type="dxa" w:w="5083"/>
            <w:vAlign w:val="top"/>
            <w:tcMar>
              <w:top w:w="70" w:type="dxa"/>
              <w:left w:w="80" w:type="dxa"/>
              <w:bottom w:w="70" w:type="dxa"/>
              <w:right w:w="80" w:type="dxa"/>
            </w:tcMar>
          </w:tcPr>
          <w:p>
            <w:pPr>
              <w:spacing w:after="0" w:line="240" w:lineRule="auto"/>
            </w:pPr>
            <w:r/>
            <w:r>
              <w:rPr>
                <w:rFonts w:ascii="Calibri" w:hAnsi="Calibri"/>
                <w:b w:val="0"/>
                <w:sz w:val="19"/>
              </w:rPr>
              <w:t>Evidence anomaly-detection rules</w:t>
            </w:r>
          </w:p>
        </w:tc>
        <w:tc>
          <w:tcPr>
            <w:tcW w:type="dxa" w:w="5083"/>
            <w:vAlign w:val="top"/>
            <w:tcMar>
              <w:top w:w="70" w:type="dxa"/>
              <w:left w:w="80" w:type="dxa"/>
              <w:bottom w:w="70" w:type="dxa"/>
              <w:right w:w="80" w:type="dxa"/>
            </w:tcMar>
          </w:tcPr>
          <w:p>
            <w:pPr>
              <w:spacing w:after="0" w:line="240" w:lineRule="auto"/>
            </w:pPr>
            <w:r/>
            <w:r>
              <w:rPr>
                <w:rFonts w:ascii="Calibri" w:hAnsi="Calibri"/>
                <w:b w:val="0"/>
                <w:sz w:val="19"/>
              </w:rPr>
              <w:t>Prevents gaming and manipulated assurance submissions.</w:t>
            </w:r>
          </w:p>
        </w:tc>
      </w:tr>
      <w:tr>
        <w:trPr>
          <w:cantSplit w:val="true"/>
        </w:trPr>
        <w:tc>
          <w:tcPr>
            <w:tcW w:type="dxa" w:w="5083"/>
            <w:vAlign w:val="top"/>
            <w:tcMar>
              <w:top w:w="70" w:type="dxa"/>
              <w:left w:w="80" w:type="dxa"/>
              <w:bottom w:w="70" w:type="dxa"/>
              <w:right w:w="80" w:type="dxa"/>
            </w:tcMar>
          </w:tcPr>
          <w:p>
            <w:pPr>
              <w:spacing w:after="0" w:line="240" w:lineRule="auto"/>
            </w:pPr>
            <w:r/>
            <w:r>
              <w:rPr>
                <w:rFonts w:ascii="Calibri" w:hAnsi="Calibri"/>
                <w:b w:val="0"/>
                <w:sz w:val="19"/>
              </w:rPr>
              <w:t>Underwriting outcome data</w:t>
            </w:r>
          </w:p>
        </w:tc>
        <w:tc>
          <w:tcPr>
            <w:tcW w:type="dxa" w:w="5083"/>
            <w:vAlign w:val="top"/>
            <w:tcMar>
              <w:top w:w="70" w:type="dxa"/>
              <w:left w:w="80" w:type="dxa"/>
              <w:bottom w:w="70" w:type="dxa"/>
              <w:right w:w="80" w:type="dxa"/>
            </w:tcMar>
          </w:tcPr>
          <w:p>
            <w:pPr>
              <w:spacing w:after="0" w:line="240" w:lineRule="auto"/>
            </w:pPr>
            <w:r/>
            <w:r>
              <w:rPr>
                <w:rFonts w:ascii="Calibri" w:hAnsi="Calibri"/>
                <w:b w:val="0"/>
                <w:sz w:val="19"/>
              </w:rPr>
              <w:t>Creates unique market intelligence.</w:t>
            </w:r>
          </w:p>
        </w:tc>
      </w:tr>
      <w:tr>
        <w:trPr>
          <w:cantSplit w:val="true"/>
        </w:trPr>
        <w:tc>
          <w:tcPr>
            <w:tcW w:type="dxa" w:w="5083"/>
            <w:vAlign w:val="top"/>
            <w:tcMar>
              <w:top w:w="70" w:type="dxa"/>
              <w:left w:w="80" w:type="dxa"/>
              <w:bottom w:w="70" w:type="dxa"/>
              <w:right w:w="80" w:type="dxa"/>
            </w:tcMar>
          </w:tcPr>
          <w:p>
            <w:pPr>
              <w:spacing w:after="0" w:line="240" w:lineRule="auto"/>
            </w:pPr>
            <w:r/>
            <w:r>
              <w:rPr>
                <w:rFonts w:ascii="Calibri" w:hAnsi="Calibri"/>
                <w:b w:val="0"/>
                <w:sz w:val="19"/>
              </w:rPr>
              <w:t>Claims correlation models</w:t>
            </w:r>
          </w:p>
        </w:tc>
        <w:tc>
          <w:tcPr>
            <w:tcW w:type="dxa" w:w="5083"/>
            <w:vAlign w:val="top"/>
            <w:tcMar>
              <w:top w:w="70" w:type="dxa"/>
              <w:left w:w="80" w:type="dxa"/>
              <w:bottom w:w="70" w:type="dxa"/>
              <w:right w:w="80" w:type="dxa"/>
            </w:tcMar>
          </w:tcPr>
          <w:p>
            <w:pPr>
              <w:spacing w:after="0" w:line="240" w:lineRule="auto"/>
            </w:pPr>
            <w:r/>
            <w:r>
              <w:rPr>
                <w:rFonts w:ascii="Calibri" w:hAnsi="Calibri"/>
                <w:b w:val="0"/>
                <w:sz w:val="19"/>
              </w:rPr>
              <w:t>Potential long-term predictive advantage.</w:t>
            </w:r>
          </w:p>
        </w:tc>
      </w:tr>
      <w:tr>
        <w:trPr>
          <w:cantSplit w:val="true"/>
        </w:trPr>
        <w:tc>
          <w:tcPr>
            <w:tcW w:type="dxa" w:w="5083"/>
            <w:vAlign w:val="top"/>
            <w:tcMar>
              <w:top w:w="70" w:type="dxa"/>
              <w:left w:w="80" w:type="dxa"/>
              <w:bottom w:w="70" w:type="dxa"/>
              <w:right w:w="80" w:type="dxa"/>
            </w:tcMar>
          </w:tcPr>
          <w:p>
            <w:pPr>
              <w:spacing w:after="0" w:line="240" w:lineRule="auto"/>
            </w:pPr>
            <w:r/>
            <w:r>
              <w:rPr>
                <w:rFonts w:ascii="Calibri" w:hAnsi="Calibri"/>
                <w:b w:val="0"/>
                <w:sz w:val="19"/>
              </w:rPr>
              <w:t>Partner-specific thresholds</w:t>
            </w:r>
          </w:p>
        </w:tc>
        <w:tc>
          <w:tcPr>
            <w:tcW w:type="dxa" w:w="5083"/>
            <w:vAlign w:val="top"/>
            <w:tcMar>
              <w:top w:w="70" w:type="dxa"/>
              <w:left w:w="80" w:type="dxa"/>
              <w:bottom w:w="70" w:type="dxa"/>
              <w:right w:w="80" w:type="dxa"/>
            </w:tcMar>
          </w:tcPr>
          <w:p>
            <w:pPr>
              <w:spacing w:after="0" w:line="240" w:lineRule="auto"/>
            </w:pPr>
            <w:r/>
            <w:r>
              <w:rPr>
                <w:rFonts w:ascii="Calibri" w:hAnsi="Calibri"/>
                <w:b w:val="0"/>
                <w:sz w:val="19"/>
              </w:rPr>
              <w:t>May be confidential to insurers/brokers.</w:t>
            </w:r>
          </w:p>
        </w:tc>
      </w:tr>
      <w:tr>
        <w:trPr>
          <w:cantSplit w:val="true"/>
        </w:trPr>
        <w:tc>
          <w:tcPr>
            <w:tcW w:type="dxa" w:w="5083"/>
            <w:vAlign w:val="top"/>
            <w:tcMar>
              <w:top w:w="70" w:type="dxa"/>
              <w:left w:w="80" w:type="dxa"/>
              <w:bottom w:w="70" w:type="dxa"/>
              <w:right w:w="80" w:type="dxa"/>
            </w:tcMar>
          </w:tcPr>
          <w:p>
            <w:pPr>
              <w:spacing w:after="0" w:line="240" w:lineRule="auto"/>
            </w:pPr>
            <w:r/>
            <w:r>
              <w:rPr>
                <w:rFonts w:ascii="Calibri" w:hAnsi="Calibri"/>
                <w:b w:val="0"/>
                <w:sz w:val="19"/>
              </w:rPr>
              <w:t>Benchmark datasets</w:t>
            </w:r>
          </w:p>
        </w:tc>
        <w:tc>
          <w:tcPr>
            <w:tcW w:type="dxa" w:w="5083"/>
            <w:vAlign w:val="top"/>
            <w:tcMar>
              <w:top w:w="70" w:type="dxa"/>
              <w:left w:w="80" w:type="dxa"/>
              <w:bottom w:w="70" w:type="dxa"/>
              <w:right w:w="80" w:type="dxa"/>
            </w:tcMar>
          </w:tcPr>
          <w:p>
            <w:pPr>
              <w:spacing w:after="0" w:line="240" w:lineRule="auto"/>
            </w:pPr>
            <w:r/>
            <w:r>
              <w:rPr>
                <w:rFonts w:ascii="Calibri" w:hAnsi="Calibri"/>
                <w:b w:val="0"/>
                <w:sz w:val="19"/>
              </w:rPr>
              <w:t>Value compounds with scale and cannot be recreated quickly.</w:t>
            </w:r>
          </w:p>
        </w:tc>
      </w:tr>
      <w:tr>
        <w:trPr>
          <w:cantSplit w:val="true"/>
        </w:trPr>
        <w:tc>
          <w:tcPr>
            <w:tcW w:type="dxa" w:w="5083"/>
            <w:vAlign w:val="top"/>
            <w:tcMar>
              <w:top w:w="70" w:type="dxa"/>
              <w:left w:w="80" w:type="dxa"/>
              <w:bottom w:w="70" w:type="dxa"/>
              <w:right w:w="80" w:type="dxa"/>
            </w:tcMar>
          </w:tcPr>
          <w:p>
            <w:pPr>
              <w:spacing w:after="0" w:line="240" w:lineRule="auto"/>
            </w:pPr>
            <w:r/>
            <w:r>
              <w:rPr>
                <w:rFonts w:ascii="Calibri" w:hAnsi="Calibri"/>
                <w:b w:val="0"/>
                <w:sz w:val="19"/>
              </w:rPr>
              <w:t>Connector heuristics and normalization logic</w:t>
            </w:r>
          </w:p>
        </w:tc>
        <w:tc>
          <w:tcPr>
            <w:tcW w:type="dxa" w:w="5083"/>
            <w:vAlign w:val="top"/>
            <w:tcMar>
              <w:top w:w="70" w:type="dxa"/>
              <w:left w:w="80" w:type="dxa"/>
              <w:bottom w:w="70" w:type="dxa"/>
              <w:right w:w="80" w:type="dxa"/>
            </w:tcMar>
          </w:tcPr>
          <w:p>
            <w:pPr>
              <w:spacing w:after="0" w:line="240" w:lineRule="auto"/>
            </w:pPr>
            <w:r/>
            <w:r>
              <w:rPr>
                <w:rFonts w:ascii="Calibri" w:hAnsi="Calibri"/>
                <w:b w:val="0"/>
                <w:sz w:val="19"/>
              </w:rPr>
              <w:t>Engineering know-how that improves verification reliability.</w:t>
            </w:r>
          </w:p>
        </w:tc>
      </w:tr>
    </w:tbl>
    <w:p>
      <w:pPr>
        <w:spacing w:after="40"/>
      </w:pPr>
    </w:p>
    <w:p>
      <w:pPr>
        <w:spacing w:after="80" w:line="259" w:lineRule="auto"/>
      </w:pPr>
      <w:r>
        <w:rPr>
          <w:rFonts w:ascii="Calibri" w:hAnsi="Calibri"/>
          <w:sz w:val="21"/>
        </w:rPr>
        <w:t>Trade-secret controls should include NDAs, employee/contractor IP assignment, least-privilege access, encrypted repositories, code/data separation, logging, confidentiality labels, controlled exports, vendor restrictions, exit procedures, and contractual prohibition on reverse engineering where enforceable.</w:t>
      </w:r>
    </w:p>
    <w:p>
      <w:pPr>
        <w:pStyle w:val="Heading2"/>
        <w:keepNext/>
        <w:spacing w:before="100" w:after="80"/>
      </w:pPr>
      <w:r>
        <w:rPr>
          <w:rFonts w:ascii="Calibri" w:hAnsi="Calibri"/>
          <w:b/>
          <w:color w:val="1F4E79"/>
          <w:sz w:val="25"/>
        </w:rPr>
        <w:t>11.6 Contractual moat</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val="true"/>
        </w:trPr>
        <w:tc>
          <w:tcPr>
            <w:tcW w:type="dxa" w:w="5083"/>
            <w:vAlign w:val="top"/>
            <w:shd w:fill="D9EAF7"/>
            <w:tcMar>
              <w:top w:w="70" w:type="dxa"/>
              <w:left w:w="80" w:type="dxa"/>
              <w:bottom w:w="70" w:type="dxa"/>
              <w:right w:w="80" w:type="dxa"/>
            </w:tcMar>
          </w:tcPr>
          <w:p>
            <w:pPr>
              <w:spacing w:after="0" w:line="240" w:lineRule="auto"/>
            </w:pPr>
            <w:r/>
            <w:r>
              <w:rPr>
                <w:rFonts w:ascii="Calibri" w:hAnsi="Calibri"/>
                <w:b/>
                <w:sz w:val="19"/>
              </w:rPr>
              <w:t>Agreement</w:t>
            </w:r>
          </w:p>
        </w:tc>
        <w:tc>
          <w:tcPr>
            <w:tcW w:type="dxa" w:w="5083"/>
            <w:vAlign w:val="top"/>
            <w:shd w:fill="D9EAF7"/>
            <w:tcMar>
              <w:top w:w="70" w:type="dxa"/>
              <w:left w:w="80" w:type="dxa"/>
              <w:bottom w:w="70" w:type="dxa"/>
              <w:right w:w="80" w:type="dxa"/>
            </w:tcMar>
          </w:tcPr>
          <w:p>
            <w:pPr>
              <w:spacing w:after="0" w:line="240" w:lineRule="auto"/>
            </w:pPr>
            <w:r/>
            <w:r>
              <w:rPr>
                <w:rFonts w:ascii="Calibri" w:hAnsi="Calibri"/>
                <w:b/>
                <w:sz w:val="19"/>
              </w:rPr>
              <w:t>Critical Clauses</w:t>
            </w:r>
          </w:p>
        </w:tc>
      </w:tr>
      <w:tr>
        <w:trPr>
          <w:cantSplit w:val="true"/>
        </w:trPr>
        <w:tc>
          <w:tcPr>
            <w:tcW w:type="dxa" w:w="5083"/>
            <w:vAlign w:val="top"/>
            <w:tcMar>
              <w:top w:w="70" w:type="dxa"/>
              <w:left w:w="80" w:type="dxa"/>
              <w:bottom w:w="70" w:type="dxa"/>
              <w:right w:w="80" w:type="dxa"/>
            </w:tcMar>
          </w:tcPr>
          <w:p>
            <w:pPr>
              <w:spacing w:after="0" w:line="240" w:lineRule="auto"/>
            </w:pPr>
            <w:r/>
            <w:r>
              <w:rPr>
                <w:rFonts w:ascii="Calibri" w:hAnsi="Calibri"/>
                <w:b w:val="0"/>
                <w:sz w:val="19"/>
              </w:rPr>
              <w:t>Customer MSA / DPA</w:t>
            </w:r>
          </w:p>
        </w:tc>
        <w:tc>
          <w:tcPr>
            <w:tcW w:type="dxa" w:w="5083"/>
            <w:vAlign w:val="top"/>
            <w:tcMar>
              <w:top w:w="70" w:type="dxa"/>
              <w:left w:w="80" w:type="dxa"/>
              <w:bottom w:w="70" w:type="dxa"/>
              <w:right w:w="80" w:type="dxa"/>
            </w:tcMar>
          </w:tcPr>
          <w:p>
            <w:pPr>
              <w:spacing w:after="0" w:line="240" w:lineRule="auto"/>
            </w:pPr>
            <w:r/>
            <w:r>
              <w:rPr>
                <w:rFonts w:ascii="Calibri" w:hAnsi="Calibri"/>
                <w:b w:val="0"/>
                <w:sz w:val="19"/>
              </w:rPr>
              <w:t>Evidence ownership, license to process, privacy, retention, sharing authority, outcome-data permissions, warranty limits, no insurance guarantee.</w:t>
            </w:r>
          </w:p>
        </w:tc>
      </w:tr>
      <w:tr>
        <w:trPr>
          <w:cantSplit w:val="true"/>
        </w:trPr>
        <w:tc>
          <w:tcPr>
            <w:tcW w:type="dxa" w:w="5083"/>
            <w:vAlign w:val="top"/>
            <w:tcMar>
              <w:top w:w="70" w:type="dxa"/>
              <w:left w:w="80" w:type="dxa"/>
              <w:bottom w:w="70" w:type="dxa"/>
              <w:right w:w="80" w:type="dxa"/>
            </w:tcMar>
          </w:tcPr>
          <w:p>
            <w:pPr>
              <w:spacing w:after="0" w:line="240" w:lineRule="auto"/>
            </w:pPr>
            <w:r/>
            <w:r>
              <w:rPr>
                <w:rFonts w:ascii="Calibri" w:hAnsi="Calibri"/>
                <w:b w:val="0"/>
                <w:sz w:val="19"/>
              </w:rPr>
              <w:t>Broker Partner Agreement</w:t>
            </w:r>
          </w:p>
        </w:tc>
        <w:tc>
          <w:tcPr>
            <w:tcW w:type="dxa" w:w="5083"/>
            <w:vAlign w:val="top"/>
            <w:tcMar>
              <w:top w:w="70" w:type="dxa"/>
              <w:left w:w="80" w:type="dxa"/>
              <w:bottom w:w="70" w:type="dxa"/>
              <w:right w:w="80" w:type="dxa"/>
            </w:tcMar>
          </w:tcPr>
          <w:p>
            <w:pPr>
              <w:spacing w:after="0" w:line="240" w:lineRule="auto"/>
            </w:pPr>
            <w:r/>
            <w:r>
              <w:rPr>
                <w:rFonts w:ascii="Calibri" w:hAnsi="Calibri"/>
                <w:b w:val="0"/>
                <w:sz w:val="19"/>
              </w:rPr>
              <w:t>Non-exclusivity, referral disclosures, permitted evidence use, client ownership, confidentiality, data rights, no methodology ownership transfer.</w:t>
            </w:r>
          </w:p>
        </w:tc>
      </w:tr>
      <w:tr>
        <w:trPr>
          <w:cantSplit w:val="true"/>
        </w:trPr>
        <w:tc>
          <w:tcPr>
            <w:tcW w:type="dxa" w:w="5083"/>
            <w:vAlign w:val="top"/>
            <w:tcMar>
              <w:top w:w="70" w:type="dxa"/>
              <w:left w:w="80" w:type="dxa"/>
              <w:bottom w:w="70" w:type="dxa"/>
              <w:right w:w="80" w:type="dxa"/>
            </w:tcMar>
          </w:tcPr>
          <w:p>
            <w:pPr>
              <w:spacing w:after="0" w:line="240" w:lineRule="auto"/>
            </w:pPr>
            <w:r/>
            <w:r>
              <w:rPr>
                <w:rFonts w:ascii="Calibri" w:hAnsi="Calibri"/>
                <w:b w:val="0"/>
                <w:sz w:val="19"/>
              </w:rPr>
              <w:t>Carrier Agreement</w:t>
            </w:r>
          </w:p>
        </w:tc>
        <w:tc>
          <w:tcPr>
            <w:tcW w:type="dxa" w:w="5083"/>
            <w:vAlign w:val="top"/>
            <w:tcMar>
              <w:top w:w="70" w:type="dxa"/>
              <w:left w:w="80" w:type="dxa"/>
              <w:bottom w:w="70" w:type="dxa"/>
              <w:right w:w="80" w:type="dxa"/>
            </w:tcMar>
          </w:tcPr>
          <w:p>
            <w:pPr>
              <w:spacing w:after="0" w:line="240" w:lineRule="auto"/>
            </w:pPr>
            <w:r/>
            <w:r>
              <w:rPr>
                <w:rFonts w:ascii="Calibri" w:hAnsi="Calibri"/>
                <w:b w:val="0"/>
                <w:sz w:val="19"/>
              </w:rPr>
              <w:t>Mapping confidentiality, acceptance scope, evidence requirements, outcome-data feedback, permitted claims, API security, no cross-carrier disclosure.</w:t>
            </w:r>
          </w:p>
        </w:tc>
      </w:tr>
      <w:tr>
        <w:trPr>
          <w:cantSplit w:val="true"/>
        </w:trPr>
        <w:tc>
          <w:tcPr>
            <w:tcW w:type="dxa" w:w="5083"/>
            <w:vAlign w:val="top"/>
            <w:tcMar>
              <w:top w:w="70" w:type="dxa"/>
              <w:left w:w="80" w:type="dxa"/>
              <w:bottom w:w="70" w:type="dxa"/>
              <w:right w:w="80" w:type="dxa"/>
            </w:tcMar>
          </w:tcPr>
          <w:p>
            <w:pPr>
              <w:spacing w:after="0" w:line="240" w:lineRule="auto"/>
            </w:pPr>
            <w:r/>
            <w:r>
              <w:rPr>
                <w:rFonts w:ascii="Calibri" w:hAnsi="Calibri"/>
                <w:b w:val="0"/>
                <w:sz w:val="19"/>
              </w:rPr>
              <w:t>Assessor Agreement</w:t>
            </w:r>
          </w:p>
        </w:tc>
        <w:tc>
          <w:tcPr>
            <w:tcW w:type="dxa" w:w="5083"/>
            <w:vAlign w:val="top"/>
            <w:tcMar>
              <w:top w:w="70" w:type="dxa"/>
              <w:left w:w="80" w:type="dxa"/>
              <w:bottom w:w="70" w:type="dxa"/>
              <w:right w:w="80" w:type="dxa"/>
            </w:tcMar>
          </w:tcPr>
          <w:p>
            <w:pPr>
              <w:spacing w:after="0" w:line="240" w:lineRule="auto"/>
            </w:pPr>
            <w:r/>
            <w:r>
              <w:rPr>
                <w:rFonts w:ascii="Calibri" w:hAnsi="Calibri"/>
                <w:b w:val="0"/>
                <w:sz w:val="19"/>
              </w:rPr>
              <w:t>IP assignment, confidentiality, scheme compliance, independence, competence, audit rights, conflict disclosure.</w:t>
            </w:r>
          </w:p>
        </w:tc>
      </w:tr>
      <w:tr>
        <w:trPr>
          <w:cantSplit w:val="true"/>
        </w:trPr>
        <w:tc>
          <w:tcPr>
            <w:tcW w:type="dxa" w:w="5083"/>
            <w:vAlign w:val="top"/>
            <w:tcMar>
              <w:top w:w="70" w:type="dxa"/>
              <w:left w:w="80" w:type="dxa"/>
              <w:bottom w:w="70" w:type="dxa"/>
              <w:right w:w="80" w:type="dxa"/>
            </w:tcMar>
          </w:tcPr>
          <w:p>
            <w:pPr>
              <w:spacing w:after="0" w:line="240" w:lineRule="auto"/>
            </w:pPr>
            <w:r/>
            <w:r>
              <w:rPr>
                <w:rFonts w:ascii="Calibri" w:hAnsi="Calibri"/>
                <w:b w:val="0"/>
                <w:sz w:val="19"/>
              </w:rPr>
              <w:t>Technology Vendor Agreement</w:t>
            </w:r>
          </w:p>
        </w:tc>
        <w:tc>
          <w:tcPr>
            <w:tcW w:type="dxa" w:w="5083"/>
            <w:vAlign w:val="top"/>
            <w:tcMar>
              <w:top w:w="70" w:type="dxa"/>
              <w:left w:w="80" w:type="dxa"/>
              <w:bottom w:w="70" w:type="dxa"/>
              <w:right w:w="80" w:type="dxa"/>
            </w:tcMar>
          </w:tcPr>
          <w:p>
            <w:pPr>
              <w:spacing w:after="0" w:line="240" w:lineRule="auto"/>
            </w:pPr>
            <w:r/>
            <w:r>
              <w:rPr>
                <w:rFonts w:ascii="Calibri" w:hAnsi="Calibri"/>
                <w:b w:val="0"/>
                <w:sz w:val="19"/>
              </w:rPr>
              <w:t>No training on customer/carrier data without permission, security requirements, breach notification, deletion, subcontractor controls.</w:t>
            </w:r>
          </w:p>
        </w:tc>
      </w:tr>
      <w:tr>
        <w:trPr>
          <w:cantSplit w:val="true"/>
        </w:trPr>
        <w:tc>
          <w:tcPr>
            <w:tcW w:type="dxa" w:w="5083"/>
            <w:vAlign w:val="top"/>
            <w:tcMar>
              <w:top w:w="70" w:type="dxa"/>
              <w:left w:w="80" w:type="dxa"/>
              <w:bottom w:w="70" w:type="dxa"/>
              <w:right w:w="80" w:type="dxa"/>
            </w:tcMar>
          </w:tcPr>
          <w:p>
            <w:pPr>
              <w:spacing w:after="0" w:line="240" w:lineRule="auto"/>
            </w:pPr>
            <w:r/>
            <w:r>
              <w:rPr>
                <w:rFonts w:ascii="Calibri" w:hAnsi="Calibri"/>
                <w:b w:val="0"/>
                <w:sz w:val="19"/>
              </w:rPr>
              <w:t>Employee / Contractor Agreement</w:t>
            </w:r>
          </w:p>
        </w:tc>
        <w:tc>
          <w:tcPr>
            <w:tcW w:type="dxa" w:w="5083"/>
            <w:vAlign w:val="top"/>
            <w:tcMar>
              <w:top w:w="70" w:type="dxa"/>
              <w:left w:w="80" w:type="dxa"/>
              <w:bottom w:w="70" w:type="dxa"/>
              <w:right w:w="80" w:type="dxa"/>
            </w:tcMar>
          </w:tcPr>
          <w:p>
            <w:pPr>
              <w:spacing w:after="0" w:line="240" w:lineRule="auto"/>
            </w:pPr>
            <w:r/>
            <w:r>
              <w:rPr>
                <w:rFonts w:ascii="Calibri" w:hAnsi="Calibri"/>
                <w:b w:val="0"/>
                <w:sz w:val="19"/>
              </w:rPr>
              <w:t>Inventions/IP assignment, confidentiality, trade secrets, return/delete obligations, post-engagement restrictions where lawful.</w:t>
            </w:r>
          </w:p>
        </w:tc>
      </w:tr>
    </w:tbl>
    <w:p>
      <w:pPr>
        <w:spacing w:after="40"/>
      </w:pPr>
    </w:p>
    <w:p>
      <w:pPr>
        <w:pStyle w:val="Heading2"/>
        <w:keepNext/>
        <w:spacing w:before="100" w:after="80"/>
      </w:pPr>
      <w:r>
        <w:rPr>
          <w:rFonts w:ascii="Calibri" w:hAnsi="Calibri"/>
          <w:b/>
          <w:color w:val="1F4E79"/>
          <w:sz w:val="25"/>
        </w:rPr>
        <w:t>11.7 Data rights and defensibility</w:t>
      </w:r>
    </w:p>
    <w:p>
      <w:pPr>
        <w:spacing w:after="80" w:line="259" w:lineRule="auto"/>
      </w:pPr>
      <w:r>
        <w:rPr>
          <w:rFonts w:ascii="Calibri" w:hAnsi="Calibri"/>
          <w:sz w:val="21"/>
        </w:rPr>
        <w:t>The long-term moat depends heavily on lawful rights to use aggregated or de-identified outcomes. Customer and partner contracts must be explicit about what Laurelshield may retain and analyze. Do not assume that possession of a carrier’s underwriting outcome or customer security evidence creates unrestricted rights to commercialize it. Build a rights ledger that records source, consent, permitted purpose, retention period, onward-sharing restrictions, and de-identification requirements for each dataset.</w:t>
      </w:r>
    </w:p>
    <w:p>
      <w:pPr>
        <w:pStyle w:val="Heading2"/>
        <w:keepNext/>
        <w:spacing w:before="100" w:after="80"/>
      </w:pPr>
      <w:r>
        <w:rPr>
          <w:rFonts w:ascii="Calibri" w:hAnsi="Calibri"/>
          <w:b/>
          <w:color w:val="1F4E79"/>
          <w:sz w:val="25"/>
        </w:rPr>
        <w:t>11.8 Anti-copy strategy beyond IP law</w:t>
      </w:r>
    </w:p>
    <w:p>
      <w:pPr>
        <w:spacing w:after="80" w:line="259" w:lineRule="auto"/>
      </w:pPr>
      <w:r>
        <w:rPr>
          <w:rFonts w:ascii="Calibri" w:hAnsi="Calibri"/>
          <w:sz w:val="21"/>
        </w:rPr>
        <w:t>The best protection is operational compounding. A competitor can copy terminology, a report format, or even a control taxonomy. It is much harder to copy a network already embedded in broker workflows, accepted by multiple carriers, trusted by customers, connected to dozens of security platforms, supported by calibrated assessors, and trained on years of underwriting and claims outcomes.</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val="true"/>
        </w:trPr>
        <w:tc>
          <w:tcPr>
            <w:tcW w:type="dxa" w:w="5083"/>
            <w:vAlign w:val="top"/>
            <w:shd w:fill="D9EAF7"/>
            <w:tcMar>
              <w:top w:w="70" w:type="dxa"/>
              <w:left w:w="80" w:type="dxa"/>
              <w:bottom w:w="70" w:type="dxa"/>
              <w:right w:w="80" w:type="dxa"/>
            </w:tcMar>
          </w:tcPr>
          <w:p>
            <w:pPr>
              <w:spacing w:after="0" w:line="240" w:lineRule="auto"/>
            </w:pPr>
            <w:r/>
            <w:r>
              <w:rPr>
                <w:rFonts w:ascii="Calibri" w:hAnsi="Calibri"/>
                <w:b/>
                <w:sz w:val="19"/>
              </w:rPr>
              <w:t>Copyable Quickly</w:t>
            </w:r>
          </w:p>
        </w:tc>
        <w:tc>
          <w:tcPr>
            <w:tcW w:type="dxa" w:w="5083"/>
            <w:vAlign w:val="top"/>
            <w:shd w:fill="D9EAF7"/>
            <w:tcMar>
              <w:top w:w="70" w:type="dxa"/>
              <w:left w:w="80" w:type="dxa"/>
              <w:bottom w:w="70" w:type="dxa"/>
              <w:right w:w="80" w:type="dxa"/>
            </w:tcMar>
          </w:tcPr>
          <w:p>
            <w:pPr>
              <w:spacing w:after="0" w:line="240" w:lineRule="auto"/>
            </w:pPr>
            <w:r/>
            <w:r>
              <w:rPr>
                <w:rFonts w:ascii="Calibri" w:hAnsi="Calibri"/>
                <w:b/>
                <w:sz w:val="19"/>
              </w:rPr>
              <w:t>Hard to Copy</w:t>
            </w:r>
          </w:p>
        </w:tc>
      </w:tr>
      <w:tr>
        <w:trPr>
          <w:cantSplit w:val="true"/>
        </w:trPr>
        <w:tc>
          <w:tcPr>
            <w:tcW w:type="dxa" w:w="5083"/>
            <w:vAlign w:val="top"/>
            <w:tcMar>
              <w:top w:w="70" w:type="dxa"/>
              <w:left w:w="80" w:type="dxa"/>
              <w:bottom w:w="70" w:type="dxa"/>
              <w:right w:w="80" w:type="dxa"/>
            </w:tcMar>
          </w:tcPr>
          <w:p>
            <w:pPr>
              <w:spacing w:after="0" w:line="240" w:lineRule="auto"/>
            </w:pPr>
            <w:r/>
            <w:r>
              <w:rPr>
                <w:rFonts w:ascii="Calibri" w:hAnsi="Calibri"/>
                <w:b w:val="0"/>
                <w:sz w:val="19"/>
              </w:rPr>
              <w:t>Questionnaire</w:t>
            </w:r>
          </w:p>
        </w:tc>
        <w:tc>
          <w:tcPr>
            <w:tcW w:type="dxa" w:w="5083"/>
            <w:vAlign w:val="top"/>
            <w:tcMar>
              <w:top w:w="70" w:type="dxa"/>
              <w:left w:w="80" w:type="dxa"/>
              <w:bottom w:w="70" w:type="dxa"/>
              <w:right w:w="80" w:type="dxa"/>
            </w:tcMar>
          </w:tcPr>
          <w:p>
            <w:pPr>
              <w:spacing w:after="0" w:line="240" w:lineRule="auto"/>
            </w:pPr>
            <w:r/>
            <w:r>
              <w:rPr>
                <w:rFonts w:ascii="Calibri" w:hAnsi="Calibri"/>
                <w:b w:val="0"/>
                <w:sz w:val="19"/>
              </w:rPr>
              <w:t>10,000 continuously verified passports with longitudinal history.</w:t>
            </w:r>
          </w:p>
        </w:tc>
      </w:tr>
      <w:tr>
        <w:trPr>
          <w:cantSplit w:val="true"/>
        </w:trPr>
        <w:tc>
          <w:tcPr>
            <w:tcW w:type="dxa" w:w="5083"/>
            <w:vAlign w:val="top"/>
            <w:tcMar>
              <w:top w:w="70" w:type="dxa"/>
              <w:left w:w="80" w:type="dxa"/>
              <w:bottom w:w="70" w:type="dxa"/>
              <w:right w:w="80" w:type="dxa"/>
            </w:tcMar>
          </w:tcPr>
          <w:p>
            <w:pPr>
              <w:spacing w:after="0" w:line="240" w:lineRule="auto"/>
            </w:pPr>
            <w:r/>
            <w:r>
              <w:rPr>
                <w:rFonts w:ascii="Calibri" w:hAnsi="Calibri"/>
                <w:b w:val="0"/>
                <w:sz w:val="19"/>
              </w:rPr>
              <w:t>PDF report design</w:t>
            </w:r>
          </w:p>
        </w:tc>
        <w:tc>
          <w:tcPr>
            <w:tcW w:type="dxa" w:w="5083"/>
            <w:vAlign w:val="top"/>
            <w:tcMar>
              <w:top w:w="70" w:type="dxa"/>
              <w:left w:w="80" w:type="dxa"/>
              <w:bottom w:w="70" w:type="dxa"/>
              <w:right w:w="80" w:type="dxa"/>
            </w:tcMar>
          </w:tcPr>
          <w:p>
            <w:pPr>
              <w:spacing w:after="0" w:line="240" w:lineRule="auto"/>
            </w:pPr>
            <w:r/>
            <w:r>
              <w:rPr>
                <w:rFonts w:ascii="Calibri" w:hAnsi="Calibri"/>
                <w:b w:val="0"/>
                <w:sz w:val="19"/>
              </w:rPr>
              <w:t>Carrier-specific mapping agreements and validation history.</w:t>
            </w:r>
          </w:p>
        </w:tc>
      </w:tr>
      <w:tr>
        <w:trPr>
          <w:cantSplit w:val="true"/>
        </w:trPr>
        <w:tc>
          <w:tcPr>
            <w:tcW w:type="dxa" w:w="5083"/>
            <w:vAlign w:val="top"/>
            <w:tcMar>
              <w:top w:w="70" w:type="dxa"/>
              <w:left w:w="80" w:type="dxa"/>
              <w:bottom w:w="70" w:type="dxa"/>
              <w:right w:w="80" w:type="dxa"/>
            </w:tcMar>
          </w:tcPr>
          <w:p>
            <w:pPr>
              <w:spacing w:after="0" w:line="240" w:lineRule="auto"/>
            </w:pPr>
            <w:r/>
            <w:r>
              <w:rPr>
                <w:rFonts w:ascii="Calibri" w:hAnsi="Calibri"/>
                <w:b w:val="0"/>
                <w:sz w:val="19"/>
              </w:rPr>
              <w:t>“Insurability score” concept</w:t>
            </w:r>
          </w:p>
        </w:tc>
        <w:tc>
          <w:tcPr>
            <w:tcW w:type="dxa" w:w="5083"/>
            <w:vAlign w:val="top"/>
            <w:tcMar>
              <w:top w:w="70" w:type="dxa"/>
              <w:left w:w="80" w:type="dxa"/>
              <w:bottom w:w="70" w:type="dxa"/>
              <w:right w:w="80" w:type="dxa"/>
            </w:tcMar>
          </w:tcPr>
          <w:p>
            <w:pPr>
              <w:spacing w:after="0" w:line="240" w:lineRule="auto"/>
            </w:pPr>
            <w:r/>
            <w:r>
              <w:rPr>
                <w:rFonts w:ascii="Calibri" w:hAnsi="Calibri"/>
                <w:b w:val="0"/>
                <w:sz w:val="19"/>
              </w:rPr>
              <w:t>Broker and carrier APIs embedded in production workflows.</w:t>
            </w:r>
          </w:p>
        </w:tc>
      </w:tr>
      <w:tr>
        <w:trPr>
          <w:cantSplit w:val="true"/>
        </w:trPr>
        <w:tc>
          <w:tcPr>
            <w:tcW w:type="dxa" w:w="5083"/>
            <w:vAlign w:val="top"/>
            <w:tcMar>
              <w:top w:w="70" w:type="dxa"/>
              <w:left w:w="80" w:type="dxa"/>
              <w:bottom w:w="70" w:type="dxa"/>
              <w:right w:w="80" w:type="dxa"/>
            </w:tcMar>
          </w:tcPr>
          <w:p>
            <w:pPr>
              <w:spacing w:after="0" w:line="240" w:lineRule="auto"/>
            </w:pPr>
            <w:r/>
            <w:r>
              <w:rPr>
                <w:rFonts w:ascii="Calibri" w:hAnsi="Calibri"/>
                <w:b w:val="0"/>
                <w:sz w:val="19"/>
              </w:rPr>
              <w:t>Control checklist</w:t>
            </w:r>
          </w:p>
        </w:tc>
        <w:tc>
          <w:tcPr>
            <w:tcW w:type="dxa" w:w="5083"/>
            <w:vAlign w:val="top"/>
            <w:tcMar>
              <w:top w:w="70" w:type="dxa"/>
              <w:left w:w="80" w:type="dxa"/>
              <w:bottom w:w="70" w:type="dxa"/>
              <w:right w:w="80" w:type="dxa"/>
            </w:tcMar>
          </w:tcPr>
          <w:p>
            <w:pPr>
              <w:spacing w:after="0" w:line="240" w:lineRule="auto"/>
            </w:pPr>
            <w:r/>
            <w:r>
              <w:rPr>
                <w:rFonts w:ascii="Calibri" w:hAnsi="Calibri"/>
                <w:b w:val="0"/>
                <w:sz w:val="19"/>
              </w:rPr>
              <w:t>High-quality evidence lineage and machine connector ecosystem.</w:t>
            </w:r>
          </w:p>
        </w:tc>
      </w:tr>
      <w:tr>
        <w:trPr>
          <w:cantSplit w:val="true"/>
        </w:trPr>
        <w:tc>
          <w:tcPr>
            <w:tcW w:type="dxa" w:w="5083"/>
            <w:vAlign w:val="top"/>
            <w:tcMar>
              <w:top w:w="70" w:type="dxa"/>
              <w:left w:w="80" w:type="dxa"/>
              <w:bottom w:w="70" w:type="dxa"/>
              <w:right w:w="80" w:type="dxa"/>
            </w:tcMar>
          </w:tcPr>
          <w:p>
            <w:pPr>
              <w:spacing w:after="0" w:line="240" w:lineRule="auto"/>
            </w:pPr>
            <w:r/>
            <w:r>
              <w:rPr>
                <w:rFonts w:ascii="Calibri" w:hAnsi="Calibri"/>
                <w:b w:val="0"/>
                <w:sz w:val="19"/>
              </w:rPr>
              <w:t>Marketing language</w:t>
            </w:r>
          </w:p>
        </w:tc>
        <w:tc>
          <w:tcPr>
            <w:tcW w:type="dxa" w:w="5083"/>
            <w:vAlign w:val="top"/>
            <w:tcMar>
              <w:top w:w="70" w:type="dxa"/>
              <w:left w:w="80" w:type="dxa"/>
              <w:bottom w:w="70" w:type="dxa"/>
              <w:right w:w="80" w:type="dxa"/>
            </w:tcMar>
          </w:tcPr>
          <w:p>
            <w:pPr>
              <w:spacing w:after="0" w:line="240" w:lineRule="auto"/>
            </w:pPr>
            <w:r/>
            <w:r>
              <w:rPr>
                <w:rFonts w:ascii="Calibri" w:hAnsi="Calibri"/>
                <w:b w:val="0"/>
                <w:sz w:val="19"/>
              </w:rPr>
              <w:t>Independent governance, assessor calibration, appeals, surveillance, certification mark.</w:t>
            </w:r>
          </w:p>
        </w:tc>
      </w:tr>
      <w:tr>
        <w:trPr>
          <w:cantSplit w:val="true"/>
        </w:trPr>
        <w:tc>
          <w:tcPr>
            <w:tcW w:type="dxa" w:w="5083"/>
            <w:vAlign w:val="top"/>
            <w:tcMar>
              <w:top w:w="70" w:type="dxa"/>
              <w:left w:w="80" w:type="dxa"/>
              <w:bottom w:w="70" w:type="dxa"/>
              <w:right w:w="80" w:type="dxa"/>
            </w:tcMar>
          </w:tcPr>
          <w:p>
            <w:pPr>
              <w:spacing w:after="0" w:line="240" w:lineRule="auto"/>
            </w:pPr>
            <w:r/>
            <w:r>
              <w:rPr>
                <w:rFonts w:ascii="Calibri" w:hAnsi="Calibri"/>
                <w:b w:val="0"/>
                <w:sz w:val="19"/>
              </w:rPr>
              <w:t>Basic software portal</w:t>
            </w:r>
          </w:p>
        </w:tc>
        <w:tc>
          <w:tcPr>
            <w:tcW w:type="dxa" w:w="5083"/>
            <w:vAlign w:val="top"/>
            <w:tcMar>
              <w:top w:w="70" w:type="dxa"/>
              <w:left w:w="80" w:type="dxa"/>
              <w:bottom w:w="70" w:type="dxa"/>
              <w:right w:w="80" w:type="dxa"/>
            </w:tcMar>
          </w:tcPr>
          <w:p>
            <w:pPr>
              <w:spacing w:after="0" w:line="240" w:lineRule="auto"/>
            </w:pPr>
            <w:r/>
            <w:r>
              <w:rPr>
                <w:rFonts w:ascii="Calibri" w:hAnsi="Calibri"/>
                <w:b w:val="0"/>
                <w:sz w:val="19"/>
              </w:rPr>
              <w:t>Cross-market underwriting outcomes and claims correlations.</w:t>
            </w:r>
          </w:p>
        </w:tc>
      </w:tr>
      <w:tr>
        <w:trPr>
          <w:cantSplit w:val="true"/>
        </w:trPr>
        <w:tc>
          <w:tcPr>
            <w:tcW w:type="dxa" w:w="5083"/>
            <w:vAlign w:val="top"/>
            <w:tcMar>
              <w:top w:w="70" w:type="dxa"/>
              <w:left w:w="80" w:type="dxa"/>
              <w:bottom w:w="70" w:type="dxa"/>
              <w:right w:w="80" w:type="dxa"/>
            </w:tcMar>
          </w:tcPr>
          <w:p>
            <w:pPr>
              <w:spacing w:after="0" w:line="240" w:lineRule="auto"/>
            </w:pPr>
            <w:r/>
            <w:r>
              <w:rPr>
                <w:rFonts w:ascii="Calibri" w:hAnsi="Calibri"/>
                <w:b w:val="0"/>
                <w:sz w:val="19"/>
              </w:rPr>
              <w:t>Trademark-adjacent phrase</w:t>
            </w:r>
          </w:p>
        </w:tc>
        <w:tc>
          <w:tcPr>
            <w:tcW w:type="dxa" w:w="5083"/>
            <w:vAlign w:val="top"/>
            <w:tcMar>
              <w:top w:w="70" w:type="dxa"/>
              <w:left w:w="80" w:type="dxa"/>
              <w:bottom w:w="70" w:type="dxa"/>
              <w:right w:w="80" w:type="dxa"/>
            </w:tcMar>
          </w:tcPr>
          <w:p>
            <w:pPr>
              <w:spacing w:after="0" w:line="240" w:lineRule="auto"/>
            </w:pPr>
            <w:r/>
            <w:r>
              <w:rPr>
                <w:rFonts w:ascii="Calibri" w:hAnsi="Calibri"/>
                <w:b w:val="0"/>
                <w:sz w:val="19"/>
              </w:rPr>
              <w:t>Trust accumulated through accepted evidence and network effects.</w:t>
            </w:r>
          </w:p>
        </w:tc>
      </w:tr>
    </w:tbl>
    <w:p>
      <w:pPr>
        <w:spacing w:after="40"/>
      </w:pPr>
    </w:p>
    <w:p>
      <w:pPr>
        <w:pStyle w:val="Heading1"/>
        <w:keepNext/>
        <w:spacing w:before="160" w:after="80"/>
      </w:pPr>
      <w:r>
        <w:rPr>
          <w:rFonts w:ascii="Calibri" w:hAnsi="Calibri"/>
          <w:b/>
          <w:color w:val="1F4E79"/>
          <w:sz w:val="30"/>
        </w:rPr>
        <w:t>12. Detailed Final-MOAT Implementation Program</w:t>
      </w:r>
    </w:p>
    <w:p>
      <w:pPr>
        <w:spacing w:after="80" w:line="259" w:lineRule="auto"/>
      </w:pPr>
      <w:r>
        <w:rPr>
          <w:rFonts w:ascii="Calibri" w:hAnsi="Calibri"/>
          <w:sz w:val="21"/>
        </w:rPr>
        <w:t>The implementation should proceed as a controlled infrastructure program, not as a large speculative SaaS build. The first objective is to prove that brokers and carriers value independently verified reusable evidence. Automation follows validated workflow.</w:t>
      </w:r>
    </w:p>
    <w:p>
      <w:pPr>
        <w:pStyle w:val="Heading2"/>
        <w:keepNext/>
        <w:spacing w:before="100" w:after="80"/>
      </w:pPr>
      <w:r>
        <w:rPr>
          <w:rFonts w:ascii="Calibri" w:hAnsi="Calibri"/>
          <w:b/>
          <w:color w:val="1F4E79"/>
          <w:sz w:val="25"/>
        </w:rPr>
        <w:t>12.1 Workstream structure</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val="true"/>
        </w:trPr>
        <w:tc>
          <w:tcPr>
            <w:tcW w:type="dxa" w:w="3389"/>
            <w:vAlign w:val="top"/>
            <w:shd w:fill="D9EAF7"/>
            <w:tcMar>
              <w:top w:w="70" w:type="dxa"/>
              <w:left w:w="80" w:type="dxa"/>
              <w:bottom w:w="70" w:type="dxa"/>
              <w:right w:w="80" w:type="dxa"/>
            </w:tcMar>
          </w:tcPr>
          <w:p>
            <w:pPr>
              <w:spacing w:after="0" w:line="240" w:lineRule="auto"/>
            </w:pPr>
            <w:r/>
            <w:r>
              <w:rPr>
                <w:rFonts w:ascii="Calibri" w:hAnsi="Calibri"/>
                <w:b/>
                <w:sz w:val="19"/>
              </w:rPr>
              <w:t>Workstream</w:t>
            </w:r>
          </w:p>
        </w:tc>
        <w:tc>
          <w:tcPr>
            <w:tcW w:type="dxa" w:w="3389"/>
            <w:vAlign w:val="top"/>
            <w:shd w:fill="D9EAF7"/>
            <w:tcMar>
              <w:top w:w="70" w:type="dxa"/>
              <w:left w:w="80" w:type="dxa"/>
              <w:bottom w:w="70" w:type="dxa"/>
              <w:right w:w="80" w:type="dxa"/>
            </w:tcMar>
          </w:tcPr>
          <w:p>
            <w:pPr>
              <w:spacing w:after="0" w:line="240" w:lineRule="auto"/>
            </w:pPr>
            <w:r/>
            <w:r>
              <w:rPr>
                <w:rFonts w:ascii="Calibri" w:hAnsi="Calibri"/>
                <w:b/>
                <w:sz w:val="19"/>
              </w:rPr>
              <w:t>First-Year Deliverables</w:t>
            </w:r>
          </w:p>
        </w:tc>
        <w:tc>
          <w:tcPr>
            <w:tcW w:type="dxa" w:w="3389"/>
            <w:vAlign w:val="top"/>
            <w:shd w:fill="D9EAF7"/>
            <w:tcMar>
              <w:top w:w="70" w:type="dxa"/>
              <w:left w:w="80" w:type="dxa"/>
              <w:bottom w:w="70" w:type="dxa"/>
              <w:right w:w="80" w:type="dxa"/>
            </w:tcMar>
          </w:tcPr>
          <w:p>
            <w:pPr>
              <w:spacing w:after="0" w:line="240" w:lineRule="auto"/>
            </w:pPr>
            <w:r/>
            <w:r>
              <w:rPr>
                <w:rFonts w:ascii="Calibri" w:hAnsi="Calibri"/>
                <w:b/>
                <w:sz w:val="19"/>
              </w:rPr>
              <w:t>Primary Owner</w:t>
            </w:r>
          </w:p>
        </w:tc>
      </w:tr>
      <w:tr>
        <w:trPr>
          <w:cantSplit w:val="true"/>
        </w:trPr>
        <w:tc>
          <w:tcPr>
            <w:tcW w:type="dxa" w:w="3389"/>
            <w:vAlign w:val="top"/>
            <w:tcMar>
              <w:top w:w="70" w:type="dxa"/>
              <w:left w:w="80" w:type="dxa"/>
              <w:bottom w:w="70" w:type="dxa"/>
              <w:right w:w="80" w:type="dxa"/>
            </w:tcMar>
          </w:tcPr>
          <w:p>
            <w:pPr>
              <w:spacing w:after="0" w:line="240" w:lineRule="auto"/>
            </w:pPr>
            <w:r/>
            <w:r>
              <w:rPr>
                <w:rFonts w:ascii="Calibri" w:hAnsi="Calibri"/>
                <w:b w:val="0"/>
                <w:sz w:val="19"/>
              </w:rPr>
              <w:t>WS1 — Assurance Standard</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CIA Standard v0.1→1.0; control taxonomy; test procedures; ECL; freshness; exceptions.</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Head of Assurance / CISO</w:t>
            </w:r>
          </w:p>
        </w:tc>
      </w:tr>
      <w:tr>
        <w:trPr>
          <w:cantSplit w:val="true"/>
        </w:trPr>
        <w:tc>
          <w:tcPr>
            <w:tcW w:type="dxa" w:w="3389"/>
            <w:vAlign w:val="top"/>
            <w:tcMar>
              <w:top w:w="70" w:type="dxa"/>
              <w:left w:w="80" w:type="dxa"/>
              <w:bottom w:w="70" w:type="dxa"/>
              <w:right w:w="80" w:type="dxa"/>
            </w:tcMar>
          </w:tcPr>
          <w:p>
            <w:pPr>
              <w:spacing w:after="0" w:line="240" w:lineRule="auto"/>
            </w:pPr>
            <w:r/>
            <w:r>
              <w:rPr>
                <w:rFonts w:ascii="Calibri" w:hAnsi="Calibri"/>
                <w:b w:val="0"/>
                <w:sz w:val="19"/>
              </w:rPr>
              <w:t>WS2 — Market Mapping</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10–15 public applications; broker questionnaires; carrier feedback; requirements graph governance.</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Cyber Insurance Product Lead</w:t>
            </w:r>
          </w:p>
        </w:tc>
      </w:tr>
      <w:tr>
        <w:trPr>
          <w:cantSplit w:val="true"/>
        </w:trPr>
        <w:tc>
          <w:tcPr>
            <w:tcW w:type="dxa" w:w="3389"/>
            <w:vAlign w:val="top"/>
            <w:tcMar>
              <w:top w:w="70" w:type="dxa"/>
              <w:left w:w="80" w:type="dxa"/>
              <w:bottom w:w="70" w:type="dxa"/>
              <w:right w:w="80" w:type="dxa"/>
            </w:tcMar>
          </w:tcPr>
          <w:p>
            <w:pPr>
              <w:spacing w:after="0" w:line="240" w:lineRule="auto"/>
            </w:pPr>
            <w:r/>
            <w:r>
              <w:rPr>
                <w:rFonts w:ascii="Calibri" w:hAnsi="Calibri"/>
                <w:b w:val="0"/>
                <w:sz w:val="19"/>
              </w:rPr>
              <w:t>WS3 — Verification Operations</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Assessment playbooks; evidence chain of custody; assessor training; QA; independent decision workflow.</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Assurance Operations Lead</w:t>
            </w:r>
          </w:p>
        </w:tc>
      </w:tr>
      <w:tr>
        <w:trPr>
          <w:cantSplit w:val="true"/>
        </w:trPr>
        <w:tc>
          <w:tcPr>
            <w:tcW w:type="dxa" w:w="3389"/>
            <w:vAlign w:val="top"/>
            <w:tcMar>
              <w:top w:w="70" w:type="dxa"/>
              <w:left w:w="80" w:type="dxa"/>
              <w:bottom w:w="70" w:type="dxa"/>
              <w:right w:w="80" w:type="dxa"/>
            </w:tcMar>
          </w:tcPr>
          <w:p>
            <w:pPr>
              <w:spacing w:after="0" w:line="240" w:lineRule="auto"/>
            </w:pPr>
            <w:r/>
            <w:r>
              <w:rPr>
                <w:rFonts w:ascii="Calibri" w:hAnsi="Calibri"/>
                <w:b w:val="0"/>
                <w:sz w:val="19"/>
              </w:rPr>
              <w:t>WS4 — Passport Product</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Passport schema; signed credential; PDF view; status/revocation; customer sharing.</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Product Lead</w:t>
            </w:r>
          </w:p>
        </w:tc>
      </w:tr>
      <w:tr>
        <w:trPr>
          <w:cantSplit w:val="true"/>
        </w:trPr>
        <w:tc>
          <w:tcPr>
            <w:tcW w:type="dxa" w:w="3389"/>
            <w:vAlign w:val="top"/>
            <w:tcMar>
              <w:top w:w="70" w:type="dxa"/>
              <w:left w:w="80" w:type="dxa"/>
              <w:bottom w:w="70" w:type="dxa"/>
              <w:right w:w="80" w:type="dxa"/>
            </w:tcMar>
          </w:tcPr>
          <w:p>
            <w:pPr>
              <w:spacing w:after="0" w:line="240" w:lineRule="auto"/>
            </w:pPr>
            <w:r/>
            <w:r>
              <w:rPr>
                <w:rFonts w:ascii="Calibri" w:hAnsi="Calibri"/>
                <w:b w:val="0"/>
                <w:sz w:val="19"/>
              </w:rPr>
              <w:t>WS5 — Technology Platform</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Tenant security, evidence vault, first connectors, graph DB/model, APIs, audit logs.</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CTO / Engineering Lead</w:t>
            </w:r>
          </w:p>
        </w:tc>
      </w:tr>
      <w:tr>
        <w:trPr>
          <w:cantSplit w:val="true"/>
        </w:trPr>
        <w:tc>
          <w:tcPr>
            <w:tcW w:type="dxa" w:w="3389"/>
            <w:vAlign w:val="top"/>
            <w:tcMar>
              <w:top w:w="70" w:type="dxa"/>
              <w:left w:w="80" w:type="dxa"/>
              <w:bottom w:w="70" w:type="dxa"/>
              <w:right w:w="80" w:type="dxa"/>
            </w:tcMar>
          </w:tcPr>
          <w:p>
            <w:pPr>
              <w:spacing w:after="0" w:line="240" w:lineRule="auto"/>
            </w:pPr>
            <w:r/>
            <w:r>
              <w:rPr>
                <w:rFonts w:ascii="Calibri" w:hAnsi="Calibri"/>
                <w:b w:val="0"/>
                <w:sz w:val="19"/>
              </w:rPr>
              <w:t>WS6 — Partnerships</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EVC/Aon path; BFL/HUB/Gallagher alternatives; carrier pilots; partner agreements.</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CEO / Partnerships Lead</w:t>
            </w:r>
          </w:p>
        </w:tc>
      </w:tr>
      <w:tr>
        <w:trPr>
          <w:cantSplit w:val="true"/>
        </w:trPr>
        <w:tc>
          <w:tcPr>
            <w:tcW w:type="dxa" w:w="3389"/>
            <w:vAlign w:val="top"/>
            <w:tcMar>
              <w:top w:w="70" w:type="dxa"/>
              <w:left w:w="80" w:type="dxa"/>
              <w:bottom w:w="70" w:type="dxa"/>
              <w:right w:w="80" w:type="dxa"/>
            </w:tcMar>
          </w:tcPr>
          <w:p>
            <w:pPr>
              <w:spacing w:after="0" w:line="240" w:lineRule="auto"/>
            </w:pPr>
            <w:r/>
            <w:r>
              <w:rPr>
                <w:rFonts w:ascii="Calibri" w:hAnsi="Calibri"/>
                <w:b w:val="0"/>
                <w:sz w:val="19"/>
              </w:rPr>
              <w:t>WS7 — Legal/IP</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Trademark clearance/filings; copyright; patent review; trade-secret program; contracts; privacy.</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IP Counsel + Commercial Counsel</w:t>
            </w:r>
          </w:p>
        </w:tc>
      </w:tr>
      <w:tr>
        <w:trPr>
          <w:cantSplit w:val="true"/>
        </w:trPr>
        <w:tc>
          <w:tcPr>
            <w:tcW w:type="dxa" w:w="3389"/>
            <w:vAlign w:val="top"/>
            <w:tcMar>
              <w:top w:w="70" w:type="dxa"/>
              <w:left w:w="80" w:type="dxa"/>
              <w:bottom w:w="70" w:type="dxa"/>
              <w:right w:w="80" w:type="dxa"/>
            </w:tcMar>
          </w:tcPr>
          <w:p>
            <w:pPr>
              <w:spacing w:after="0" w:line="240" w:lineRule="auto"/>
            </w:pPr>
            <w:r/>
            <w:r>
              <w:rPr>
                <w:rFonts w:ascii="Calibri" w:hAnsi="Calibri"/>
                <w:b w:val="0"/>
                <w:sz w:val="19"/>
              </w:rPr>
              <w:t>WS8 — Security &amp; Privacy</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Threat model, SOC 2/ISO roadmap, encryption, access controls, data residency, incident response.</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Security Officer / DPO</w:t>
            </w:r>
          </w:p>
        </w:tc>
      </w:tr>
      <w:tr>
        <w:trPr>
          <w:cantSplit w:val="true"/>
        </w:trPr>
        <w:tc>
          <w:tcPr>
            <w:tcW w:type="dxa" w:w="3389"/>
            <w:vAlign w:val="top"/>
            <w:tcMar>
              <w:top w:w="70" w:type="dxa"/>
              <w:left w:w="80" w:type="dxa"/>
              <w:bottom w:w="70" w:type="dxa"/>
              <w:right w:w="80" w:type="dxa"/>
            </w:tcMar>
          </w:tcPr>
          <w:p>
            <w:pPr>
              <w:spacing w:after="0" w:line="240" w:lineRule="auto"/>
            </w:pPr>
            <w:r/>
            <w:r>
              <w:rPr>
                <w:rFonts w:ascii="Calibri" w:hAnsi="Calibri"/>
                <w:b w:val="0"/>
                <w:sz w:val="19"/>
              </w:rPr>
              <w:t>WS9 — Data &amp; Outcomes</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Rights ledger; underwriting outcome model; de-identification; benchmark governance.</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Data Lead</w:t>
            </w:r>
          </w:p>
        </w:tc>
      </w:tr>
      <w:tr>
        <w:trPr>
          <w:cantSplit w:val="true"/>
        </w:trPr>
        <w:tc>
          <w:tcPr>
            <w:tcW w:type="dxa" w:w="3389"/>
            <w:vAlign w:val="top"/>
            <w:tcMar>
              <w:top w:w="70" w:type="dxa"/>
              <w:left w:w="80" w:type="dxa"/>
              <w:bottom w:w="70" w:type="dxa"/>
              <w:right w:w="80" w:type="dxa"/>
            </w:tcMar>
          </w:tcPr>
          <w:p>
            <w:pPr>
              <w:spacing w:after="0" w:line="240" w:lineRule="auto"/>
            </w:pPr>
            <w:r/>
            <w:r>
              <w:rPr>
                <w:rFonts w:ascii="Calibri" w:hAnsi="Calibri"/>
                <w:b w:val="0"/>
                <w:sz w:val="19"/>
              </w:rPr>
              <w:t>WS10 — Commercialization</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Pricing, pilot packaging, sales collateral, case studies, renewal subscription.</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Commercial Lead</w:t>
            </w:r>
          </w:p>
        </w:tc>
      </w:tr>
    </w:tbl>
    <w:p>
      <w:pPr>
        <w:spacing w:after="40"/>
      </w:pPr>
    </w:p>
    <w:p>
      <w:pPr>
        <w:pStyle w:val="Heading2"/>
        <w:keepNext/>
        <w:spacing w:before="100" w:after="80"/>
      </w:pPr>
      <w:r>
        <w:rPr>
          <w:rFonts w:ascii="Calibri" w:hAnsi="Calibri"/>
          <w:b/>
          <w:color w:val="1F4E79"/>
          <w:sz w:val="25"/>
        </w:rPr>
        <w:t>12.2 Days 0–30: protect, define, and validate</w:t>
      </w:r>
    </w:p>
    <w:p>
      <w:pPr>
        <w:pStyle w:val="ListBullet"/>
        <w:spacing w:after="40" w:line="252" w:lineRule="auto"/>
      </w:pPr>
      <w:r>
        <w:rPr>
          <w:rFonts w:ascii="Calibri" w:hAnsi="Calibri"/>
          <w:sz w:val="21"/>
        </w:rPr>
        <w:t>Engage trademark/IP counsel to clear LAURELSHIELD and priority product marks in Canada and the United States; do not publicly disclose patent-sensitive technical details until patent review.</w:t>
      </w:r>
    </w:p>
    <w:p>
      <w:pPr>
        <w:pStyle w:val="ListBullet"/>
        <w:spacing w:after="40" w:line="252" w:lineRule="auto"/>
      </w:pPr>
      <w:r>
        <w:rPr>
          <w:rFonts w:ascii="Calibri" w:hAnsi="Calibri"/>
          <w:sz w:val="21"/>
        </w:rPr>
        <w:t>Create a confidential invention disclosure describing evidence ingestion, cryptographic binding, translation, selective disclosure, freshness, and automated revocation.</w:t>
      </w:r>
    </w:p>
    <w:p>
      <w:pPr>
        <w:pStyle w:val="ListBullet"/>
        <w:spacing w:after="40" w:line="252" w:lineRule="auto"/>
      </w:pPr>
      <w:r>
        <w:rPr>
          <w:rFonts w:ascii="Calibri" w:hAnsi="Calibri"/>
          <w:sz w:val="21"/>
        </w:rPr>
        <w:t>Draft CIA Standard v0.1 with approximately 50–75 critical controls across identity, endpoint, vulnerability, backup/recovery, network, email, logging/IR, cloud, data, and governance.</w:t>
      </w:r>
    </w:p>
    <w:p>
      <w:pPr>
        <w:pStyle w:val="ListBullet"/>
        <w:spacing w:after="40" w:line="252" w:lineRule="auto"/>
      </w:pPr>
      <w:r>
        <w:rPr>
          <w:rFonts w:ascii="Calibri" w:hAnsi="Calibri"/>
          <w:sz w:val="21"/>
        </w:rPr>
        <w:t>Define ECL-0 through ECL-5 and evidence freshness policies.</w:t>
      </w:r>
    </w:p>
    <w:p>
      <w:pPr>
        <w:pStyle w:val="ListBullet"/>
        <w:spacing w:after="40" w:line="252" w:lineRule="auto"/>
      </w:pPr>
      <w:r>
        <w:rPr>
          <w:rFonts w:ascii="Calibri" w:hAnsi="Calibri"/>
          <w:sz w:val="21"/>
        </w:rPr>
        <w:t>Create the first canonical control data dictionary and Scope ID model.</w:t>
      </w:r>
    </w:p>
    <w:p>
      <w:pPr>
        <w:pStyle w:val="ListBullet"/>
        <w:spacing w:after="40" w:line="252" w:lineRule="auto"/>
      </w:pPr>
      <w:r>
        <w:rPr>
          <w:rFonts w:ascii="Calibri" w:hAnsi="Calibri"/>
          <w:sz w:val="21"/>
        </w:rPr>
        <w:t>Collect 10–15 publicly available cyber applications/questionnaires and normalize overlapping questions into canonical controls. Keep provenance and terms-of-use records.</w:t>
      </w:r>
    </w:p>
    <w:p>
      <w:pPr>
        <w:pStyle w:val="ListBullet"/>
        <w:spacing w:after="40" w:line="252" w:lineRule="auto"/>
      </w:pPr>
      <w:r>
        <w:rPr>
          <w:rFonts w:ascii="Calibri" w:hAnsi="Calibri"/>
          <w:sz w:val="21"/>
        </w:rPr>
        <w:t>Create a two-page Passport prototype and one detailed sample evidence package.</w:t>
      </w:r>
    </w:p>
    <w:p>
      <w:pPr>
        <w:pStyle w:val="ListBullet"/>
        <w:spacing w:after="40" w:line="252" w:lineRule="auto"/>
      </w:pPr>
      <w:r>
        <w:rPr>
          <w:rFonts w:ascii="Calibri" w:hAnsi="Calibri"/>
          <w:sz w:val="21"/>
        </w:rPr>
        <w:t>Prepare customer MSA/DPA, NDA, evidence consent, assessor independence statement, and partner pilot term sheet.</w:t>
      </w:r>
    </w:p>
    <w:p>
      <w:pPr>
        <w:pStyle w:val="ListBullet"/>
        <w:spacing w:after="40" w:line="252" w:lineRule="auto"/>
      </w:pPr>
      <w:r>
        <w:rPr>
          <w:rFonts w:ascii="Calibri" w:hAnsi="Calibri"/>
          <w:sz w:val="21"/>
        </w:rPr>
        <w:t>Conduct 8–12 discovery interviews with brokers, underwriters, CISOs, MSPs, and risk managers before building substantial software.</w:t>
      </w:r>
    </w:p>
    <w:p>
      <w:pPr>
        <w:pStyle w:val="Heading2"/>
        <w:keepNext/>
        <w:spacing w:before="100" w:after="80"/>
      </w:pPr>
      <w:r>
        <w:rPr>
          <w:rFonts w:ascii="Calibri" w:hAnsi="Calibri"/>
          <w:b/>
          <w:color w:val="1F4E79"/>
          <w:sz w:val="25"/>
        </w:rPr>
        <w:t>12.3 Days 31–90: manual MVP and first partner pilot</w:t>
      </w:r>
    </w:p>
    <w:p>
      <w:pPr>
        <w:pStyle w:val="ListBullet"/>
        <w:spacing w:after="40" w:line="252" w:lineRule="auto"/>
      </w:pPr>
      <w:r>
        <w:rPr>
          <w:rFonts w:ascii="Calibri" w:hAnsi="Calibri"/>
          <w:sz w:val="21"/>
        </w:rPr>
        <w:t>Run 3–5 design-partner assessments manually using controlled evidence procedures.</w:t>
      </w:r>
    </w:p>
    <w:p>
      <w:pPr>
        <w:pStyle w:val="ListBullet"/>
        <w:spacing w:after="40" w:line="252" w:lineRule="auto"/>
      </w:pPr>
      <w:r>
        <w:rPr>
          <w:rFonts w:ascii="Calibri" w:hAnsi="Calibri"/>
          <w:sz w:val="21"/>
        </w:rPr>
        <w:t>Build a lightweight secure portal: tenant onboarding, scope, evidence upload, control results, remediation, passport PDF, sharing log. Manual back-office translation is acceptable at this stage.</w:t>
      </w:r>
    </w:p>
    <w:p>
      <w:pPr>
        <w:pStyle w:val="ListBullet"/>
        <w:spacing w:after="40" w:line="252" w:lineRule="auto"/>
      </w:pPr>
      <w:r>
        <w:rPr>
          <w:rFonts w:ascii="Calibri" w:hAnsi="Calibri"/>
          <w:sz w:val="21"/>
        </w:rPr>
        <w:t>Implement the first read-only integration: Microsoft Entra / Graph. Add Defender or CrowdStrike next, then backup verification.</w:t>
      </w:r>
    </w:p>
    <w:p>
      <w:pPr>
        <w:pStyle w:val="ListBullet"/>
        <w:spacing w:after="40" w:line="252" w:lineRule="auto"/>
      </w:pPr>
      <w:r>
        <w:rPr>
          <w:rFonts w:ascii="Calibri" w:hAnsi="Calibri"/>
          <w:sz w:val="21"/>
        </w:rPr>
        <w:t>Create evidence hashing, timestamping, provenance, and signed passport metadata.</w:t>
      </w:r>
    </w:p>
    <w:p>
      <w:pPr>
        <w:pStyle w:val="ListBullet"/>
        <w:spacing w:after="40" w:line="252" w:lineRule="auto"/>
      </w:pPr>
      <w:r>
        <w:rPr>
          <w:rFonts w:ascii="Calibri" w:hAnsi="Calibri"/>
          <w:sz w:val="21"/>
        </w:rPr>
        <w:t>Launch a broker pilot with 5–10 clients where possible, preferably 90–180 days before renewal.</w:t>
      </w:r>
    </w:p>
    <w:p>
      <w:pPr>
        <w:pStyle w:val="ListBullet"/>
        <w:spacing w:after="40" w:line="252" w:lineRule="auto"/>
      </w:pPr>
      <w:r>
        <w:rPr>
          <w:rFonts w:ascii="Calibri" w:hAnsi="Calibri"/>
          <w:sz w:val="21"/>
        </w:rPr>
        <w:t>Measure duplicated questions eliminated, technical follow-up cycles, remediation closure, time to market-ready, and underwriter evidence requests.</w:t>
      </w:r>
    </w:p>
    <w:p>
      <w:pPr>
        <w:pStyle w:val="ListBullet"/>
        <w:spacing w:after="40" w:line="252" w:lineRule="auto"/>
      </w:pPr>
      <w:r>
        <w:rPr>
          <w:rFonts w:ascii="Calibri" w:hAnsi="Calibri"/>
          <w:sz w:val="21"/>
        </w:rPr>
        <w:t>Ask at least two carrier underwriting teams to review anonymized/authorized passport evidence and define acceptable ECL/freshness expectations.</w:t>
      </w:r>
    </w:p>
    <w:p>
      <w:pPr>
        <w:pStyle w:val="Heading2"/>
        <w:keepNext/>
        <w:spacing w:before="100" w:after="80"/>
      </w:pPr>
      <w:r>
        <w:rPr>
          <w:rFonts w:ascii="Calibri" w:hAnsi="Calibri"/>
          <w:b/>
          <w:color w:val="1F4E79"/>
          <w:sz w:val="25"/>
        </w:rPr>
        <w:t>12.4 Months 4–6: repeatability and evidence exchange</w:t>
      </w:r>
    </w:p>
    <w:p>
      <w:pPr>
        <w:pStyle w:val="ListBullet"/>
        <w:spacing w:after="40" w:line="252" w:lineRule="auto"/>
      </w:pPr>
      <w:r>
        <w:rPr>
          <w:rFonts w:ascii="Calibri" w:hAnsi="Calibri"/>
          <w:sz w:val="21"/>
        </w:rPr>
        <w:t>Promote CIA Standard from v0.x to pilot-controlled v1.0 only after assessor calibration and partner feedback.</w:t>
      </w:r>
    </w:p>
    <w:p>
      <w:pPr>
        <w:pStyle w:val="ListBullet"/>
        <w:spacing w:after="40" w:line="252" w:lineRule="auto"/>
      </w:pPr>
      <w:r>
        <w:rPr>
          <w:rFonts w:ascii="Calibri" w:hAnsi="Calibri"/>
          <w:sz w:val="21"/>
        </w:rPr>
        <w:t>Build customer-controlled evidence sharing with recipient, purpose, data scope, start/end time, audit trail, and revocation.</w:t>
      </w:r>
    </w:p>
    <w:p>
      <w:pPr>
        <w:pStyle w:val="ListBullet"/>
        <w:spacing w:after="40" w:line="252" w:lineRule="auto"/>
      </w:pPr>
      <w:r>
        <w:rPr>
          <w:rFonts w:ascii="Calibri" w:hAnsi="Calibri"/>
          <w:sz w:val="21"/>
        </w:rPr>
        <w:t>Implement carrier-profile translation templates with strict confidentiality segmentation.</w:t>
      </w:r>
    </w:p>
    <w:p>
      <w:pPr>
        <w:pStyle w:val="ListBullet"/>
        <w:spacing w:after="40" w:line="252" w:lineRule="auto"/>
      </w:pPr>
      <w:r>
        <w:rPr>
          <w:rFonts w:ascii="Calibri" w:hAnsi="Calibri"/>
          <w:sz w:val="21"/>
        </w:rPr>
        <w:t>Add at least three high-value connectors and automated evidence freshness checks.</w:t>
      </w:r>
    </w:p>
    <w:p>
      <w:pPr>
        <w:pStyle w:val="ListBullet"/>
        <w:spacing w:after="40" w:line="252" w:lineRule="auto"/>
      </w:pPr>
      <w:r>
        <w:rPr>
          <w:rFonts w:ascii="Calibri" w:hAnsi="Calibri"/>
          <w:sz w:val="21"/>
        </w:rPr>
        <w:t>Create independent assurance decision queue separate from remediation staff.</w:t>
      </w:r>
    </w:p>
    <w:p>
      <w:pPr>
        <w:pStyle w:val="ListBullet"/>
        <w:spacing w:after="40" w:line="252" w:lineRule="auto"/>
      </w:pPr>
      <w:r>
        <w:rPr>
          <w:rFonts w:ascii="Calibri" w:hAnsi="Calibri"/>
          <w:sz w:val="21"/>
        </w:rPr>
        <w:t>Create an appeals and complaints process and formal version-change governance.</w:t>
      </w:r>
    </w:p>
    <w:p>
      <w:pPr>
        <w:pStyle w:val="ListBullet"/>
        <w:spacing w:after="40" w:line="252" w:lineRule="auto"/>
      </w:pPr>
      <w:r>
        <w:rPr>
          <w:rFonts w:ascii="Calibri" w:hAnsi="Calibri"/>
          <w:sz w:val="21"/>
        </w:rPr>
        <w:t>Begin annual Passport subscription and continuous-assurance pricing tests.</w:t>
      </w:r>
    </w:p>
    <w:p>
      <w:pPr>
        <w:pStyle w:val="ListBullet"/>
        <w:spacing w:after="40" w:line="252" w:lineRule="auto"/>
      </w:pPr>
      <w:r>
        <w:rPr>
          <w:rFonts w:ascii="Calibri" w:hAnsi="Calibri"/>
          <w:sz w:val="21"/>
        </w:rPr>
        <w:t>Negotiate non-exclusive broker preferred-provider/referral arrangements only after pilot evidence shows value.</w:t>
      </w:r>
    </w:p>
    <w:p>
      <w:pPr>
        <w:pStyle w:val="Heading2"/>
        <w:keepNext/>
        <w:spacing w:before="100" w:after="80"/>
      </w:pPr>
      <w:r>
        <w:rPr>
          <w:rFonts w:ascii="Calibri" w:hAnsi="Calibri"/>
          <w:b/>
          <w:color w:val="1F4E79"/>
          <w:sz w:val="25"/>
        </w:rPr>
        <w:t>12.5 Months 7–12: product-market fit and institutional trust</w:t>
      </w:r>
    </w:p>
    <w:p>
      <w:pPr>
        <w:pStyle w:val="ListBullet"/>
        <w:spacing w:after="40" w:line="252" w:lineRule="auto"/>
      </w:pPr>
      <w:r>
        <w:rPr>
          <w:rFonts w:ascii="Calibri" w:hAnsi="Calibri"/>
          <w:sz w:val="21"/>
        </w:rPr>
        <w:t>Expand to 25–100 customer passports while preserving quality and assessor consistency.</w:t>
      </w:r>
    </w:p>
    <w:p>
      <w:pPr>
        <w:pStyle w:val="ListBullet"/>
        <w:spacing w:after="40" w:line="252" w:lineRule="auto"/>
      </w:pPr>
      <w:r>
        <w:rPr>
          <w:rFonts w:ascii="Calibri" w:hAnsi="Calibri"/>
          <w:sz w:val="21"/>
        </w:rPr>
        <w:t>Obtain documented evidence protocols or controlled pilot acceptance from 2–5 carriers/MGAs.</w:t>
      </w:r>
    </w:p>
    <w:p>
      <w:pPr>
        <w:pStyle w:val="ListBullet"/>
        <w:spacing w:after="40" w:line="252" w:lineRule="auto"/>
      </w:pPr>
      <w:r>
        <w:rPr>
          <w:rFonts w:ascii="Calibri" w:hAnsi="Calibri"/>
          <w:sz w:val="21"/>
        </w:rPr>
        <w:t>Integrate with at least one broker workflow or portal/API.</w:t>
      </w:r>
    </w:p>
    <w:p>
      <w:pPr>
        <w:pStyle w:val="ListBullet"/>
        <w:spacing w:after="40" w:line="252" w:lineRule="auto"/>
      </w:pPr>
      <w:r>
        <w:rPr>
          <w:rFonts w:ascii="Calibri" w:hAnsi="Calibri"/>
          <w:sz w:val="21"/>
        </w:rPr>
        <w:t>Add continuous monitoring for identity, endpoint, external exposure, and backup health.</w:t>
      </w:r>
    </w:p>
    <w:p>
      <w:pPr>
        <w:pStyle w:val="ListBullet"/>
        <w:spacing w:after="40" w:line="252" w:lineRule="auto"/>
      </w:pPr>
      <w:r>
        <w:rPr>
          <w:rFonts w:ascii="Calibri" w:hAnsi="Calibri"/>
          <w:sz w:val="21"/>
        </w:rPr>
        <w:t>Create partner-specific dashboards without disclosing competitor-confidential rules.</w:t>
      </w:r>
    </w:p>
    <w:p>
      <w:pPr>
        <w:pStyle w:val="ListBullet"/>
        <w:spacing w:after="40" w:line="252" w:lineRule="auto"/>
      </w:pPr>
      <w:r>
        <w:rPr>
          <w:rFonts w:ascii="Calibri" w:hAnsi="Calibri"/>
          <w:sz w:val="21"/>
        </w:rPr>
        <w:t>Begin structured collection of quote/decline/terms outcomes under contract.</w:t>
      </w:r>
    </w:p>
    <w:p>
      <w:pPr>
        <w:pStyle w:val="ListBullet"/>
        <w:spacing w:after="40" w:line="252" w:lineRule="auto"/>
      </w:pPr>
      <w:r>
        <w:rPr>
          <w:rFonts w:ascii="Calibri" w:hAnsi="Calibri"/>
          <w:sz w:val="21"/>
        </w:rPr>
        <w:t>Complete SOC 2 readiness and/or ISO 27001 implementation planning appropriate to customer/partner expectations.</w:t>
      </w:r>
    </w:p>
    <w:p>
      <w:pPr>
        <w:pStyle w:val="ListBullet"/>
        <w:spacing w:after="40" w:line="252" w:lineRule="auto"/>
      </w:pPr>
      <w:r>
        <w:rPr>
          <w:rFonts w:ascii="Calibri" w:hAnsi="Calibri"/>
          <w:sz w:val="21"/>
        </w:rPr>
        <w:t>Finalize trademark filings; register important copyrights; decide whether patent application is justified based on prior-art opinion.</w:t>
      </w:r>
    </w:p>
    <w:p>
      <w:pPr>
        <w:pStyle w:val="ListBullet"/>
        <w:spacing w:after="40" w:line="252" w:lineRule="auto"/>
      </w:pPr>
      <w:r>
        <w:rPr>
          <w:rFonts w:ascii="Calibri" w:hAnsi="Calibri"/>
          <w:sz w:val="21"/>
        </w:rPr>
        <w:t>Form an external advisory council including cyber underwriting, broker, CISO, incident response, privacy/legal, and assurance expertise.</w:t>
      </w:r>
    </w:p>
    <w:p>
      <w:pPr>
        <w:pStyle w:val="Heading2"/>
        <w:keepNext/>
        <w:spacing w:before="100" w:after="80"/>
      </w:pPr>
      <w:r>
        <w:rPr>
          <w:rFonts w:ascii="Calibri" w:hAnsi="Calibri"/>
          <w:b/>
          <w:color w:val="1F4E79"/>
          <w:sz w:val="25"/>
        </w:rPr>
        <w:t>12.6 Year 2: network expansion</w:t>
      </w:r>
    </w:p>
    <w:p>
      <w:pPr>
        <w:pStyle w:val="ListBullet"/>
        <w:spacing w:after="40" w:line="252" w:lineRule="auto"/>
      </w:pPr>
      <w:r>
        <w:rPr>
          <w:rFonts w:ascii="Calibri" w:hAnsi="Calibri"/>
          <w:sz w:val="21"/>
        </w:rPr>
        <w:t>500–1,000 passports with high renewal rates and continuous-assurance attach rate.</w:t>
      </w:r>
    </w:p>
    <w:p>
      <w:pPr>
        <w:pStyle w:val="ListBullet"/>
        <w:spacing w:after="40" w:line="252" w:lineRule="auto"/>
      </w:pPr>
      <w:r>
        <w:rPr>
          <w:rFonts w:ascii="Calibri" w:hAnsi="Calibri"/>
          <w:sz w:val="21"/>
        </w:rPr>
        <w:t>5–10 carrier/MGA profiles with documented evidence handling; multiple brokers using the same passport.</w:t>
      </w:r>
    </w:p>
    <w:p>
      <w:pPr>
        <w:pStyle w:val="ListBullet"/>
        <w:spacing w:after="40" w:line="252" w:lineRule="auto"/>
      </w:pPr>
      <w:r>
        <w:rPr>
          <w:rFonts w:ascii="Calibri" w:hAnsi="Calibri"/>
          <w:sz w:val="21"/>
        </w:rPr>
        <w:t>Partner APIs integrated into real underwriting/broker workflows.</w:t>
      </w:r>
    </w:p>
    <w:p>
      <w:pPr>
        <w:pStyle w:val="ListBullet"/>
        <w:spacing w:after="40" w:line="252" w:lineRule="auto"/>
      </w:pPr>
      <w:r>
        <w:rPr>
          <w:rFonts w:ascii="Calibri" w:hAnsi="Calibri"/>
          <w:sz w:val="21"/>
        </w:rPr>
        <w:t>Assessor program with formal competence, calibration, conflict, and quality-review requirements.</w:t>
      </w:r>
    </w:p>
    <w:p>
      <w:pPr>
        <w:pStyle w:val="ListBullet"/>
        <w:spacing w:after="40" w:line="252" w:lineRule="auto"/>
      </w:pPr>
      <w:r>
        <w:rPr>
          <w:rFonts w:ascii="Calibri" w:hAnsi="Calibri"/>
          <w:sz w:val="21"/>
        </w:rPr>
        <w:t>Benchmark intelligence based on lawfully usable aggregated data.</w:t>
      </w:r>
    </w:p>
    <w:p>
      <w:pPr>
        <w:pStyle w:val="ListBullet"/>
        <w:spacing w:after="40" w:line="252" w:lineRule="auto"/>
      </w:pPr>
      <w:r>
        <w:rPr>
          <w:rFonts w:ascii="Calibri" w:hAnsi="Calibri"/>
          <w:sz w:val="21"/>
        </w:rPr>
        <w:t>Pilot certification-mark use only after defined standard, licensing rules, surveillance, and enforcement are mature.</w:t>
      </w:r>
    </w:p>
    <w:p>
      <w:pPr>
        <w:pStyle w:val="ListBullet"/>
        <w:spacing w:after="40" w:line="252" w:lineRule="auto"/>
      </w:pPr>
      <w:r>
        <w:rPr>
          <w:rFonts w:ascii="Calibri" w:hAnsi="Calibri"/>
          <w:sz w:val="21"/>
        </w:rPr>
        <w:t>Begin claims-outcome data partnerships where privacy, consent, and commercial rights permit.</w:t>
      </w:r>
    </w:p>
    <w:p>
      <w:pPr>
        <w:pStyle w:val="Heading2"/>
        <w:keepNext/>
        <w:spacing w:before="100" w:after="80"/>
      </w:pPr>
      <w:r>
        <w:rPr>
          <w:rFonts w:ascii="Calibri" w:hAnsi="Calibri"/>
          <w:b/>
          <w:color w:val="1F4E79"/>
          <w:sz w:val="25"/>
        </w:rPr>
        <w:t>12.7 Year 3+: infrastructure moat</w:t>
      </w:r>
    </w:p>
    <w:p>
      <w:pPr>
        <w:pStyle w:val="ListBullet"/>
        <w:spacing w:after="40" w:line="252" w:lineRule="auto"/>
      </w:pPr>
      <w:r>
        <w:rPr>
          <w:rFonts w:ascii="Calibri" w:hAnsi="Calibri"/>
          <w:sz w:val="21"/>
        </w:rPr>
        <w:t>10+ participating/accepting insurance markets and a meaningful multi-broker network.</w:t>
      </w:r>
    </w:p>
    <w:p>
      <w:pPr>
        <w:pStyle w:val="ListBullet"/>
        <w:spacing w:after="40" w:line="252" w:lineRule="auto"/>
      </w:pPr>
      <w:r>
        <w:rPr>
          <w:rFonts w:ascii="Calibri" w:hAnsi="Calibri"/>
          <w:sz w:val="21"/>
        </w:rPr>
        <w:t>Thousands of passports with longitudinal evidence, creating a difficult-to-reproduce data asset.</w:t>
      </w:r>
    </w:p>
    <w:p>
      <w:pPr>
        <w:pStyle w:val="ListBullet"/>
        <w:spacing w:after="40" w:line="252" w:lineRule="auto"/>
      </w:pPr>
      <w:r>
        <w:rPr>
          <w:rFonts w:ascii="Calibri" w:hAnsi="Calibri"/>
          <w:sz w:val="21"/>
        </w:rPr>
        <w:t>Underwriting and claims outcome models that demonstrate which verified controls correlate with insurability, terms, and loss outcomes.</w:t>
      </w:r>
    </w:p>
    <w:p>
      <w:pPr>
        <w:pStyle w:val="ListBullet"/>
        <w:spacing w:after="40" w:line="252" w:lineRule="auto"/>
      </w:pPr>
      <w:r>
        <w:rPr>
          <w:rFonts w:ascii="Calibri" w:hAnsi="Calibri"/>
          <w:sz w:val="21"/>
        </w:rPr>
        <w:t>Independent assessor ecosystem and formal assurance institute governance.</w:t>
      </w:r>
    </w:p>
    <w:p>
      <w:pPr>
        <w:pStyle w:val="ListBullet"/>
        <w:spacing w:after="40" w:line="252" w:lineRule="auto"/>
      </w:pPr>
      <w:r>
        <w:rPr>
          <w:rFonts w:ascii="Calibri" w:hAnsi="Calibri"/>
          <w:sz w:val="21"/>
        </w:rPr>
        <w:t>Potential external accreditation strategy aligned to applicable conformity-assessment requirements.</w:t>
      </w:r>
    </w:p>
    <w:p>
      <w:pPr>
        <w:pStyle w:val="ListBullet"/>
        <w:spacing w:after="40" w:line="252" w:lineRule="auto"/>
      </w:pPr>
      <w:r>
        <w:rPr>
          <w:rFonts w:ascii="Calibri" w:hAnsi="Calibri"/>
          <w:sz w:val="21"/>
        </w:rPr>
        <w:t>Carrier/broker integrations that make the passport a standard machine-readable evidence object rather than a consulting deliverable.</w:t>
      </w:r>
    </w:p>
    <w:p>
      <w:pPr>
        <w:pStyle w:val="Heading2"/>
        <w:keepNext/>
        <w:spacing w:before="100" w:after="80"/>
      </w:pPr>
      <w:r>
        <w:rPr>
          <w:rFonts w:ascii="Calibri" w:hAnsi="Calibri"/>
          <w:b/>
          <w:color w:val="1F4E79"/>
          <w:sz w:val="25"/>
        </w:rPr>
        <w:t>12.8 First technical backlog — exact MVP epics</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val="true"/>
        </w:trPr>
        <w:tc>
          <w:tcPr>
            <w:tcW w:type="dxa" w:w="5083"/>
            <w:vAlign w:val="top"/>
            <w:shd w:fill="D9EAF7"/>
            <w:tcMar>
              <w:top w:w="70" w:type="dxa"/>
              <w:left w:w="80" w:type="dxa"/>
              <w:bottom w:w="70" w:type="dxa"/>
              <w:right w:w="80" w:type="dxa"/>
            </w:tcMar>
          </w:tcPr>
          <w:p>
            <w:pPr>
              <w:spacing w:after="0" w:line="240" w:lineRule="auto"/>
            </w:pPr>
            <w:r/>
            <w:r>
              <w:rPr>
                <w:rFonts w:ascii="Calibri" w:hAnsi="Calibri"/>
                <w:b/>
                <w:sz w:val="19"/>
              </w:rPr>
              <w:t>Epic</w:t>
            </w:r>
          </w:p>
        </w:tc>
        <w:tc>
          <w:tcPr>
            <w:tcW w:type="dxa" w:w="5083"/>
            <w:vAlign w:val="top"/>
            <w:shd w:fill="D9EAF7"/>
            <w:tcMar>
              <w:top w:w="70" w:type="dxa"/>
              <w:left w:w="80" w:type="dxa"/>
              <w:bottom w:w="70" w:type="dxa"/>
              <w:right w:w="80" w:type="dxa"/>
            </w:tcMar>
          </w:tcPr>
          <w:p>
            <w:pPr>
              <w:spacing w:after="0" w:line="240" w:lineRule="auto"/>
            </w:pPr>
            <w:r/>
            <w:r>
              <w:rPr>
                <w:rFonts w:ascii="Calibri" w:hAnsi="Calibri"/>
                <w:b/>
                <w:sz w:val="19"/>
              </w:rPr>
              <w:t>MVP Acceptance Criteria</w:t>
            </w:r>
          </w:p>
        </w:tc>
      </w:tr>
      <w:tr>
        <w:trPr>
          <w:cantSplit w:val="true"/>
        </w:trPr>
        <w:tc>
          <w:tcPr>
            <w:tcW w:type="dxa" w:w="5083"/>
            <w:vAlign w:val="top"/>
            <w:tcMar>
              <w:top w:w="70" w:type="dxa"/>
              <w:left w:w="80" w:type="dxa"/>
              <w:bottom w:w="70" w:type="dxa"/>
              <w:right w:w="80" w:type="dxa"/>
            </w:tcMar>
          </w:tcPr>
          <w:p>
            <w:pPr>
              <w:spacing w:after="0" w:line="240" w:lineRule="auto"/>
            </w:pPr>
            <w:r/>
            <w:r>
              <w:rPr>
                <w:rFonts w:ascii="Calibri" w:hAnsi="Calibri"/>
                <w:b w:val="0"/>
                <w:sz w:val="19"/>
              </w:rPr>
              <w:t>Tenant &amp; Identity</w:t>
            </w:r>
          </w:p>
        </w:tc>
        <w:tc>
          <w:tcPr>
            <w:tcW w:type="dxa" w:w="5083"/>
            <w:vAlign w:val="top"/>
            <w:tcMar>
              <w:top w:w="70" w:type="dxa"/>
              <w:left w:w="80" w:type="dxa"/>
              <w:bottom w:w="70" w:type="dxa"/>
              <w:right w:w="80" w:type="dxa"/>
            </w:tcMar>
          </w:tcPr>
          <w:p>
            <w:pPr>
              <w:spacing w:after="0" w:line="240" w:lineRule="auto"/>
            </w:pPr>
            <w:r/>
            <w:r>
              <w:rPr>
                <w:rFonts w:ascii="Calibri" w:hAnsi="Calibri"/>
                <w:b w:val="0"/>
                <w:sz w:val="19"/>
              </w:rPr>
              <w:t>Customer/partner tenant isolation; MFA; least privilege; immutable admin audit log.</w:t>
            </w:r>
          </w:p>
        </w:tc>
      </w:tr>
      <w:tr>
        <w:trPr>
          <w:cantSplit w:val="true"/>
        </w:trPr>
        <w:tc>
          <w:tcPr>
            <w:tcW w:type="dxa" w:w="5083"/>
            <w:vAlign w:val="top"/>
            <w:tcMar>
              <w:top w:w="70" w:type="dxa"/>
              <w:left w:w="80" w:type="dxa"/>
              <w:bottom w:w="70" w:type="dxa"/>
              <w:right w:w="80" w:type="dxa"/>
            </w:tcMar>
          </w:tcPr>
          <w:p>
            <w:pPr>
              <w:spacing w:after="0" w:line="240" w:lineRule="auto"/>
            </w:pPr>
            <w:r/>
            <w:r>
              <w:rPr>
                <w:rFonts w:ascii="Calibri" w:hAnsi="Calibri"/>
                <w:b w:val="0"/>
                <w:sz w:val="19"/>
              </w:rPr>
              <w:t>Scope Registry</w:t>
            </w:r>
          </w:p>
        </w:tc>
        <w:tc>
          <w:tcPr>
            <w:tcW w:type="dxa" w:w="5083"/>
            <w:vAlign w:val="top"/>
            <w:tcMar>
              <w:top w:w="70" w:type="dxa"/>
              <w:left w:w="80" w:type="dxa"/>
              <w:bottom w:w="70" w:type="dxa"/>
              <w:right w:w="80" w:type="dxa"/>
            </w:tcMar>
          </w:tcPr>
          <w:p>
            <w:pPr>
              <w:spacing w:after="0" w:line="240" w:lineRule="auto"/>
            </w:pPr>
            <w:r/>
            <w:r>
              <w:rPr>
                <w:rFonts w:ascii="Calibri" w:hAnsi="Calibri"/>
                <w:b w:val="0"/>
                <w:sz w:val="19"/>
              </w:rPr>
              <w:t>Create immutable versioned Scope IDs with included/excluded entities and assets.</w:t>
            </w:r>
          </w:p>
        </w:tc>
      </w:tr>
      <w:tr>
        <w:trPr>
          <w:cantSplit w:val="true"/>
        </w:trPr>
        <w:tc>
          <w:tcPr>
            <w:tcW w:type="dxa" w:w="5083"/>
            <w:vAlign w:val="top"/>
            <w:tcMar>
              <w:top w:w="70" w:type="dxa"/>
              <w:left w:w="80" w:type="dxa"/>
              <w:bottom w:w="70" w:type="dxa"/>
              <w:right w:w="80" w:type="dxa"/>
            </w:tcMar>
          </w:tcPr>
          <w:p>
            <w:pPr>
              <w:spacing w:after="0" w:line="240" w:lineRule="auto"/>
            </w:pPr>
            <w:r/>
            <w:r>
              <w:rPr>
                <w:rFonts w:ascii="Calibri" w:hAnsi="Calibri"/>
                <w:b w:val="0"/>
                <w:sz w:val="19"/>
              </w:rPr>
              <w:t>Evidence Intake</w:t>
            </w:r>
          </w:p>
        </w:tc>
        <w:tc>
          <w:tcPr>
            <w:tcW w:type="dxa" w:w="5083"/>
            <w:vAlign w:val="top"/>
            <w:tcMar>
              <w:top w:w="70" w:type="dxa"/>
              <w:left w:w="80" w:type="dxa"/>
              <w:bottom w:w="70" w:type="dxa"/>
              <w:right w:w="80" w:type="dxa"/>
            </w:tcMar>
          </w:tcPr>
          <w:p>
            <w:pPr>
              <w:spacing w:after="0" w:line="240" w:lineRule="auto"/>
            </w:pPr>
            <w:r/>
            <w:r>
              <w:rPr>
                <w:rFonts w:ascii="Calibri" w:hAnsi="Calibri"/>
                <w:b w:val="0"/>
                <w:sz w:val="19"/>
              </w:rPr>
              <w:t>Secure upload + API ingestion; hash, timestamp, source, classification, evidence ID.</w:t>
            </w:r>
          </w:p>
        </w:tc>
      </w:tr>
      <w:tr>
        <w:trPr>
          <w:cantSplit w:val="true"/>
        </w:trPr>
        <w:tc>
          <w:tcPr>
            <w:tcW w:type="dxa" w:w="5083"/>
            <w:vAlign w:val="top"/>
            <w:tcMar>
              <w:top w:w="70" w:type="dxa"/>
              <w:left w:w="80" w:type="dxa"/>
              <w:bottom w:w="70" w:type="dxa"/>
              <w:right w:w="80" w:type="dxa"/>
            </w:tcMar>
          </w:tcPr>
          <w:p>
            <w:pPr>
              <w:spacing w:after="0" w:line="240" w:lineRule="auto"/>
            </w:pPr>
            <w:r/>
            <w:r>
              <w:rPr>
                <w:rFonts w:ascii="Calibri" w:hAnsi="Calibri"/>
                <w:b w:val="0"/>
                <w:sz w:val="19"/>
              </w:rPr>
              <w:t>Control Registry</w:t>
            </w:r>
          </w:p>
        </w:tc>
        <w:tc>
          <w:tcPr>
            <w:tcW w:type="dxa" w:w="5083"/>
            <w:vAlign w:val="top"/>
            <w:tcMar>
              <w:top w:w="70" w:type="dxa"/>
              <w:left w:w="80" w:type="dxa"/>
              <w:bottom w:w="70" w:type="dxa"/>
              <w:right w:w="80" w:type="dxa"/>
            </w:tcMar>
          </w:tcPr>
          <w:p>
            <w:pPr>
              <w:spacing w:after="0" w:line="240" w:lineRule="auto"/>
            </w:pPr>
            <w:r/>
            <w:r>
              <w:rPr>
                <w:rFonts w:ascii="Calibri" w:hAnsi="Calibri"/>
                <w:b w:val="0"/>
                <w:sz w:val="19"/>
              </w:rPr>
              <w:t>Versioned canonical control catalogue and applicability rules.</w:t>
            </w:r>
          </w:p>
        </w:tc>
      </w:tr>
      <w:tr>
        <w:trPr>
          <w:cantSplit w:val="true"/>
        </w:trPr>
        <w:tc>
          <w:tcPr>
            <w:tcW w:type="dxa" w:w="5083"/>
            <w:vAlign w:val="top"/>
            <w:tcMar>
              <w:top w:w="70" w:type="dxa"/>
              <w:left w:w="80" w:type="dxa"/>
              <w:bottom w:w="70" w:type="dxa"/>
              <w:right w:w="80" w:type="dxa"/>
            </w:tcMar>
          </w:tcPr>
          <w:p>
            <w:pPr>
              <w:spacing w:after="0" w:line="240" w:lineRule="auto"/>
            </w:pPr>
            <w:r/>
            <w:r>
              <w:rPr>
                <w:rFonts w:ascii="Calibri" w:hAnsi="Calibri"/>
                <w:b w:val="0"/>
                <w:sz w:val="19"/>
              </w:rPr>
              <w:t>Verification Workflow</w:t>
            </w:r>
          </w:p>
        </w:tc>
        <w:tc>
          <w:tcPr>
            <w:tcW w:type="dxa" w:w="5083"/>
            <w:vAlign w:val="top"/>
            <w:tcMar>
              <w:top w:w="70" w:type="dxa"/>
              <w:left w:w="80" w:type="dxa"/>
              <w:bottom w:w="70" w:type="dxa"/>
              <w:right w:w="80" w:type="dxa"/>
            </w:tcMar>
          </w:tcPr>
          <w:p>
            <w:pPr>
              <w:spacing w:after="0" w:line="240" w:lineRule="auto"/>
            </w:pPr>
            <w:r/>
            <w:r>
              <w:rPr>
                <w:rFonts w:ascii="Calibri" w:hAnsi="Calibri"/>
                <w:b w:val="0"/>
                <w:sz w:val="19"/>
              </w:rPr>
              <w:t>Assessor assigns evidence, runs test procedure, ECL, exceptions, decision.</w:t>
            </w:r>
          </w:p>
        </w:tc>
      </w:tr>
      <w:tr>
        <w:trPr>
          <w:cantSplit w:val="true"/>
        </w:trPr>
        <w:tc>
          <w:tcPr>
            <w:tcW w:type="dxa" w:w="5083"/>
            <w:vAlign w:val="top"/>
            <w:tcMar>
              <w:top w:w="70" w:type="dxa"/>
              <w:left w:w="80" w:type="dxa"/>
              <w:bottom w:w="70" w:type="dxa"/>
              <w:right w:w="80" w:type="dxa"/>
            </w:tcMar>
          </w:tcPr>
          <w:p>
            <w:pPr>
              <w:spacing w:after="0" w:line="240" w:lineRule="auto"/>
            </w:pPr>
            <w:r/>
            <w:r>
              <w:rPr>
                <w:rFonts w:ascii="Calibri" w:hAnsi="Calibri"/>
                <w:b w:val="0"/>
                <w:sz w:val="19"/>
              </w:rPr>
              <w:t>Remediation</w:t>
            </w:r>
          </w:p>
        </w:tc>
        <w:tc>
          <w:tcPr>
            <w:tcW w:type="dxa" w:w="5083"/>
            <w:vAlign w:val="top"/>
            <w:tcMar>
              <w:top w:w="70" w:type="dxa"/>
              <w:left w:w="80" w:type="dxa"/>
              <w:bottom w:w="70" w:type="dxa"/>
              <w:right w:w="80" w:type="dxa"/>
            </w:tcMar>
          </w:tcPr>
          <w:p>
            <w:pPr>
              <w:spacing w:after="0" w:line="240" w:lineRule="auto"/>
            </w:pPr>
            <w:r/>
            <w:r>
              <w:rPr>
                <w:rFonts w:ascii="Calibri" w:hAnsi="Calibri"/>
                <w:b w:val="0"/>
                <w:sz w:val="19"/>
              </w:rPr>
              <w:t>Finding, owner, due date, closure evidence, independent re-verification.</w:t>
            </w:r>
          </w:p>
        </w:tc>
      </w:tr>
      <w:tr>
        <w:trPr>
          <w:cantSplit w:val="true"/>
        </w:trPr>
        <w:tc>
          <w:tcPr>
            <w:tcW w:type="dxa" w:w="5083"/>
            <w:vAlign w:val="top"/>
            <w:tcMar>
              <w:top w:w="70" w:type="dxa"/>
              <w:left w:w="80" w:type="dxa"/>
              <w:bottom w:w="70" w:type="dxa"/>
              <w:right w:w="80" w:type="dxa"/>
            </w:tcMar>
          </w:tcPr>
          <w:p>
            <w:pPr>
              <w:spacing w:after="0" w:line="240" w:lineRule="auto"/>
            </w:pPr>
            <w:r/>
            <w:r>
              <w:rPr>
                <w:rFonts w:ascii="Calibri" w:hAnsi="Calibri"/>
                <w:b w:val="0"/>
                <w:sz w:val="19"/>
              </w:rPr>
              <w:t>Passport Issuer</w:t>
            </w:r>
          </w:p>
        </w:tc>
        <w:tc>
          <w:tcPr>
            <w:tcW w:type="dxa" w:w="5083"/>
            <w:vAlign w:val="top"/>
            <w:tcMar>
              <w:top w:w="70" w:type="dxa"/>
              <w:left w:w="80" w:type="dxa"/>
              <w:bottom w:w="70" w:type="dxa"/>
              <w:right w:w="80" w:type="dxa"/>
            </w:tcMar>
          </w:tcPr>
          <w:p>
            <w:pPr>
              <w:spacing w:after="0" w:line="240" w:lineRule="auto"/>
            </w:pPr>
            <w:r/>
            <w:r>
              <w:rPr>
                <w:rFonts w:ascii="Calibri" w:hAnsi="Calibri"/>
                <w:b w:val="0"/>
                <w:sz w:val="19"/>
              </w:rPr>
              <w:t>Generate status, verified claims, dates, signature, PDF summary, machine JSON.</w:t>
            </w:r>
          </w:p>
        </w:tc>
      </w:tr>
      <w:tr>
        <w:trPr>
          <w:cantSplit w:val="true"/>
        </w:trPr>
        <w:tc>
          <w:tcPr>
            <w:tcW w:type="dxa" w:w="5083"/>
            <w:vAlign w:val="top"/>
            <w:tcMar>
              <w:top w:w="70" w:type="dxa"/>
              <w:left w:w="80" w:type="dxa"/>
              <w:bottom w:w="70" w:type="dxa"/>
              <w:right w:w="80" w:type="dxa"/>
            </w:tcMar>
          </w:tcPr>
          <w:p>
            <w:pPr>
              <w:spacing w:after="0" w:line="240" w:lineRule="auto"/>
            </w:pPr>
            <w:r/>
            <w:r>
              <w:rPr>
                <w:rFonts w:ascii="Calibri" w:hAnsi="Calibri"/>
                <w:b w:val="0"/>
                <w:sz w:val="19"/>
              </w:rPr>
              <w:t>Sharing / Consent</w:t>
            </w:r>
          </w:p>
        </w:tc>
        <w:tc>
          <w:tcPr>
            <w:tcW w:type="dxa" w:w="5083"/>
            <w:vAlign w:val="top"/>
            <w:tcMar>
              <w:top w:w="70" w:type="dxa"/>
              <w:left w:w="80" w:type="dxa"/>
              <w:bottom w:w="70" w:type="dxa"/>
              <w:right w:w="80" w:type="dxa"/>
            </w:tcMar>
          </w:tcPr>
          <w:p>
            <w:pPr>
              <w:spacing w:after="0" w:line="240" w:lineRule="auto"/>
            </w:pPr>
            <w:r/>
            <w:r>
              <w:rPr>
                <w:rFonts w:ascii="Calibri" w:hAnsi="Calibri"/>
                <w:b w:val="0"/>
                <w:sz w:val="19"/>
              </w:rPr>
              <w:t>Customer selects recipient, claims, purpose, expiry; full access log; revoke.</w:t>
            </w:r>
          </w:p>
        </w:tc>
      </w:tr>
      <w:tr>
        <w:trPr>
          <w:cantSplit w:val="true"/>
        </w:trPr>
        <w:tc>
          <w:tcPr>
            <w:tcW w:type="dxa" w:w="5083"/>
            <w:vAlign w:val="top"/>
            <w:tcMar>
              <w:top w:w="70" w:type="dxa"/>
              <w:left w:w="80" w:type="dxa"/>
              <w:bottom w:w="70" w:type="dxa"/>
              <w:right w:w="80" w:type="dxa"/>
            </w:tcMar>
          </w:tcPr>
          <w:p>
            <w:pPr>
              <w:spacing w:after="0" w:line="240" w:lineRule="auto"/>
            </w:pPr>
            <w:r/>
            <w:r>
              <w:rPr>
                <w:rFonts w:ascii="Calibri" w:hAnsi="Calibri"/>
                <w:b w:val="0"/>
                <w:sz w:val="19"/>
              </w:rPr>
              <w:t>Freshness Engine</w:t>
            </w:r>
          </w:p>
        </w:tc>
        <w:tc>
          <w:tcPr>
            <w:tcW w:type="dxa" w:w="5083"/>
            <w:vAlign w:val="top"/>
            <w:tcMar>
              <w:top w:w="70" w:type="dxa"/>
              <w:left w:w="80" w:type="dxa"/>
              <w:bottom w:w="70" w:type="dxa"/>
              <w:right w:w="80" w:type="dxa"/>
            </w:tcMar>
          </w:tcPr>
          <w:p>
            <w:pPr>
              <w:spacing w:after="0" w:line="240" w:lineRule="auto"/>
            </w:pPr>
            <w:r/>
            <w:r>
              <w:rPr>
                <w:rFonts w:ascii="Calibri" w:hAnsi="Calibri"/>
                <w:b w:val="0"/>
                <w:sz w:val="19"/>
              </w:rPr>
              <w:t>Expire/downgrade claims automatically based on evidence age.</w:t>
            </w:r>
          </w:p>
        </w:tc>
      </w:tr>
      <w:tr>
        <w:trPr>
          <w:cantSplit w:val="true"/>
        </w:trPr>
        <w:tc>
          <w:tcPr>
            <w:tcW w:type="dxa" w:w="5083"/>
            <w:vAlign w:val="top"/>
            <w:tcMar>
              <w:top w:w="70" w:type="dxa"/>
              <w:left w:w="80" w:type="dxa"/>
              <w:bottom w:w="70" w:type="dxa"/>
              <w:right w:w="80" w:type="dxa"/>
            </w:tcMar>
          </w:tcPr>
          <w:p>
            <w:pPr>
              <w:spacing w:after="0" w:line="240" w:lineRule="auto"/>
            </w:pPr>
            <w:r/>
            <w:r>
              <w:rPr>
                <w:rFonts w:ascii="Calibri" w:hAnsi="Calibri"/>
                <w:b w:val="0"/>
                <w:sz w:val="19"/>
              </w:rPr>
              <w:t>Partner Profiles</w:t>
            </w:r>
          </w:p>
        </w:tc>
        <w:tc>
          <w:tcPr>
            <w:tcW w:type="dxa" w:w="5083"/>
            <w:vAlign w:val="top"/>
            <w:tcMar>
              <w:top w:w="70" w:type="dxa"/>
              <w:left w:w="80" w:type="dxa"/>
              <w:bottom w:w="70" w:type="dxa"/>
              <w:right w:w="80" w:type="dxa"/>
            </w:tcMar>
          </w:tcPr>
          <w:p>
            <w:pPr>
              <w:spacing w:after="0" w:line="240" w:lineRule="auto"/>
            </w:pPr>
            <w:r/>
            <w:r>
              <w:rPr>
                <w:rFonts w:ascii="Calibri" w:hAnsi="Calibri"/>
                <w:b w:val="0"/>
                <w:sz w:val="19"/>
              </w:rPr>
              <w:t>Map carrier/broker requirements to canonical controls; isolate confidential data.</w:t>
            </w:r>
          </w:p>
        </w:tc>
      </w:tr>
      <w:tr>
        <w:trPr>
          <w:cantSplit w:val="true"/>
        </w:trPr>
        <w:tc>
          <w:tcPr>
            <w:tcW w:type="dxa" w:w="5083"/>
            <w:vAlign w:val="top"/>
            <w:tcMar>
              <w:top w:w="70" w:type="dxa"/>
              <w:left w:w="80" w:type="dxa"/>
              <w:bottom w:w="70" w:type="dxa"/>
              <w:right w:w="80" w:type="dxa"/>
            </w:tcMar>
          </w:tcPr>
          <w:p>
            <w:pPr>
              <w:spacing w:after="0" w:line="240" w:lineRule="auto"/>
            </w:pPr>
            <w:r/>
            <w:r>
              <w:rPr>
                <w:rFonts w:ascii="Calibri" w:hAnsi="Calibri"/>
                <w:b w:val="0"/>
                <w:sz w:val="19"/>
              </w:rPr>
              <w:t>Audit &amp; Evidence Export</w:t>
            </w:r>
          </w:p>
        </w:tc>
        <w:tc>
          <w:tcPr>
            <w:tcW w:type="dxa" w:w="5083"/>
            <w:vAlign w:val="top"/>
            <w:tcMar>
              <w:top w:w="70" w:type="dxa"/>
              <w:left w:w="80" w:type="dxa"/>
              <w:bottom w:w="70" w:type="dxa"/>
              <w:right w:w="80" w:type="dxa"/>
            </w:tcMar>
          </w:tcPr>
          <w:p>
            <w:pPr>
              <w:spacing w:after="0" w:line="240" w:lineRule="auto"/>
            </w:pPr>
            <w:r/>
            <w:r>
              <w:rPr>
                <w:rFonts w:ascii="Calibri" w:hAnsi="Calibri"/>
                <w:b w:val="0"/>
                <w:sz w:val="19"/>
              </w:rPr>
              <w:t>Complete decision history for dispute, QA, and authorized audit.</w:t>
            </w:r>
          </w:p>
        </w:tc>
      </w:tr>
      <w:tr>
        <w:trPr>
          <w:cantSplit w:val="true"/>
        </w:trPr>
        <w:tc>
          <w:tcPr>
            <w:tcW w:type="dxa" w:w="5083"/>
            <w:vAlign w:val="top"/>
            <w:tcMar>
              <w:top w:w="70" w:type="dxa"/>
              <w:left w:w="80" w:type="dxa"/>
              <w:bottom w:w="70" w:type="dxa"/>
              <w:right w:w="80" w:type="dxa"/>
            </w:tcMar>
          </w:tcPr>
          <w:p>
            <w:pPr>
              <w:spacing w:after="0" w:line="240" w:lineRule="auto"/>
            </w:pPr>
            <w:r/>
            <w:r>
              <w:rPr>
                <w:rFonts w:ascii="Calibri" w:hAnsi="Calibri"/>
                <w:b w:val="0"/>
                <w:sz w:val="19"/>
              </w:rPr>
              <w:t>Analytics</w:t>
            </w:r>
          </w:p>
        </w:tc>
        <w:tc>
          <w:tcPr>
            <w:tcW w:type="dxa" w:w="5083"/>
            <w:vAlign w:val="top"/>
            <w:tcMar>
              <w:top w:w="70" w:type="dxa"/>
              <w:left w:w="80" w:type="dxa"/>
              <w:bottom w:w="70" w:type="dxa"/>
              <w:right w:w="80" w:type="dxa"/>
            </w:tcMar>
          </w:tcPr>
          <w:p>
            <w:pPr>
              <w:spacing w:after="0" w:line="240" w:lineRule="auto"/>
            </w:pPr>
            <w:r/>
            <w:r>
              <w:rPr>
                <w:rFonts w:ascii="Calibri" w:hAnsi="Calibri"/>
                <w:b w:val="0"/>
                <w:sz w:val="19"/>
              </w:rPr>
              <w:t>Pilot metrics, evidence reuse, remediation closure, readiness, partner follow-up.</w:t>
            </w:r>
          </w:p>
        </w:tc>
      </w:tr>
    </w:tbl>
    <w:p>
      <w:pPr>
        <w:spacing w:after="40"/>
      </w:pPr>
    </w:p>
    <w:p>
      <w:pPr>
        <w:pStyle w:val="Heading2"/>
        <w:keepNext/>
        <w:spacing w:before="100" w:after="80"/>
      </w:pPr>
      <w:r>
        <w:rPr>
          <w:rFonts w:ascii="Calibri" w:hAnsi="Calibri"/>
          <w:b/>
          <w:color w:val="1F4E79"/>
          <w:sz w:val="25"/>
        </w:rPr>
        <w:t>12.9 Security architecture requirements for the platform</w:t>
      </w:r>
    </w:p>
    <w:p>
      <w:pPr>
        <w:pStyle w:val="ListBullet"/>
        <w:spacing w:after="40" w:line="252" w:lineRule="auto"/>
      </w:pPr>
      <w:r>
        <w:rPr>
          <w:rFonts w:ascii="Calibri" w:hAnsi="Calibri"/>
          <w:sz w:val="21"/>
        </w:rPr>
        <w:t>Adopt zero-trust administrative access with phishing-resistant MFA, privileged workstations where appropriate, and just-in-time privileged elevation.</w:t>
      </w:r>
    </w:p>
    <w:p>
      <w:pPr>
        <w:pStyle w:val="ListBullet"/>
        <w:spacing w:after="40" w:line="252" w:lineRule="auto"/>
      </w:pPr>
      <w:r>
        <w:rPr>
          <w:rFonts w:ascii="Calibri" w:hAnsi="Calibri"/>
          <w:sz w:val="21"/>
        </w:rPr>
        <w:t>Use tenant isolation in both application and data layers; never rely only on UI-level filtering.</w:t>
      </w:r>
    </w:p>
    <w:p>
      <w:pPr>
        <w:pStyle w:val="ListBullet"/>
        <w:spacing w:after="40" w:line="252" w:lineRule="auto"/>
      </w:pPr>
      <w:r>
        <w:rPr>
          <w:rFonts w:ascii="Calibri" w:hAnsi="Calibri"/>
          <w:sz w:val="21"/>
        </w:rPr>
        <w:t>Encrypt sensitive evidence with managed keys and consider customer-specific envelope encryption for high-sensitivity tenants.</w:t>
      </w:r>
    </w:p>
    <w:p>
      <w:pPr>
        <w:pStyle w:val="ListBullet"/>
        <w:spacing w:after="40" w:line="252" w:lineRule="auto"/>
      </w:pPr>
      <w:r>
        <w:rPr>
          <w:rFonts w:ascii="Calibri" w:hAnsi="Calibri"/>
          <w:sz w:val="21"/>
        </w:rPr>
        <w:t>Use secrets management and short-lived credentials for read-only connectors; never store broad administrative passwords when an OAuth/app role can be used.</w:t>
      </w:r>
    </w:p>
    <w:p>
      <w:pPr>
        <w:pStyle w:val="ListBullet"/>
        <w:spacing w:after="40" w:line="252" w:lineRule="auto"/>
      </w:pPr>
      <w:r>
        <w:rPr>
          <w:rFonts w:ascii="Calibri" w:hAnsi="Calibri"/>
          <w:sz w:val="21"/>
        </w:rPr>
        <w:t>Create a platform threat model covering malicious customer evidence, compromised connector, insider, cross-tenant access, forged passport, replay, stale evidence, and carrier mapping leakage.</w:t>
      </w:r>
    </w:p>
    <w:p>
      <w:pPr>
        <w:pStyle w:val="ListBullet"/>
        <w:spacing w:after="40" w:line="252" w:lineRule="auto"/>
      </w:pPr>
      <w:r>
        <w:rPr>
          <w:rFonts w:ascii="Calibri" w:hAnsi="Calibri"/>
          <w:sz w:val="21"/>
        </w:rPr>
        <w:t>Implement signed audit logs and evidence integrity checks.</w:t>
      </w:r>
    </w:p>
    <w:p>
      <w:pPr>
        <w:pStyle w:val="ListBullet"/>
        <w:spacing w:after="40" w:line="252" w:lineRule="auto"/>
      </w:pPr>
      <w:r>
        <w:rPr>
          <w:rFonts w:ascii="Calibri" w:hAnsi="Calibri"/>
          <w:sz w:val="21"/>
        </w:rPr>
        <w:t>Build secure SDLC: code review, SAST/SCA, IaC scanning, secrets detection, DAST/API testing, dependency governance, penetration testing, incident response, and vulnerability disclosure.</w:t>
      </w:r>
    </w:p>
    <w:p>
      <w:pPr>
        <w:pStyle w:val="ListBullet"/>
        <w:spacing w:after="40" w:line="252" w:lineRule="auto"/>
      </w:pPr>
      <w:r>
        <w:rPr>
          <w:rFonts w:ascii="Calibri" w:hAnsi="Calibri"/>
          <w:sz w:val="21"/>
        </w:rPr>
        <w:t>Prepare for enterprise due diligence: SOC 2/ISO 27001 roadmap, privacy impact assessments, subprocessors, data residency, retention, and disaster recovery.</w:t>
      </w:r>
    </w:p>
    <w:p>
      <w:pPr>
        <w:pStyle w:val="Heading2"/>
        <w:keepNext/>
        <w:spacing w:before="100" w:after="80"/>
      </w:pPr>
      <w:r>
        <w:rPr>
          <w:rFonts w:ascii="Calibri" w:hAnsi="Calibri"/>
          <w:b/>
          <w:color w:val="1F4E79"/>
          <w:sz w:val="25"/>
        </w:rPr>
        <w:t>12.10 Assessor operating model</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val="true"/>
        </w:trPr>
        <w:tc>
          <w:tcPr>
            <w:tcW w:type="dxa" w:w="5083"/>
            <w:vAlign w:val="top"/>
            <w:shd w:fill="D9EAF7"/>
            <w:tcMar>
              <w:top w:w="70" w:type="dxa"/>
              <w:left w:w="80" w:type="dxa"/>
              <w:bottom w:w="70" w:type="dxa"/>
              <w:right w:w="80" w:type="dxa"/>
            </w:tcMar>
          </w:tcPr>
          <w:p>
            <w:pPr>
              <w:spacing w:after="0" w:line="240" w:lineRule="auto"/>
            </w:pPr>
            <w:r/>
            <w:r>
              <w:rPr>
                <w:rFonts w:ascii="Calibri" w:hAnsi="Calibri"/>
                <w:b/>
                <w:sz w:val="19"/>
              </w:rPr>
              <w:t>Role</w:t>
            </w:r>
          </w:p>
        </w:tc>
        <w:tc>
          <w:tcPr>
            <w:tcW w:type="dxa" w:w="5083"/>
            <w:vAlign w:val="top"/>
            <w:shd w:fill="D9EAF7"/>
            <w:tcMar>
              <w:top w:w="70" w:type="dxa"/>
              <w:left w:w="80" w:type="dxa"/>
              <w:bottom w:w="70" w:type="dxa"/>
              <w:right w:w="80" w:type="dxa"/>
            </w:tcMar>
          </w:tcPr>
          <w:p>
            <w:pPr>
              <w:spacing w:after="0" w:line="240" w:lineRule="auto"/>
            </w:pPr>
            <w:r/>
            <w:r>
              <w:rPr>
                <w:rFonts w:ascii="Calibri" w:hAnsi="Calibri"/>
                <w:b/>
                <w:sz w:val="19"/>
              </w:rPr>
              <w:t>Responsibility</w:t>
            </w:r>
          </w:p>
        </w:tc>
      </w:tr>
      <w:tr>
        <w:trPr>
          <w:cantSplit w:val="true"/>
        </w:trPr>
        <w:tc>
          <w:tcPr>
            <w:tcW w:type="dxa" w:w="5083"/>
            <w:vAlign w:val="top"/>
            <w:tcMar>
              <w:top w:w="70" w:type="dxa"/>
              <w:left w:w="80" w:type="dxa"/>
              <w:bottom w:w="70" w:type="dxa"/>
              <w:right w:w="80" w:type="dxa"/>
            </w:tcMar>
          </w:tcPr>
          <w:p>
            <w:pPr>
              <w:spacing w:after="0" w:line="240" w:lineRule="auto"/>
            </w:pPr>
            <w:r/>
            <w:r>
              <w:rPr>
                <w:rFonts w:ascii="Calibri" w:hAnsi="Calibri"/>
                <w:b w:val="0"/>
                <w:sz w:val="19"/>
              </w:rPr>
              <w:t>Engagement Lead</w:t>
            </w:r>
          </w:p>
        </w:tc>
        <w:tc>
          <w:tcPr>
            <w:tcW w:type="dxa" w:w="5083"/>
            <w:vAlign w:val="top"/>
            <w:tcMar>
              <w:top w:w="70" w:type="dxa"/>
              <w:left w:w="80" w:type="dxa"/>
              <w:bottom w:w="70" w:type="dxa"/>
              <w:right w:w="80" w:type="dxa"/>
            </w:tcMar>
          </w:tcPr>
          <w:p>
            <w:pPr>
              <w:spacing w:after="0" w:line="240" w:lineRule="auto"/>
            </w:pPr>
            <w:r/>
            <w:r>
              <w:rPr>
                <w:rFonts w:ascii="Calibri" w:hAnsi="Calibri"/>
                <w:b w:val="0"/>
                <w:sz w:val="19"/>
              </w:rPr>
              <w:t>Confirms scope, conflict checks, customer coordination.</w:t>
            </w:r>
          </w:p>
        </w:tc>
      </w:tr>
      <w:tr>
        <w:trPr>
          <w:cantSplit w:val="true"/>
        </w:trPr>
        <w:tc>
          <w:tcPr>
            <w:tcW w:type="dxa" w:w="5083"/>
            <w:vAlign w:val="top"/>
            <w:tcMar>
              <w:top w:w="70" w:type="dxa"/>
              <w:left w:w="80" w:type="dxa"/>
              <w:bottom w:w="70" w:type="dxa"/>
              <w:right w:w="80" w:type="dxa"/>
            </w:tcMar>
          </w:tcPr>
          <w:p>
            <w:pPr>
              <w:spacing w:after="0" w:line="240" w:lineRule="auto"/>
            </w:pPr>
            <w:r/>
            <w:r>
              <w:rPr>
                <w:rFonts w:ascii="Calibri" w:hAnsi="Calibri"/>
                <w:b w:val="0"/>
                <w:sz w:val="19"/>
              </w:rPr>
              <w:t>Technical Assessor</w:t>
            </w:r>
          </w:p>
        </w:tc>
        <w:tc>
          <w:tcPr>
            <w:tcW w:type="dxa" w:w="5083"/>
            <w:vAlign w:val="top"/>
            <w:tcMar>
              <w:top w:w="70" w:type="dxa"/>
              <w:left w:w="80" w:type="dxa"/>
              <w:bottom w:w="70" w:type="dxa"/>
              <w:right w:w="80" w:type="dxa"/>
            </w:tcMar>
          </w:tcPr>
          <w:p>
            <w:pPr>
              <w:spacing w:after="0" w:line="240" w:lineRule="auto"/>
            </w:pPr>
            <w:r/>
            <w:r>
              <w:rPr>
                <w:rFonts w:ascii="Calibri" w:hAnsi="Calibri"/>
                <w:b w:val="0"/>
                <w:sz w:val="19"/>
              </w:rPr>
              <w:t>Collects/validates evidence and performs prescribed tests.</w:t>
            </w:r>
          </w:p>
        </w:tc>
      </w:tr>
      <w:tr>
        <w:trPr>
          <w:cantSplit w:val="true"/>
        </w:trPr>
        <w:tc>
          <w:tcPr>
            <w:tcW w:type="dxa" w:w="5083"/>
            <w:vAlign w:val="top"/>
            <w:tcMar>
              <w:top w:w="70" w:type="dxa"/>
              <w:left w:w="80" w:type="dxa"/>
              <w:bottom w:w="70" w:type="dxa"/>
              <w:right w:w="80" w:type="dxa"/>
            </w:tcMar>
          </w:tcPr>
          <w:p>
            <w:pPr>
              <w:spacing w:after="0" w:line="240" w:lineRule="auto"/>
            </w:pPr>
            <w:r/>
            <w:r>
              <w:rPr>
                <w:rFonts w:ascii="Calibri" w:hAnsi="Calibri"/>
                <w:b w:val="0"/>
                <w:sz w:val="19"/>
              </w:rPr>
              <w:t>Domain Specialist</w:t>
            </w:r>
          </w:p>
        </w:tc>
        <w:tc>
          <w:tcPr>
            <w:tcW w:type="dxa" w:w="5083"/>
            <w:vAlign w:val="top"/>
            <w:tcMar>
              <w:top w:w="70" w:type="dxa"/>
              <w:left w:w="80" w:type="dxa"/>
              <w:bottom w:w="70" w:type="dxa"/>
              <w:right w:w="80" w:type="dxa"/>
            </w:tcMar>
          </w:tcPr>
          <w:p>
            <w:pPr>
              <w:spacing w:after="0" w:line="240" w:lineRule="auto"/>
            </w:pPr>
            <w:r/>
            <w:r>
              <w:rPr>
                <w:rFonts w:ascii="Calibri" w:hAnsi="Calibri"/>
                <w:b w:val="0"/>
                <w:sz w:val="19"/>
              </w:rPr>
              <w:t>Handles cloud, identity, OT, backup, app security, or other specialist controls.</w:t>
            </w:r>
          </w:p>
        </w:tc>
      </w:tr>
      <w:tr>
        <w:trPr>
          <w:cantSplit w:val="true"/>
        </w:trPr>
        <w:tc>
          <w:tcPr>
            <w:tcW w:type="dxa" w:w="5083"/>
            <w:vAlign w:val="top"/>
            <w:tcMar>
              <w:top w:w="70" w:type="dxa"/>
              <w:left w:w="80" w:type="dxa"/>
              <w:bottom w:w="70" w:type="dxa"/>
              <w:right w:w="80" w:type="dxa"/>
            </w:tcMar>
          </w:tcPr>
          <w:p>
            <w:pPr>
              <w:spacing w:after="0" w:line="240" w:lineRule="auto"/>
            </w:pPr>
            <w:r/>
            <w:r>
              <w:rPr>
                <w:rFonts w:ascii="Calibri" w:hAnsi="Calibri"/>
                <w:b w:val="0"/>
                <w:sz w:val="19"/>
              </w:rPr>
              <w:t>Quality Reviewer</w:t>
            </w:r>
          </w:p>
        </w:tc>
        <w:tc>
          <w:tcPr>
            <w:tcW w:type="dxa" w:w="5083"/>
            <w:vAlign w:val="top"/>
            <w:tcMar>
              <w:top w:w="70" w:type="dxa"/>
              <w:left w:w="80" w:type="dxa"/>
              <w:bottom w:w="70" w:type="dxa"/>
              <w:right w:w="80" w:type="dxa"/>
            </w:tcMar>
          </w:tcPr>
          <w:p>
            <w:pPr>
              <w:spacing w:after="0" w:line="240" w:lineRule="auto"/>
            </w:pPr>
            <w:r/>
            <w:r>
              <w:rPr>
                <w:rFonts w:ascii="Calibri" w:hAnsi="Calibri"/>
                <w:b w:val="0"/>
                <w:sz w:val="19"/>
              </w:rPr>
              <w:t>Checks completeness, sampling, evidence lineage, procedure adherence.</w:t>
            </w:r>
          </w:p>
        </w:tc>
      </w:tr>
      <w:tr>
        <w:trPr>
          <w:cantSplit w:val="true"/>
        </w:trPr>
        <w:tc>
          <w:tcPr>
            <w:tcW w:type="dxa" w:w="5083"/>
            <w:vAlign w:val="top"/>
            <w:tcMar>
              <w:top w:w="70" w:type="dxa"/>
              <w:left w:w="80" w:type="dxa"/>
              <w:bottom w:w="70" w:type="dxa"/>
              <w:right w:w="80" w:type="dxa"/>
            </w:tcMar>
          </w:tcPr>
          <w:p>
            <w:pPr>
              <w:spacing w:after="0" w:line="240" w:lineRule="auto"/>
            </w:pPr>
            <w:r/>
            <w:r>
              <w:rPr>
                <w:rFonts w:ascii="Calibri" w:hAnsi="Calibri"/>
                <w:b w:val="0"/>
                <w:sz w:val="19"/>
              </w:rPr>
              <w:t>Certification / Assurance Decision Officer</w:t>
            </w:r>
          </w:p>
        </w:tc>
        <w:tc>
          <w:tcPr>
            <w:tcW w:type="dxa" w:w="5083"/>
            <w:vAlign w:val="top"/>
            <w:tcMar>
              <w:top w:w="70" w:type="dxa"/>
              <w:left w:w="80" w:type="dxa"/>
              <w:bottom w:w="70" w:type="dxa"/>
              <w:right w:w="80" w:type="dxa"/>
            </w:tcMar>
          </w:tcPr>
          <w:p>
            <w:pPr>
              <w:spacing w:after="0" w:line="240" w:lineRule="auto"/>
            </w:pPr>
            <w:r/>
            <w:r>
              <w:rPr>
                <w:rFonts w:ascii="Calibri" w:hAnsi="Calibri"/>
                <w:b w:val="0"/>
                <w:sz w:val="19"/>
              </w:rPr>
              <w:t>Makes final status decision independently of remediation implementation.</w:t>
            </w:r>
          </w:p>
        </w:tc>
      </w:tr>
      <w:tr>
        <w:trPr>
          <w:cantSplit w:val="true"/>
        </w:trPr>
        <w:tc>
          <w:tcPr>
            <w:tcW w:type="dxa" w:w="5083"/>
            <w:vAlign w:val="top"/>
            <w:tcMar>
              <w:top w:w="70" w:type="dxa"/>
              <w:left w:w="80" w:type="dxa"/>
              <w:bottom w:w="70" w:type="dxa"/>
              <w:right w:w="80" w:type="dxa"/>
            </w:tcMar>
          </w:tcPr>
          <w:p>
            <w:pPr>
              <w:spacing w:after="0" w:line="240" w:lineRule="auto"/>
            </w:pPr>
            <w:r/>
            <w:r>
              <w:rPr>
                <w:rFonts w:ascii="Calibri" w:hAnsi="Calibri"/>
                <w:b w:val="0"/>
                <w:sz w:val="19"/>
              </w:rPr>
              <w:t>Appeals Reviewer</w:t>
            </w:r>
          </w:p>
        </w:tc>
        <w:tc>
          <w:tcPr>
            <w:tcW w:type="dxa" w:w="5083"/>
            <w:vAlign w:val="top"/>
            <w:tcMar>
              <w:top w:w="70" w:type="dxa"/>
              <w:left w:w="80" w:type="dxa"/>
              <w:bottom w:w="70" w:type="dxa"/>
              <w:right w:w="80" w:type="dxa"/>
            </w:tcMar>
          </w:tcPr>
          <w:p>
            <w:pPr>
              <w:spacing w:after="0" w:line="240" w:lineRule="auto"/>
            </w:pPr>
            <w:r/>
            <w:r>
              <w:rPr>
                <w:rFonts w:ascii="Calibri" w:hAnsi="Calibri"/>
                <w:b w:val="0"/>
                <w:sz w:val="19"/>
              </w:rPr>
              <w:t>Independent reviewer for contested decisions.</w:t>
            </w:r>
          </w:p>
        </w:tc>
      </w:tr>
      <w:tr>
        <w:trPr>
          <w:cantSplit w:val="true"/>
        </w:trPr>
        <w:tc>
          <w:tcPr>
            <w:tcW w:type="dxa" w:w="5083"/>
            <w:vAlign w:val="top"/>
            <w:tcMar>
              <w:top w:w="70" w:type="dxa"/>
              <w:left w:w="80" w:type="dxa"/>
              <w:bottom w:w="70" w:type="dxa"/>
              <w:right w:w="80" w:type="dxa"/>
            </w:tcMar>
          </w:tcPr>
          <w:p>
            <w:pPr>
              <w:spacing w:after="0" w:line="240" w:lineRule="auto"/>
            </w:pPr>
            <w:r/>
            <w:r>
              <w:rPr>
                <w:rFonts w:ascii="Calibri" w:hAnsi="Calibri"/>
                <w:b w:val="0"/>
                <w:sz w:val="19"/>
              </w:rPr>
              <w:t>Scheme Manager</w:t>
            </w:r>
          </w:p>
        </w:tc>
        <w:tc>
          <w:tcPr>
            <w:tcW w:type="dxa" w:w="5083"/>
            <w:vAlign w:val="top"/>
            <w:tcMar>
              <w:top w:w="70" w:type="dxa"/>
              <w:left w:w="80" w:type="dxa"/>
              <w:bottom w:w="70" w:type="dxa"/>
              <w:right w:w="80" w:type="dxa"/>
            </w:tcMar>
          </w:tcPr>
          <w:p>
            <w:pPr>
              <w:spacing w:after="0" w:line="240" w:lineRule="auto"/>
            </w:pPr>
            <w:r/>
            <w:r>
              <w:rPr>
                <w:rFonts w:ascii="Calibri" w:hAnsi="Calibri"/>
                <w:b w:val="0"/>
                <w:sz w:val="19"/>
              </w:rPr>
              <w:t>Maintains standard, procedures, competence, change control, surveillance.</w:t>
            </w:r>
          </w:p>
        </w:tc>
      </w:tr>
    </w:tbl>
    <w:p>
      <w:pPr>
        <w:spacing w:after="40"/>
      </w:pPr>
    </w:p>
    <w:p>
      <w:pPr>
        <w:pStyle w:val="Heading2"/>
        <w:keepNext/>
        <w:spacing w:before="100" w:after="80"/>
      </w:pPr>
      <w:r>
        <w:rPr>
          <w:rFonts w:ascii="Calibri" w:hAnsi="Calibri"/>
          <w:b/>
          <w:color w:val="1F4E79"/>
          <w:sz w:val="25"/>
        </w:rPr>
        <w:t>12.11 Carrier Requirements Graph governance</w:t>
      </w:r>
    </w:p>
    <w:p>
      <w:pPr>
        <w:pStyle w:val="ListBullet"/>
        <w:spacing w:after="40" w:line="252" w:lineRule="auto"/>
      </w:pPr>
      <w:r>
        <w:rPr>
          <w:rFonts w:ascii="Calibri" w:hAnsi="Calibri"/>
          <w:sz w:val="21"/>
        </w:rPr>
        <w:t>Every mapping has a source classification: Public, Customer-Provided, Broker-Provided Confidential, Carrier-Provided Confidential, or Inferred/Unvalidated.</w:t>
      </w:r>
    </w:p>
    <w:p>
      <w:pPr>
        <w:pStyle w:val="ListBullet"/>
        <w:spacing w:after="40" w:line="252" w:lineRule="auto"/>
      </w:pPr>
      <w:r>
        <w:rPr>
          <w:rFonts w:ascii="Calibri" w:hAnsi="Calibri"/>
          <w:sz w:val="21"/>
        </w:rPr>
        <w:t>Never represent inferred mappings as carrier-approved requirements.</w:t>
      </w:r>
    </w:p>
    <w:p>
      <w:pPr>
        <w:pStyle w:val="ListBullet"/>
        <w:spacing w:after="40" w:line="252" w:lineRule="auto"/>
      </w:pPr>
      <w:r>
        <w:rPr>
          <w:rFonts w:ascii="Calibri" w:hAnsi="Calibri"/>
          <w:sz w:val="21"/>
        </w:rPr>
        <w:t>Partner-confidential mappings are encrypted, access-restricted, and contract-bound.</w:t>
      </w:r>
    </w:p>
    <w:p>
      <w:pPr>
        <w:pStyle w:val="ListBullet"/>
        <w:spacing w:after="40" w:line="252" w:lineRule="auto"/>
      </w:pPr>
      <w:r>
        <w:rPr>
          <w:rFonts w:ascii="Calibri" w:hAnsi="Calibri"/>
          <w:sz w:val="21"/>
        </w:rPr>
        <w:t>Every requirement has an effective date, expiry/review date, and accountable relationship owner.</w:t>
      </w:r>
    </w:p>
    <w:p>
      <w:pPr>
        <w:pStyle w:val="ListBullet"/>
        <w:spacing w:after="40" w:line="252" w:lineRule="auto"/>
      </w:pPr>
      <w:r>
        <w:rPr>
          <w:rFonts w:ascii="Calibri" w:hAnsi="Calibri"/>
          <w:sz w:val="21"/>
        </w:rPr>
        <w:t>Changes trigger regression analysis against existing passports and partner views.</w:t>
      </w:r>
    </w:p>
    <w:p>
      <w:pPr>
        <w:pStyle w:val="ListBullet"/>
        <w:spacing w:after="40" w:line="252" w:lineRule="auto"/>
      </w:pPr>
      <w:r>
        <w:rPr>
          <w:rFonts w:ascii="Calibri" w:hAnsi="Calibri"/>
          <w:sz w:val="21"/>
        </w:rPr>
        <w:t>No carrier can receive another carrier’s confidential weighting, appetite, or acceptance rule.</w:t>
      </w:r>
    </w:p>
    <w:p>
      <w:pPr>
        <w:pStyle w:val="Heading2"/>
        <w:keepNext/>
        <w:spacing w:before="100" w:after="80"/>
      </w:pPr>
      <w:r>
        <w:rPr>
          <w:rFonts w:ascii="Calibri" w:hAnsi="Calibri"/>
          <w:b/>
          <w:color w:val="1F4E79"/>
          <w:sz w:val="25"/>
        </w:rPr>
        <w:t>12.12 Outcome Data Program</w:t>
      </w:r>
    </w:p>
    <w:p>
      <w:pPr>
        <w:spacing w:after="80" w:line="259" w:lineRule="auto"/>
      </w:pPr>
      <w:r>
        <w:rPr>
          <w:rFonts w:ascii="Calibri" w:hAnsi="Calibri"/>
          <w:sz w:val="21"/>
        </w:rPr>
        <w:t>The outcome program is the long-term compounding moat and should start with a narrow, rights-aware schema. Record only what contracts and privacy rules permit. Initially capture submission date, market, application segment, quote/decline/conditional outcome, major remediation conditions, limit, retention, premium band, and evidence-follow-up count. Claims data should come later under explicit agreements.</w:t>
      </w:r>
    </w:p>
    <w:p>
      <w:pPr>
        <w:spacing w:after="80" w:line="259" w:lineRule="auto"/>
      </w:pPr>
      <w:r>
        <w:rPr>
          <w:rFonts w:ascii="Calibri" w:hAnsi="Calibri"/>
          <w:sz w:val="21"/>
        </w:rPr>
        <w:t>Model governance must distinguish correlation from causation. Laurelshield should not make unsupported statements such as “Control X reduces premium by 30%.” Outcome analytics should be statistically validated, segmented by industry/size/market, and reviewed for selection bias, survivorship bias, and changes in underwriting appetite.</w:t>
      </w:r>
    </w:p>
    <w:p>
      <w:pPr>
        <w:pStyle w:val="Heading1"/>
        <w:keepNext/>
        <w:spacing w:before="160" w:after="80"/>
      </w:pPr>
      <w:r>
        <w:rPr>
          <w:rFonts w:ascii="Calibri" w:hAnsi="Calibri"/>
          <w:b/>
          <w:color w:val="1F4E79"/>
          <w:sz w:val="30"/>
        </w:rPr>
        <w:t>13. Pilot Design and Go/No-Go Criteria</w:t>
      </w:r>
    </w:p>
    <w:p>
      <w:pPr>
        <w:pStyle w:val="Heading2"/>
        <w:keepNext/>
        <w:spacing w:before="100" w:after="80"/>
      </w:pPr>
      <w:r>
        <w:rPr>
          <w:rFonts w:ascii="Calibri" w:hAnsi="Calibri"/>
          <w:b/>
          <w:color w:val="1F4E79"/>
          <w:sz w:val="25"/>
        </w:rPr>
        <w:t>13.1 Recommended pilot cohort</w:t>
      </w:r>
    </w:p>
    <w:p>
      <w:pPr>
        <w:spacing w:after="80" w:line="259" w:lineRule="auto"/>
      </w:pPr>
      <w:r>
        <w:rPr>
          <w:rFonts w:ascii="Calibri" w:hAnsi="Calibri"/>
          <w:sz w:val="21"/>
        </w:rPr>
        <w:t>Use 5–10 organizations with genuine cyber-insurance placement or renewal needs, at least 90 days before renewal, and enough technical maturity to provide evidence. Include 2–3 industries rather than making the first pilot too heterogeneous.</w:t>
      </w:r>
    </w:p>
    <w:p>
      <w:pPr>
        <w:pStyle w:val="Heading2"/>
        <w:keepNext/>
        <w:spacing w:before="100" w:after="80"/>
      </w:pPr>
      <w:r>
        <w:rPr>
          <w:rFonts w:ascii="Calibri" w:hAnsi="Calibri"/>
          <w:b/>
          <w:color w:val="1F4E79"/>
          <w:sz w:val="25"/>
        </w:rPr>
        <w:t>13.2 Pilot workflow</w:t>
      </w:r>
    </w:p>
    <w:p>
      <w:pPr>
        <w:pStyle w:val="ListNumber"/>
        <w:spacing w:after="40" w:line="252" w:lineRule="auto"/>
      </w:pPr>
      <w:r>
        <w:rPr>
          <w:rFonts w:ascii="Calibri" w:hAnsi="Calibri"/>
          <w:sz w:val="21"/>
        </w:rPr>
        <w:t>Client and broker complete scope and authorize evidence collection.</w:t>
      </w:r>
    </w:p>
    <w:p>
      <w:pPr>
        <w:pStyle w:val="ListNumber"/>
        <w:spacing w:after="40" w:line="252" w:lineRule="auto"/>
      </w:pPr>
      <w:r>
        <w:rPr>
          <w:rFonts w:ascii="Calibri" w:hAnsi="Calibri"/>
          <w:sz w:val="21"/>
        </w:rPr>
        <w:t>Laurelshield maps existing application questions to canonical controls.</w:t>
      </w:r>
    </w:p>
    <w:p>
      <w:pPr>
        <w:pStyle w:val="ListNumber"/>
        <w:spacing w:after="40" w:line="252" w:lineRule="auto"/>
      </w:pPr>
      <w:r>
        <w:rPr>
          <w:rFonts w:ascii="Calibri" w:hAnsi="Calibri"/>
          <w:sz w:val="21"/>
        </w:rPr>
        <w:t>Laurelshield verifies controls and identifies unsupported self-attestations.</w:t>
      </w:r>
    </w:p>
    <w:p>
      <w:pPr>
        <w:pStyle w:val="ListNumber"/>
        <w:spacing w:after="40" w:line="252" w:lineRule="auto"/>
      </w:pPr>
      <w:r>
        <w:rPr>
          <w:rFonts w:ascii="Calibri" w:hAnsi="Calibri"/>
          <w:sz w:val="21"/>
        </w:rPr>
        <w:t>Client remediates material gaps.</w:t>
      </w:r>
    </w:p>
    <w:p>
      <w:pPr>
        <w:pStyle w:val="ListNumber"/>
        <w:spacing w:after="40" w:line="252" w:lineRule="auto"/>
      </w:pPr>
      <w:r>
        <w:rPr>
          <w:rFonts w:ascii="Calibri" w:hAnsi="Calibri"/>
          <w:sz w:val="21"/>
        </w:rPr>
        <w:t>Independent re-verification closes findings.</w:t>
      </w:r>
    </w:p>
    <w:p>
      <w:pPr>
        <w:pStyle w:val="ListNumber"/>
        <w:spacing w:after="40" w:line="252" w:lineRule="auto"/>
      </w:pPr>
      <w:r>
        <w:rPr>
          <w:rFonts w:ascii="Calibri" w:hAnsi="Calibri"/>
          <w:sz w:val="21"/>
        </w:rPr>
        <w:t>Laurelshield issues passport and broker-specific evidence view.</w:t>
      </w:r>
    </w:p>
    <w:p>
      <w:pPr>
        <w:pStyle w:val="ListNumber"/>
        <w:spacing w:after="40" w:line="252" w:lineRule="auto"/>
      </w:pPr>
      <w:r>
        <w:rPr>
          <w:rFonts w:ascii="Calibri" w:hAnsi="Calibri"/>
          <w:sz w:val="21"/>
        </w:rPr>
        <w:t>Broker submits to selected markets.</w:t>
      </w:r>
    </w:p>
    <w:p>
      <w:pPr>
        <w:pStyle w:val="ListNumber"/>
        <w:spacing w:after="40" w:line="252" w:lineRule="auto"/>
      </w:pPr>
      <w:r>
        <w:rPr>
          <w:rFonts w:ascii="Calibri" w:hAnsi="Calibri"/>
          <w:sz w:val="21"/>
        </w:rPr>
        <w:t>Laurelshield records additional technical questions and underwriter feedback.</w:t>
      </w:r>
    </w:p>
    <w:p>
      <w:pPr>
        <w:pStyle w:val="ListNumber"/>
        <w:spacing w:after="40" w:line="252" w:lineRule="auto"/>
      </w:pPr>
      <w:r>
        <w:rPr>
          <w:rFonts w:ascii="Calibri" w:hAnsi="Calibri"/>
          <w:sz w:val="21"/>
        </w:rPr>
        <w:t>At completion, compare actual workflow against the legacy questionnaire-only process.</w:t>
      </w:r>
    </w:p>
    <w:p>
      <w:pPr>
        <w:pStyle w:val="Heading2"/>
        <w:keepNext/>
        <w:spacing w:before="100" w:after="80"/>
      </w:pPr>
      <w:r>
        <w:rPr>
          <w:rFonts w:ascii="Calibri" w:hAnsi="Calibri"/>
          <w:b/>
          <w:color w:val="1F4E79"/>
          <w:sz w:val="25"/>
        </w:rPr>
        <w:t>13.3 Go/No-Go metrics</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val="true"/>
        </w:trPr>
        <w:tc>
          <w:tcPr>
            <w:tcW w:type="dxa" w:w="5083"/>
            <w:vAlign w:val="top"/>
            <w:shd w:fill="D9EAF7"/>
            <w:tcMar>
              <w:top w:w="70" w:type="dxa"/>
              <w:left w:w="80" w:type="dxa"/>
              <w:bottom w:w="70" w:type="dxa"/>
              <w:right w:w="80" w:type="dxa"/>
            </w:tcMar>
          </w:tcPr>
          <w:p>
            <w:pPr>
              <w:spacing w:after="0" w:line="240" w:lineRule="auto"/>
            </w:pPr>
            <w:r/>
            <w:r>
              <w:rPr>
                <w:rFonts w:ascii="Calibri" w:hAnsi="Calibri"/>
                <w:b/>
                <w:sz w:val="19"/>
              </w:rPr>
              <w:t>Metric</w:t>
            </w:r>
          </w:p>
        </w:tc>
        <w:tc>
          <w:tcPr>
            <w:tcW w:type="dxa" w:w="5083"/>
            <w:vAlign w:val="top"/>
            <w:shd w:fill="D9EAF7"/>
            <w:tcMar>
              <w:top w:w="70" w:type="dxa"/>
              <w:left w:w="80" w:type="dxa"/>
              <w:bottom w:w="70" w:type="dxa"/>
              <w:right w:w="80" w:type="dxa"/>
            </w:tcMar>
          </w:tcPr>
          <w:p>
            <w:pPr>
              <w:spacing w:after="0" w:line="240" w:lineRule="auto"/>
            </w:pPr>
            <w:r/>
            <w:r>
              <w:rPr>
                <w:rFonts w:ascii="Calibri" w:hAnsi="Calibri"/>
                <w:b/>
                <w:sz w:val="19"/>
              </w:rPr>
              <w:t>Target for Strong Signal</w:t>
            </w:r>
          </w:p>
        </w:tc>
      </w:tr>
      <w:tr>
        <w:trPr>
          <w:cantSplit w:val="true"/>
        </w:trPr>
        <w:tc>
          <w:tcPr>
            <w:tcW w:type="dxa" w:w="5083"/>
            <w:vAlign w:val="top"/>
            <w:tcMar>
              <w:top w:w="70" w:type="dxa"/>
              <w:left w:w="80" w:type="dxa"/>
              <w:bottom w:w="70" w:type="dxa"/>
              <w:right w:w="80" w:type="dxa"/>
            </w:tcMar>
          </w:tcPr>
          <w:p>
            <w:pPr>
              <w:spacing w:after="0" w:line="240" w:lineRule="auto"/>
            </w:pPr>
            <w:r/>
            <w:r>
              <w:rPr>
                <w:rFonts w:ascii="Calibri" w:hAnsi="Calibri"/>
                <w:b w:val="0"/>
                <w:sz w:val="19"/>
              </w:rPr>
              <w:t>Evidence reuse</w:t>
            </w:r>
          </w:p>
        </w:tc>
        <w:tc>
          <w:tcPr>
            <w:tcW w:type="dxa" w:w="5083"/>
            <w:vAlign w:val="top"/>
            <w:tcMar>
              <w:top w:w="70" w:type="dxa"/>
              <w:left w:w="80" w:type="dxa"/>
              <w:bottom w:w="70" w:type="dxa"/>
              <w:right w:w="80" w:type="dxa"/>
            </w:tcMar>
          </w:tcPr>
          <w:p>
            <w:pPr>
              <w:spacing w:after="0" w:line="240" w:lineRule="auto"/>
            </w:pPr>
            <w:r/>
            <w:r>
              <w:rPr>
                <w:rFonts w:ascii="Calibri" w:hAnsi="Calibri"/>
                <w:b w:val="0"/>
                <w:sz w:val="19"/>
              </w:rPr>
              <w:t>&gt;60% of technical questions answered from existing verified evidence rather than recollection/rework.</w:t>
            </w:r>
          </w:p>
        </w:tc>
      </w:tr>
      <w:tr>
        <w:trPr>
          <w:cantSplit w:val="true"/>
        </w:trPr>
        <w:tc>
          <w:tcPr>
            <w:tcW w:type="dxa" w:w="5083"/>
            <w:vAlign w:val="top"/>
            <w:tcMar>
              <w:top w:w="70" w:type="dxa"/>
              <w:left w:w="80" w:type="dxa"/>
              <w:bottom w:w="70" w:type="dxa"/>
              <w:right w:w="80" w:type="dxa"/>
            </w:tcMar>
          </w:tcPr>
          <w:p>
            <w:pPr>
              <w:spacing w:after="0" w:line="240" w:lineRule="auto"/>
            </w:pPr>
            <w:r/>
            <w:r>
              <w:rPr>
                <w:rFonts w:ascii="Calibri" w:hAnsi="Calibri"/>
                <w:b w:val="0"/>
                <w:sz w:val="19"/>
              </w:rPr>
              <w:t>Unsupported assertions found</w:t>
            </w:r>
          </w:p>
        </w:tc>
        <w:tc>
          <w:tcPr>
            <w:tcW w:type="dxa" w:w="5083"/>
            <w:vAlign w:val="top"/>
            <w:tcMar>
              <w:top w:w="70" w:type="dxa"/>
              <w:left w:w="80" w:type="dxa"/>
              <w:bottom w:w="70" w:type="dxa"/>
              <w:right w:w="80" w:type="dxa"/>
            </w:tcMar>
          </w:tcPr>
          <w:p>
            <w:pPr>
              <w:spacing w:after="0" w:line="240" w:lineRule="auto"/>
            </w:pPr>
            <w:r/>
            <w:r>
              <w:rPr>
                <w:rFonts w:ascii="Calibri" w:hAnsi="Calibri"/>
                <w:b w:val="0"/>
                <w:sz w:val="19"/>
              </w:rPr>
              <w:t>Enough to prove material value of independent verification, without creating excessive false positives.</w:t>
            </w:r>
          </w:p>
        </w:tc>
      </w:tr>
      <w:tr>
        <w:trPr>
          <w:cantSplit w:val="true"/>
        </w:trPr>
        <w:tc>
          <w:tcPr>
            <w:tcW w:type="dxa" w:w="5083"/>
            <w:vAlign w:val="top"/>
            <w:tcMar>
              <w:top w:w="70" w:type="dxa"/>
              <w:left w:w="80" w:type="dxa"/>
              <w:bottom w:w="70" w:type="dxa"/>
              <w:right w:w="80" w:type="dxa"/>
            </w:tcMar>
          </w:tcPr>
          <w:p>
            <w:pPr>
              <w:spacing w:after="0" w:line="240" w:lineRule="auto"/>
            </w:pPr>
            <w:r/>
            <w:r>
              <w:rPr>
                <w:rFonts w:ascii="Calibri" w:hAnsi="Calibri"/>
                <w:b w:val="0"/>
                <w:sz w:val="19"/>
              </w:rPr>
              <w:t>Remediation closure</w:t>
            </w:r>
          </w:p>
        </w:tc>
        <w:tc>
          <w:tcPr>
            <w:tcW w:type="dxa" w:w="5083"/>
            <w:vAlign w:val="top"/>
            <w:tcMar>
              <w:top w:w="70" w:type="dxa"/>
              <w:left w:w="80" w:type="dxa"/>
              <w:bottom w:w="70" w:type="dxa"/>
              <w:right w:w="80" w:type="dxa"/>
            </w:tcMar>
          </w:tcPr>
          <w:p>
            <w:pPr>
              <w:spacing w:after="0" w:line="240" w:lineRule="auto"/>
            </w:pPr>
            <w:r/>
            <w:r>
              <w:rPr>
                <w:rFonts w:ascii="Calibri" w:hAnsi="Calibri"/>
                <w:b w:val="0"/>
                <w:sz w:val="19"/>
              </w:rPr>
              <w:t>&gt;70% of material technical gaps closed before market submission where customer has time/control.</w:t>
            </w:r>
          </w:p>
        </w:tc>
      </w:tr>
      <w:tr>
        <w:trPr>
          <w:cantSplit w:val="true"/>
        </w:trPr>
        <w:tc>
          <w:tcPr>
            <w:tcW w:type="dxa" w:w="5083"/>
            <w:vAlign w:val="top"/>
            <w:tcMar>
              <w:top w:w="70" w:type="dxa"/>
              <w:left w:w="80" w:type="dxa"/>
              <w:bottom w:w="70" w:type="dxa"/>
              <w:right w:w="80" w:type="dxa"/>
            </w:tcMar>
          </w:tcPr>
          <w:p>
            <w:pPr>
              <w:spacing w:after="0" w:line="240" w:lineRule="auto"/>
            </w:pPr>
            <w:r/>
            <w:r>
              <w:rPr>
                <w:rFonts w:ascii="Calibri" w:hAnsi="Calibri"/>
                <w:b w:val="0"/>
                <w:sz w:val="19"/>
              </w:rPr>
              <w:t>Broker technical follow-up</w:t>
            </w:r>
          </w:p>
        </w:tc>
        <w:tc>
          <w:tcPr>
            <w:tcW w:type="dxa" w:w="5083"/>
            <w:vAlign w:val="top"/>
            <w:tcMar>
              <w:top w:w="70" w:type="dxa"/>
              <w:left w:w="80" w:type="dxa"/>
              <w:bottom w:w="70" w:type="dxa"/>
              <w:right w:w="80" w:type="dxa"/>
            </w:tcMar>
          </w:tcPr>
          <w:p>
            <w:pPr>
              <w:spacing w:after="0" w:line="240" w:lineRule="auto"/>
            </w:pPr>
            <w:r/>
            <w:r>
              <w:rPr>
                <w:rFonts w:ascii="Calibri" w:hAnsi="Calibri"/>
                <w:b w:val="0"/>
                <w:sz w:val="19"/>
              </w:rPr>
              <w:t>Meaningful reduction versus comparable historical cases.</w:t>
            </w:r>
          </w:p>
        </w:tc>
      </w:tr>
      <w:tr>
        <w:trPr>
          <w:cantSplit w:val="true"/>
        </w:trPr>
        <w:tc>
          <w:tcPr>
            <w:tcW w:type="dxa" w:w="5083"/>
            <w:vAlign w:val="top"/>
            <w:tcMar>
              <w:top w:w="70" w:type="dxa"/>
              <w:left w:w="80" w:type="dxa"/>
              <w:bottom w:w="70" w:type="dxa"/>
              <w:right w:w="80" w:type="dxa"/>
            </w:tcMar>
          </w:tcPr>
          <w:p>
            <w:pPr>
              <w:spacing w:after="0" w:line="240" w:lineRule="auto"/>
            </w:pPr>
            <w:r/>
            <w:r>
              <w:rPr>
                <w:rFonts w:ascii="Calibri" w:hAnsi="Calibri"/>
                <w:b w:val="0"/>
                <w:sz w:val="19"/>
              </w:rPr>
              <w:t>Underwriter additional-info requests</w:t>
            </w:r>
          </w:p>
        </w:tc>
        <w:tc>
          <w:tcPr>
            <w:tcW w:type="dxa" w:w="5083"/>
            <w:vAlign w:val="top"/>
            <w:tcMar>
              <w:top w:w="70" w:type="dxa"/>
              <w:left w:w="80" w:type="dxa"/>
              <w:bottom w:w="70" w:type="dxa"/>
              <w:right w:w="80" w:type="dxa"/>
            </w:tcMar>
          </w:tcPr>
          <w:p>
            <w:pPr>
              <w:spacing w:after="0" w:line="240" w:lineRule="auto"/>
            </w:pPr>
            <w:r/>
            <w:r>
              <w:rPr>
                <w:rFonts w:ascii="Calibri" w:hAnsi="Calibri"/>
                <w:b w:val="0"/>
                <w:sz w:val="19"/>
              </w:rPr>
              <w:t>Meaningful reduction or improved specificity.</w:t>
            </w:r>
          </w:p>
        </w:tc>
      </w:tr>
      <w:tr>
        <w:trPr>
          <w:cantSplit w:val="true"/>
        </w:trPr>
        <w:tc>
          <w:tcPr>
            <w:tcW w:type="dxa" w:w="5083"/>
            <w:vAlign w:val="top"/>
            <w:tcMar>
              <w:top w:w="70" w:type="dxa"/>
              <w:left w:w="80" w:type="dxa"/>
              <w:bottom w:w="70" w:type="dxa"/>
              <w:right w:w="80" w:type="dxa"/>
            </w:tcMar>
          </w:tcPr>
          <w:p>
            <w:pPr>
              <w:spacing w:after="0" w:line="240" w:lineRule="auto"/>
            </w:pPr>
            <w:r/>
            <w:r>
              <w:rPr>
                <w:rFonts w:ascii="Calibri" w:hAnsi="Calibri"/>
                <w:b w:val="0"/>
                <w:sz w:val="19"/>
              </w:rPr>
              <w:t>Client willingness to renew passport</w:t>
            </w:r>
          </w:p>
        </w:tc>
        <w:tc>
          <w:tcPr>
            <w:tcW w:type="dxa" w:w="5083"/>
            <w:vAlign w:val="top"/>
            <w:tcMar>
              <w:top w:w="70" w:type="dxa"/>
              <w:left w:w="80" w:type="dxa"/>
              <w:bottom w:w="70" w:type="dxa"/>
              <w:right w:w="80" w:type="dxa"/>
            </w:tcMar>
          </w:tcPr>
          <w:p>
            <w:pPr>
              <w:spacing w:after="0" w:line="240" w:lineRule="auto"/>
            </w:pPr>
            <w:r/>
            <w:r>
              <w:rPr>
                <w:rFonts w:ascii="Calibri" w:hAnsi="Calibri"/>
                <w:b w:val="0"/>
                <w:sz w:val="19"/>
              </w:rPr>
              <w:t>&gt;60% of pilot customers willing to pay for ongoing assurance.</w:t>
            </w:r>
          </w:p>
        </w:tc>
      </w:tr>
      <w:tr>
        <w:trPr>
          <w:cantSplit w:val="true"/>
        </w:trPr>
        <w:tc>
          <w:tcPr>
            <w:tcW w:type="dxa" w:w="5083"/>
            <w:vAlign w:val="top"/>
            <w:tcMar>
              <w:top w:w="70" w:type="dxa"/>
              <w:left w:w="80" w:type="dxa"/>
              <w:bottom w:w="70" w:type="dxa"/>
              <w:right w:w="80" w:type="dxa"/>
            </w:tcMar>
          </w:tcPr>
          <w:p>
            <w:pPr>
              <w:spacing w:after="0" w:line="240" w:lineRule="auto"/>
            </w:pPr>
            <w:r/>
            <w:r>
              <w:rPr>
                <w:rFonts w:ascii="Calibri" w:hAnsi="Calibri"/>
                <w:b w:val="0"/>
                <w:sz w:val="19"/>
              </w:rPr>
              <w:t>Carrier usefulness</w:t>
            </w:r>
          </w:p>
        </w:tc>
        <w:tc>
          <w:tcPr>
            <w:tcW w:type="dxa" w:w="5083"/>
            <w:vAlign w:val="top"/>
            <w:tcMar>
              <w:top w:w="70" w:type="dxa"/>
              <w:left w:w="80" w:type="dxa"/>
              <w:bottom w:w="70" w:type="dxa"/>
              <w:right w:w="80" w:type="dxa"/>
            </w:tcMar>
          </w:tcPr>
          <w:p>
            <w:pPr>
              <w:spacing w:after="0" w:line="240" w:lineRule="auto"/>
            </w:pPr>
            <w:r/>
            <w:r>
              <w:rPr>
                <w:rFonts w:ascii="Calibri" w:hAnsi="Calibri"/>
                <w:b w:val="0"/>
                <w:sz w:val="19"/>
              </w:rPr>
              <w:t>At least two underwriting teams state that defined passport fields are useful/acceptable for pilot evidence.</w:t>
            </w:r>
          </w:p>
        </w:tc>
      </w:tr>
      <w:tr>
        <w:trPr>
          <w:cantSplit w:val="true"/>
        </w:trPr>
        <w:tc>
          <w:tcPr>
            <w:tcW w:type="dxa" w:w="5083"/>
            <w:vAlign w:val="top"/>
            <w:tcMar>
              <w:top w:w="70" w:type="dxa"/>
              <w:left w:w="80" w:type="dxa"/>
              <w:bottom w:w="70" w:type="dxa"/>
              <w:right w:w="80" w:type="dxa"/>
            </w:tcMar>
          </w:tcPr>
          <w:p>
            <w:pPr>
              <w:spacing w:after="0" w:line="240" w:lineRule="auto"/>
            </w:pPr>
            <w:r/>
            <w:r>
              <w:rPr>
                <w:rFonts w:ascii="Calibri" w:hAnsi="Calibri"/>
                <w:b w:val="0"/>
                <w:sz w:val="19"/>
              </w:rPr>
              <w:t>Economics</w:t>
            </w:r>
          </w:p>
        </w:tc>
        <w:tc>
          <w:tcPr>
            <w:tcW w:type="dxa" w:w="5083"/>
            <w:vAlign w:val="top"/>
            <w:tcMar>
              <w:top w:w="70" w:type="dxa"/>
              <w:left w:w="80" w:type="dxa"/>
              <w:bottom w:w="70" w:type="dxa"/>
              <w:right w:w="80" w:type="dxa"/>
            </w:tcMar>
          </w:tcPr>
          <w:p>
            <w:pPr>
              <w:spacing w:after="0" w:line="240" w:lineRule="auto"/>
            </w:pPr>
            <w:r/>
            <w:r>
              <w:rPr>
                <w:rFonts w:ascii="Calibri" w:hAnsi="Calibri"/>
                <w:b w:val="0"/>
                <w:sz w:val="19"/>
              </w:rPr>
              <w:t>Gross margin and delivery time support a path to scalable subscription, not permanent high-touch consulting only.</w:t>
            </w:r>
          </w:p>
        </w:tc>
      </w:tr>
    </w:tbl>
    <w:p>
      <w:pPr>
        <w:spacing w:after="40"/>
      </w:pPr>
    </w:p>
    <w:p>
      <w:pPr>
        <w:pStyle w:val="Heading1"/>
        <w:keepNext/>
        <w:spacing w:before="160" w:after="80"/>
      </w:pPr>
      <w:r>
        <w:rPr>
          <w:rFonts w:ascii="Calibri" w:hAnsi="Calibri"/>
          <w:b/>
          <w:color w:val="1F4E79"/>
          <w:sz w:val="30"/>
        </w:rPr>
        <w:t>14. Metrics, Economics, and Network Effects</w:t>
      </w:r>
    </w:p>
    <w:p>
      <w:pPr>
        <w:pStyle w:val="Heading2"/>
        <w:keepNext/>
        <w:spacing w:before="100" w:after="80"/>
      </w:pPr>
      <w:r>
        <w:rPr>
          <w:rFonts w:ascii="Calibri" w:hAnsi="Calibri"/>
          <w:b/>
          <w:color w:val="1F4E79"/>
          <w:sz w:val="25"/>
        </w:rPr>
        <w:t>14.1 North-star metrics</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val="true"/>
        </w:trPr>
        <w:tc>
          <w:tcPr>
            <w:tcW w:type="dxa" w:w="5083"/>
            <w:vAlign w:val="top"/>
            <w:shd w:fill="D9EAF7"/>
            <w:tcMar>
              <w:top w:w="70" w:type="dxa"/>
              <w:left w:w="80" w:type="dxa"/>
              <w:bottom w:w="70" w:type="dxa"/>
              <w:right w:w="80" w:type="dxa"/>
            </w:tcMar>
          </w:tcPr>
          <w:p>
            <w:pPr>
              <w:spacing w:after="0" w:line="240" w:lineRule="auto"/>
            </w:pPr>
            <w:r/>
            <w:r>
              <w:rPr>
                <w:rFonts w:ascii="Calibri" w:hAnsi="Calibri"/>
                <w:b/>
                <w:sz w:val="19"/>
              </w:rPr>
              <w:t>Metric</w:t>
            </w:r>
          </w:p>
        </w:tc>
        <w:tc>
          <w:tcPr>
            <w:tcW w:type="dxa" w:w="5083"/>
            <w:vAlign w:val="top"/>
            <w:shd w:fill="D9EAF7"/>
            <w:tcMar>
              <w:top w:w="70" w:type="dxa"/>
              <w:left w:w="80" w:type="dxa"/>
              <w:bottom w:w="70" w:type="dxa"/>
              <w:right w:w="80" w:type="dxa"/>
            </w:tcMar>
          </w:tcPr>
          <w:p>
            <w:pPr>
              <w:spacing w:after="0" w:line="240" w:lineRule="auto"/>
            </w:pPr>
            <w:r/>
            <w:r>
              <w:rPr>
                <w:rFonts w:ascii="Calibri" w:hAnsi="Calibri"/>
                <w:b/>
                <w:sz w:val="19"/>
              </w:rPr>
              <w:t>Why It Matters</w:t>
            </w:r>
          </w:p>
        </w:tc>
      </w:tr>
      <w:tr>
        <w:trPr>
          <w:cantSplit w:val="true"/>
        </w:trPr>
        <w:tc>
          <w:tcPr>
            <w:tcW w:type="dxa" w:w="5083"/>
            <w:vAlign w:val="top"/>
            <w:tcMar>
              <w:top w:w="70" w:type="dxa"/>
              <w:left w:w="80" w:type="dxa"/>
              <w:bottom w:w="70" w:type="dxa"/>
              <w:right w:w="80" w:type="dxa"/>
            </w:tcMar>
          </w:tcPr>
          <w:p>
            <w:pPr>
              <w:spacing w:after="0" w:line="240" w:lineRule="auto"/>
            </w:pPr>
            <w:r/>
            <w:r>
              <w:rPr>
                <w:rFonts w:ascii="Calibri" w:hAnsi="Calibri"/>
                <w:b w:val="0"/>
                <w:sz w:val="19"/>
              </w:rPr>
              <w:t>Active verified passports</w:t>
            </w:r>
          </w:p>
        </w:tc>
        <w:tc>
          <w:tcPr>
            <w:tcW w:type="dxa" w:w="5083"/>
            <w:vAlign w:val="top"/>
            <w:tcMar>
              <w:top w:w="70" w:type="dxa"/>
              <w:left w:w="80" w:type="dxa"/>
              <w:bottom w:w="70" w:type="dxa"/>
              <w:right w:w="80" w:type="dxa"/>
            </w:tcMar>
          </w:tcPr>
          <w:p>
            <w:pPr>
              <w:spacing w:after="0" w:line="240" w:lineRule="auto"/>
            </w:pPr>
            <w:r/>
            <w:r>
              <w:rPr>
                <w:rFonts w:ascii="Calibri" w:hAnsi="Calibri"/>
                <w:b w:val="0"/>
                <w:sz w:val="19"/>
              </w:rPr>
              <w:t>Core network size.</w:t>
            </w:r>
          </w:p>
        </w:tc>
      </w:tr>
      <w:tr>
        <w:trPr>
          <w:cantSplit w:val="true"/>
        </w:trPr>
        <w:tc>
          <w:tcPr>
            <w:tcW w:type="dxa" w:w="5083"/>
            <w:vAlign w:val="top"/>
            <w:tcMar>
              <w:top w:w="70" w:type="dxa"/>
              <w:left w:w="80" w:type="dxa"/>
              <w:bottom w:w="70" w:type="dxa"/>
              <w:right w:w="80" w:type="dxa"/>
            </w:tcMar>
          </w:tcPr>
          <w:p>
            <w:pPr>
              <w:spacing w:after="0" w:line="240" w:lineRule="auto"/>
            </w:pPr>
            <w:r/>
            <w:r>
              <w:rPr>
                <w:rFonts w:ascii="Calibri" w:hAnsi="Calibri"/>
                <w:b w:val="0"/>
                <w:sz w:val="19"/>
              </w:rPr>
              <w:t>Average evidence reuse across counterparties</w:t>
            </w:r>
          </w:p>
        </w:tc>
        <w:tc>
          <w:tcPr>
            <w:tcW w:type="dxa" w:w="5083"/>
            <w:vAlign w:val="top"/>
            <w:tcMar>
              <w:top w:w="70" w:type="dxa"/>
              <w:left w:w="80" w:type="dxa"/>
              <w:bottom w:w="70" w:type="dxa"/>
              <w:right w:w="80" w:type="dxa"/>
            </w:tcMar>
          </w:tcPr>
          <w:p>
            <w:pPr>
              <w:spacing w:after="0" w:line="240" w:lineRule="auto"/>
            </w:pPr>
            <w:r/>
            <w:r>
              <w:rPr>
                <w:rFonts w:ascii="Calibri" w:hAnsi="Calibri"/>
                <w:b w:val="0"/>
                <w:sz w:val="19"/>
              </w:rPr>
              <w:t>Direct measure of “verify once” value.</w:t>
            </w:r>
          </w:p>
        </w:tc>
      </w:tr>
      <w:tr>
        <w:trPr>
          <w:cantSplit w:val="true"/>
        </w:trPr>
        <w:tc>
          <w:tcPr>
            <w:tcW w:type="dxa" w:w="5083"/>
            <w:vAlign w:val="top"/>
            <w:tcMar>
              <w:top w:w="70" w:type="dxa"/>
              <w:left w:w="80" w:type="dxa"/>
              <w:bottom w:w="70" w:type="dxa"/>
              <w:right w:w="80" w:type="dxa"/>
            </w:tcMar>
          </w:tcPr>
          <w:p>
            <w:pPr>
              <w:spacing w:after="0" w:line="240" w:lineRule="auto"/>
            </w:pPr>
            <w:r/>
            <w:r>
              <w:rPr>
                <w:rFonts w:ascii="Calibri" w:hAnsi="Calibri"/>
                <w:b w:val="0"/>
                <w:sz w:val="19"/>
              </w:rPr>
              <w:t>Continuous-assurance attach rate</w:t>
            </w:r>
          </w:p>
        </w:tc>
        <w:tc>
          <w:tcPr>
            <w:tcW w:type="dxa" w:w="5083"/>
            <w:vAlign w:val="top"/>
            <w:tcMar>
              <w:top w:w="70" w:type="dxa"/>
              <w:left w:w="80" w:type="dxa"/>
              <w:bottom w:w="70" w:type="dxa"/>
              <w:right w:w="80" w:type="dxa"/>
            </w:tcMar>
          </w:tcPr>
          <w:p>
            <w:pPr>
              <w:spacing w:after="0" w:line="240" w:lineRule="auto"/>
            </w:pPr>
            <w:r/>
            <w:r>
              <w:rPr>
                <w:rFonts w:ascii="Calibri" w:hAnsi="Calibri"/>
                <w:b w:val="0"/>
                <w:sz w:val="19"/>
              </w:rPr>
              <w:t>Recurring-revenue and evidence-quality indicator.</w:t>
            </w:r>
          </w:p>
        </w:tc>
      </w:tr>
      <w:tr>
        <w:trPr>
          <w:cantSplit w:val="true"/>
        </w:trPr>
        <w:tc>
          <w:tcPr>
            <w:tcW w:type="dxa" w:w="5083"/>
            <w:vAlign w:val="top"/>
            <w:tcMar>
              <w:top w:w="70" w:type="dxa"/>
              <w:left w:w="80" w:type="dxa"/>
              <w:bottom w:w="70" w:type="dxa"/>
              <w:right w:w="80" w:type="dxa"/>
            </w:tcMar>
          </w:tcPr>
          <w:p>
            <w:pPr>
              <w:spacing w:after="0" w:line="240" w:lineRule="auto"/>
            </w:pPr>
            <w:r/>
            <w:r>
              <w:rPr>
                <w:rFonts w:ascii="Calibri" w:hAnsi="Calibri"/>
                <w:b w:val="0"/>
                <w:sz w:val="19"/>
              </w:rPr>
              <w:t>Markets accepting/using Laurelshield evidence</w:t>
            </w:r>
          </w:p>
        </w:tc>
        <w:tc>
          <w:tcPr>
            <w:tcW w:type="dxa" w:w="5083"/>
            <w:vAlign w:val="top"/>
            <w:tcMar>
              <w:top w:w="70" w:type="dxa"/>
              <w:left w:w="80" w:type="dxa"/>
              <w:bottom w:w="70" w:type="dxa"/>
              <w:right w:w="80" w:type="dxa"/>
            </w:tcMar>
          </w:tcPr>
          <w:p>
            <w:pPr>
              <w:spacing w:after="0" w:line="240" w:lineRule="auto"/>
            </w:pPr>
            <w:r/>
            <w:r>
              <w:rPr>
                <w:rFonts w:ascii="Calibri" w:hAnsi="Calibri"/>
                <w:b w:val="0"/>
                <w:sz w:val="19"/>
              </w:rPr>
              <w:t>Distribution-side network effect.</w:t>
            </w:r>
          </w:p>
        </w:tc>
      </w:tr>
      <w:tr>
        <w:trPr>
          <w:cantSplit w:val="true"/>
        </w:trPr>
        <w:tc>
          <w:tcPr>
            <w:tcW w:type="dxa" w:w="5083"/>
            <w:vAlign w:val="top"/>
            <w:tcMar>
              <w:top w:w="70" w:type="dxa"/>
              <w:left w:w="80" w:type="dxa"/>
              <w:bottom w:w="70" w:type="dxa"/>
              <w:right w:w="80" w:type="dxa"/>
            </w:tcMar>
          </w:tcPr>
          <w:p>
            <w:pPr>
              <w:spacing w:after="0" w:line="240" w:lineRule="auto"/>
            </w:pPr>
            <w:r/>
            <w:r>
              <w:rPr>
                <w:rFonts w:ascii="Calibri" w:hAnsi="Calibri"/>
                <w:b w:val="0"/>
                <w:sz w:val="19"/>
              </w:rPr>
              <w:t>Brokers actively referring/using passports</w:t>
            </w:r>
          </w:p>
        </w:tc>
        <w:tc>
          <w:tcPr>
            <w:tcW w:type="dxa" w:w="5083"/>
            <w:vAlign w:val="top"/>
            <w:tcMar>
              <w:top w:w="70" w:type="dxa"/>
              <w:left w:w="80" w:type="dxa"/>
              <w:bottom w:w="70" w:type="dxa"/>
              <w:right w:w="80" w:type="dxa"/>
            </w:tcMar>
          </w:tcPr>
          <w:p>
            <w:pPr>
              <w:spacing w:after="0" w:line="240" w:lineRule="auto"/>
            </w:pPr>
            <w:r/>
            <w:r>
              <w:rPr>
                <w:rFonts w:ascii="Calibri" w:hAnsi="Calibri"/>
                <w:b w:val="0"/>
                <w:sz w:val="19"/>
              </w:rPr>
              <w:t>Distribution adoption.</w:t>
            </w:r>
          </w:p>
        </w:tc>
      </w:tr>
      <w:tr>
        <w:trPr>
          <w:cantSplit w:val="true"/>
        </w:trPr>
        <w:tc>
          <w:tcPr>
            <w:tcW w:type="dxa" w:w="5083"/>
            <w:vAlign w:val="top"/>
            <w:tcMar>
              <w:top w:w="70" w:type="dxa"/>
              <w:left w:w="80" w:type="dxa"/>
              <w:bottom w:w="70" w:type="dxa"/>
              <w:right w:w="80" w:type="dxa"/>
            </w:tcMar>
          </w:tcPr>
          <w:p>
            <w:pPr>
              <w:spacing w:after="0" w:line="240" w:lineRule="auto"/>
            </w:pPr>
            <w:r/>
            <w:r>
              <w:rPr>
                <w:rFonts w:ascii="Calibri" w:hAnsi="Calibri"/>
                <w:b w:val="0"/>
                <w:sz w:val="19"/>
              </w:rPr>
              <w:t>High-confidence evidence coverage</w:t>
            </w:r>
          </w:p>
        </w:tc>
        <w:tc>
          <w:tcPr>
            <w:tcW w:type="dxa" w:w="5083"/>
            <w:vAlign w:val="top"/>
            <w:tcMar>
              <w:top w:w="70" w:type="dxa"/>
              <w:left w:w="80" w:type="dxa"/>
              <w:bottom w:w="70" w:type="dxa"/>
              <w:right w:w="80" w:type="dxa"/>
            </w:tcMar>
          </w:tcPr>
          <w:p>
            <w:pPr>
              <w:spacing w:after="0" w:line="240" w:lineRule="auto"/>
            </w:pPr>
            <w:r/>
            <w:r>
              <w:rPr>
                <w:rFonts w:ascii="Calibri" w:hAnsi="Calibri"/>
                <w:b w:val="0"/>
                <w:sz w:val="19"/>
              </w:rPr>
              <w:t>Quality of assurance, not merely customer count.</w:t>
            </w:r>
          </w:p>
        </w:tc>
      </w:tr>
      <w:tr>
        <w:trPr>
          <w:cantSplit w:val="true"/>
        </w:trPr>
        <w:tc>
          <w:tcPr>
            <w:tcW w:type="dxa" w:w="5083"/>
            <w:vAlign w:val="top"/>
            <w:tcMar>
              <w:top w:w="70" w:type="dxa"/>
              <w:left w:w="80" w:type="dxa"/>
              <w:bottom w:w="70" w:type="dxa"/>
              <w:right w:w="80" w:type="dxa"/>
            </w:tcMar>
          </w:tcPr>
          <w:p>
            <w:pPr>
              <w:spacing w:after="0" w:line="240" w:lineRule="auto"/>
            </w:pPr>
            <w:r/>
            <w:r>
              <w:rPr>
                <w:rFonts w:ascii="Calibri" w:hAnsi="Calibri"/>
                <w:b w:val="0"/>
                <w:sz w:val="19"/>
              </w:rPr>
              <w:t>Mean time to restore assurance after drift</w:t>
            </w:r>
          </w:p>
        </w:tc>
        <w:tc>
          <w:tcPr>
            <w:tcW w:type="dxa" w:w="5083"/>
            <w:vAlign w:val="top"/>
            <w:tcMar>
              <w:top w:w="70" w:type="dxa"/>
              <w:left w:w="80" w:type="dxa"/>
              <w:bottom w:w="70" w:type="dxa"/>
              <w:right w:w="80" w:type="dxa"/>
            </w:tcMar>
          </w:tcPr>
          <w:p>
            <w:pPr>
              <w:spacing w:after="0" w:line="240" w:lineRule="auto"/>
            </w:pPr>
            <w:r/>
            <w:r>
              <w:rPr>
                <w:rFonts w:ascii="Calibri" w:hAnsi="Calibri"/>
                <w:b w:val="0"/>
                <w:sz w:val="19"/>
              </w:rPr>
              <w:t>Operational resilience of the passport.</w:t>
            </w:r>
          </w:p>
        </w:tc>
      </w:tr>
      <w:tr>
        <w:trPr>
          <w:cantSplit w:val="true"/>
        </w:trPr>
        <w:tc>
          <w:tcPr>
            <w:tcW w:type="dxa" w:w="5083"/>
            <w:vAlign w:val="top"/>
            <w:tcMar>
              <w:top w:w="70" w:type="dxa"/>
              <w:left w:w="80" w:type="dxa"/>
              <w:bottom w:w="70" w:type="dxa"/>
              <w:right w:w="80" w:type="dxa"/>
            </w:tcMar>
          </w:tcPr>
          <w:p>
            <w:pPr>
              <w:spacing w:after="0" w:line="240" w:lineRule="auto"/>
            </w:pPr>
            <w:r/>
            <w:r>
              <w:rPr>
                <w:rFonts w:ascii="Calibri" w:hAnsi="Calibri"/>
                <w:b w:val="0"/>
                <w:sz w:val="19"/>
              </w:rPr>
              <w:t>Partner renewal / retention</w:t>
            </w:r>
          </w:p>
        </w:tc>
        <w:tc>
          <w:tcPr>
            <w:tcW w:type="dxa" w:w="5083"/>
            <w:vAlign w:val="top"/>
            <w:tcMar>
              <w:top w:w="70" w:type="dxa"/>
              <w:left w:w="80" w:type="dxa"/>
              <w:bottom w:w="70" w:type="dxa"/>
              <w:right w:w="80" w:type="dxa"/>
            </w:tcMar>
          </w:tcPr>
          <w:p>
            <w:pPr>
              <w:spacing w:after="0" w:line="240" w:lineRule="auto"/>
            </w:pPr>
            <w:r/>
            <w:r>
              <w:rPr>
                <w:rFonts w:ascii="Calibri" w:hAnsi="Calibri"/>
                <w:b w:val="0"/>
                <w:sz w:val="19"/>
              </w:rPr>
              <w:t>Trust and switching-cost signal.</w:t>
            </w:r>
          </w:p>
        </w:tc>
      </w:tr>
      <w:tr>
        <w:trPr>
          <w:cantSplit w:val="true"/>
        </w:trPr>
        <w:tc>
          <w:tcPr>
            <w:tcW w:type="dxa" w:w="5083"/>
            <w:vAlign w:val="top"/>
            <w:tcMar>
              <w:top w:w="70" w:type="dxa"/>
              <w:left w:w="80" w:type="dxa"/>
              <w:bottom w:w="70" w:type="dxa"/>
              <w:right w:w="80" w:type="dxa"/>
            </w:tcMar>
          </w:tcPr>
          <w:p>
            <w:pPr>
              <w:spacing w:after="0" w:line="240" w:lineRule="auto"/>
            </w:pPr>
            <w:r/>
            <w:r>
              <w:rPr>
                <w:rFonts w:ascii="Calibri" w:hAnsi="Calibri"/>
                <w:b w:val="0"/>
                <w:sz w:val="19"/>
              </w:rPr>
              <w:t>Underwriting outcome data coverage</w:t>
            </w:r>
          </w:p>
        </w:tc>
        <w:tc>
          <w:tcPr>
            <w:tcW w:type="dxa" w:w="5083"/>
            <w:vAlign w:val="top"/>
            <w:tcMar>
              <w:top w:w="70" w:type="dxa"/>
              <w:left w:w="80" w:type="dxa"/>
              <w:bottom w:w="70" w:type="dxa"/>
              <w:right w:w="80" w:type="dxa"/>
            </w:tcMar>
          </w:tcPr>
          <w:p>
            <w:pPr>
              <w:spacing w:after="0" w:line="240" w:lineRule="auto"/>
            </w:pPr>
            <w:r/>
            <w:r>
              <w:rPr>
                <w:rFonts w:ascii="Calibri" w:hAnsi="Calibri"/>
                <w:b w:val="0"/>
                <w:sz w:val="19"/>
              </w:rPr>
              <w:t>Depth of proprietary intelligence.</w:t>
            </w:r>
          </w:p>
        </w:tc>
      </w:tr>
      <w:tr>
        <w:trPr>
          <w:cantSplit w:val="true"/>
        </w:trPr>
        <w:tc>
          <w:tcPr>
            <w:tcW w:type="dxa" w:w="5083"/>
            <w:vAlign w:val="top"/>
            <w:tcMar>
              <w:top w:w="70" w:type="dxa"/>
              <w:left w:w="80" w:type="dxa"/>
              <w:bottom w:w="70" w:type="dxa"/>
              <w:right w:w="80" w:type="dxa"/>
            </w:tcMar>
          </w:tcPr>
          <w:p>
            <w:pPr>
              <w:spacing w:after="0" w:line="240" w:lineRule="auto"/>
            </w:pPr>
            <w:r/>
            <w:r>
              <w:rPr>
                <w:rFonts w:ascii="Calibri" w:hAnsi="Calibri"/>
                <w:b w:val="0"/>
                <w:sz w:val="19"/>
              </w:rPr>
              <w:t>Claims-linked observation years</w:t>
            </w:r>
          </w:p>
        </w:tc>
        <w:tc>
          <w:tcPr>
            <w:tcW w:type="dxa" w:w="5083"/>
            <w:vAlign w:val="top"/>
            <w:tcMar>
              <w:top w:w="70" w:type="dxa"/>
              <w:left w:w="80" w:type="dxa"/>
              <w:bottom w:w="70" w:type="dxa"/>
              <w:right w:w="80" w:type="dxa"/>
            </w:tcMar>
          </w:tcPr>
          <w:p>
            <w:pPr>
              <w:spacing w:after="0" w:line="240" w:lineRule="auto"/>
            </w:pPr>
            <w:r/>
            <w:r>
              <w:rPr>
                <w:rFonts w:ascii="Calibri" w:hAnsi="Calibri"/>
                <w:b w:val="0"/>
                <w:sz w:val="19"/>
              </w:rPr>
              <w:t>Long-term predictive moat.</w:t>
            </w:r>
          </w:p>
        </w:tc>
      </w:tr>
    </w:tbl>
    <w:p>
      <w:pPr>
        <w:spacing w:after="40"/>
      </w:pPr>
    </w:p>
    <w:p>
      <w:pPr>
        <w:pStyle w:val="Heading2"/>
        <w:keepNext/>
        <w:spacing w:before="100" w:after="80"/>
      </w:pPr>
      <w:r>
        <w:rPr>
          <w:rFonts w:ascii="Calibri" w:hAnsi="Calibri"/>
          <w:b/>
          <w:color w:val="1F4E79"/>
          <w:sz w:val="25"/>
        </w:rPr>
        <w:t>14.2 The network flywheel</w:t>
      </w:r>
    </w:p>
    <w:p>
      <w:pPr>
        <w:spacing w:after="80" w:line="259" w:lineRule="auto"/>
      </w:pPr>
      <w:r>
        <w:rPr>
          <w:rFonts w:ascii="Calibri" w:hAnsi="Calibri"/>
          <w:sz w:val="21"/>
        </w:rPr>
        <w:t>More verified organizations create more reusable evidence. More reusable evidence creates better broker economics. More broker adoption brings more carrier submissions. More carrier feedback improves translation accuracy. More accepted carrier profiles make the passport more valuable to customers. More customers and carrier outcomes create better benchmarks and predictive models. Better intelligence attracts additional carriers and brokers, which restarts the cycle at a higher level.</w:t>
      </w:r>
    </w:p>
    <w:p>
      <w:pPr>
        <w:pStyle w:val="Heading1"/>
        <w:keepNext/>
        <w:spacing w:before="160" w:after="80"/>
      </w:pPr>
      <w:r>
        <w:rPr>
          <w:rFonts w:ascii="Calibri" w:hAnsi="Calibri"/>
          <w:b/>
          <w:color w:val="1F4E79"/>
          <w:sz w:val="30"/>
        </w:rPr>
        <w:t>15. Risks and Mitigations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val="true"/>
        </w:trPr>
        <w:tc>
          <w:tcPr>
            <w:tcW w:type="dxa" w:w="3389"/>
            <w:vAlign w:val="top"/>
            <w:shd w:fill="D9EAF7"/>
            <w:tcMar>
              <w:top w:w="70" w:type="dxa"/>
              <w:left w:w="80" w:type="dxa"/>
              <w:bottom w:w="70" w:type="dxa"/>
              <w:right w:w="80" w:type="dxa"/>
            </w:tcMar>
          </w:tcPr>
          <w:p>
            <w:pPr>
              <w:spacing w:after="0" w:line="240" w:lineRule="auto"/>
            </w:pPr>
            <w:r/>
            <w:r>
              <w:rPr>
                <w:rFonts w:ascii="Calibri" w:hAnsi="Calibri"/>
                <w:b/>
                <w:sz w:val="19"/>
              </w:rPr>
              <w:t>Risk</w:t>
            </w:r>
          </w:p>
        </w:tc>
        <w:tc>
          <w:tcPr>
            <w:tcW w:type="dxa" w:w="3389"/>
            <w:vAlign w:val="top"/>
            <w:shd w:fill="D9EAF7"/>
            <w:tcMar>
              <w:top w:w="70" w:type="dxa"/>
              <w:left w:w="80" w:type="dxa"/>
              <w:bottom w:w="70" w:type="dxa"/>
              <w:right w:w="80" w:type="dxa"/>
            </w:tcMar>
          </w:tcPr>
          <w:p>
            <w:pPr>
              <w:spacing w:after="0" w:line="240" w:lineRule="auto"/>
            </w:pPr>
            <w:r/>
            <w:r>
              <w:rPr>
                <w:rFonts w:ascii="Calibri" w:hAnsi="Calibri"/>
                <w:b/>
                <w:sz w:val="19"/>
              </w:rPr>
              <w:t>Why It Matters</w:t>
            </w:r>
          </w:p>
        </w:tc>
        <w:tc>
          <w:tcPr>
            <w:tcW w:type="dxa" w:w="3389"/>
            <w:vAlign w:val="top"/>
            <w:shd w:fill="D9EAF7"/>
            <w:tcMar>
              <w:top w:w="70" w:type="dxa"/>
              <w:left w:w="80" w:type="dxa"/>
              <w:bottom w:w="70" w:type="dxa"/>
              <w:right w:w="80" w:type="dxa"/>
            </w:tcMar>
          </w:tcPr>
          <w:p>
            <w:pPr>
              <w:spacing w:after="0" w:line="240" w:lineRule="auto"/>
            </w:pPr>
            <w:r/>
            <w:r>
              <w:rPr>
                <w:rFonts w:ascii="Calibri" w:hAnsi="Calibri"/>
                <w:b/>
                <w:sz w:val="19"/>
              </w:rPr>
              <w:t>Mitigation</w:t>
            </w:r>
          </w:p>
        </w:tc>
      </w:tr>
      <w:tr>
        <w:trPr>
          <w:cantSplit w:val="true"/>
        </w:trPr>
        <w:tc>
          <w:tcPr>
            <w:tcW w:type="dxa" w:w="3389"/>
            <w:vAlign w:val="top"/>
            <w:tcMar>
              <w:top w:w="70" w:type="dxa"/>
              <w:left w:w="80" w:type="dxa"/>
              <w:bottom w:w="70" w:type="dxa"/>
              <w:right w:w="80" w:type="dxa"/>
            </w:tcMar>
          </w:tcPr>
          <w:p>
            <w:pPr>
              <w:spacing w:after="0" w:line="240" w:lineRule="auto"/>
            </w:pPr>
            <w:r/>
            <w:r>
              <w:rPr>
                <w:rFonts w:ascii="Calibri" w:hAnsi="Calibri"/>
                <w:b w:val="0"/>
                <w:sz w:val="19"/>
              </w:rPr>
              <w:t>Insurers refuse portability</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Each carrier may prefer proprietary data or questions.</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Start with evidence utility, not full standard endorsement; support carrier-specific views while retaining one canonical evidence base.</w:t>
            </w:r>
          </w:p>
        </w:tc>
      </w:tr>
      <w:tr>
        <w:trPr>
          <w:cantSplit w:val="true"/>
        </w:trPr>
        <w:tc>
          <w:tcPr>
            <w:tcW w:type="dxa" w:w="3389"/>
            <w:vAlign w:val="top"/>
            <w:tcMar>
              <w:top w:w="70" w:type="dxa"/>
              <w:left w:w="80" w:type="dxa"/>
              <w:bottom w:w="70" w:type="dxa"/>
              <w:right w:w="80" w:type="dxa"/>
            </w:tcMar>
          </w:tcPr>
          <w:p>
            <w:pPr>
              <w:spacing w:after="0" w:line="240" w:lineRule="auto"/>
            </w:pPr>
            <w:r/>
            <w:r>
              <w:rPr>
                <w:rFonts w:ascii="Calibri" w:hAnsi="Calibri"/>
                <w:b w:val="0"/>
                <w:sz w:val="19"/>
              </w:rPr>
              <w:t>Competitive copying</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Assessment concept is easy to imitate.</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Accelerate integrations, partner acceptance, trade-secret mappings, longitudinal data, and certification governance.</w:t>
            </w:r>
          </w:p>
        </w:tc>
      </w:tr>
      <w:tr>
        <w:trPr>
          <w:cantSplit w:val="true"/>
        </w:trPr>
        <w:tc>
          <w:tcPr>
            <w:tcW w:type="dxa" w:w="3389"/>
            <w:vAlign w:val="top"/>
            <w:tcMar>
              <w:top w:w="70" w:type="dxa"/>
              <w:left w:w="80" w:type="dxa"/>
              <w:bottom w:w="70" w:type="dxa"/>
              <w:right w:w="80" w:type="dxa"/>
            </w:tcMar>
          </w:tcPr>
          <w:p>
            <w:pPr>
              <w:spacing w:after="0" w:line="240" w:lineRule="auto"/>
            </w:pPr>
            <w:r/>
            <w:r>
              <w:rPr>
                <w:rFonts w:ascii="Calibri" w:hAnsi="Calibri"/>
                <w:b w:val="0"/>
                <w:sz w:val="19"/>
              </w:rPr>
              <w:t>Conflict with consulting/remediation</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Self-review can weaken assurance credibility.</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Independent verification/decision function; documented impartiality policy.</w:t>
            </w:r>
          </w:p>
        </w:tc>
      </w:tr>
      <w:tr>
        <w:trPr>
          <w:cantSplit w:val="true"/>
        </w:trPr>
        <w:tc>
          <w:tcPr>
            <w:tcW w:type="dxa" w:w="3389"/>
            <w:vAlign w:val="top"/>
            <w:tcMar>
              <w:top w:w="70" w:type="dxa"/>
              <w:left w:w="80" w:type="dxa"/>
              <w:bottom w:w="70" w:type="dxa"/>
              <w:right w:w="80" w:type="dxa"/>
            </w:tcMar>
          </w:tcPr>
          <w:p>
            <w:pPr>
              <w:spacing w:after="0" w:line="240" w:lineRule="auto"/>
            </w:pPr>
            <w:r/>
            <w:r>
              <w:rPr>
                <w:rFonts w:ascii="Calibri" w:hAnsi="Calibri"/>
                <w:b w:val="0"/>
                <w:sz w:val="19"/>
              </w:rPr>
              <w:t>Trademark weakness</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Descriptive names may be difficult to register.</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Lead with distinctive LAURELSHIELD house mark; professional clearance.</w:t>
            </w:r>
          </w:p>
        </w:tc>
      </w:tr>
      <w:tr>
        <w:trPr>
          <w:cantSplit w:val="true"/>
        </w:trPr>
        <w:tc>
          <w:tcPr>
            <w:tcW w:type="dxa" w:w="3389"/>
            <w:vAlign w:val="top"/>
            <w:tcMar>
              <w:top w:w="70" w:type="dxa"/>
              <w:left w:w="80" w:type="dxa"/>
              <w:bottom w:w="70" w:type="dxa"/>
              <w:right w:w="80" w:type="dxa"/>
            </w:tcMar>
          </w:tcPr>
          <w:p>
            <w:pPr>
              <w:spacing w:after="0" w:line="240" w:lineRule="auto"/>
            </w:pPr>
            <w:r/>
            <w:r>
              <w:rPr>
                <w:rFonts w:ascii="Calibri" w:hAnsi="Calibri"/>
                <w:b w:val="0"/>
                <w:sz w:val="19"/>
              </w:rPr>
              <w:t>Patent failure</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Abstract business method may be ineligible or anticipated.</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Patent only specific technical inventions; prior-art search before disclosure.</w:t>
            </w:r>
          </w:p>
        </w:tc>
      </w:tr>
      <w:tr>
        <w:trPr>
          <w:cantSplit w:val="true"/>
        </w:trPr>
        <w:tc>
          <w:tcPr>
            <w:tcW w:type="dxa" w:w="3389"/>
            <w:vAlign w:val="top"/>
            <w:tcMar>
              <w:top w:w="70" w:type="dxa"/>
              <w:left w:w="80" w:type="dxa"/>
              <w:bottom w:w="70" w:type="dxa"/>
              <w:right w:w="80" w:type="dxa"/>
            </w:tcMar>
          </w:tcPr>
          <w:p>
            <w:pPr>
              <w:spacing w:after="0" w:line="240" w:lineRule="auto"/>
            </w:pPr>
            <w:r/>
            <w:r>
              <w:rPr>
                <w:rFonts w:ascii="Calibri" w:hAnsi="Calibri"/>
                <w:b w:val="0"/>
                <w:sz w:val="19"/>
              </w:rPr>
              <w:t>Sensitive-data breach</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Evidence vault contains high-value security data.</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Privacy-by-design, least data, encryption, tenant isolation, SOC 2/ISO controls, incident response.</w:t>
            </w:r>
          </w:p>
        </w:tc>
      </w:tr>
      <w:tr>
        <w:trPr>
          <w:cantSplit w:val="true"/>
        </w:trPr>
        <w:tc>
          <w:tcPr>
            <w:tcW w:type="dxa" w:w="3389"/>
            <w:vAlign w:val="top"/>
            <w:tcMar>
              <w:top w:w="70" w:type="dxa"/>
              <w:left w:w="80" w:type="dxa"/>
              <w:bottom w:w="70" w:type="dxa"/>
              <w:right w:w="80" w:type="dxa"/>
            </w:tcMar>
          </w:tcPr>
          <w:p>
            <w:pPr>
              <w:spacing w:after="0" w:line="240" w:lineRule="auto"/>
            </w:pPr>
            <w:r/>
            <w:r>
              <w:rPr>
                <w:rFonts w:ascii="Calibri" w:hAnsi="Calibri"/>
                <w:b w:val="0"/>
                <w:sz w:val="19"/>
              </w:rPr>
              <w:t>Carrier-confidential mapping leakage</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Could damage trust and create contractual liability.</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Strong segregation, rights model, encryption, access controls, no cross-partner disclosure.</w:t>
            </w:r>
          </w:p>
        </w:tc>
      </w:tr>
      <w:tr>
        <w:trPr>
          <w:cantSplit w:val="true"/>
        </w:trPr>
        <w:tc>
          <w:tcPr>
            <w:tcW w:type="dxa" w:w="3389"/>
            <w:vAlign w:val="top"/>
            <w:tcMar>
              <w:top w:w="70" w:type="dxa"/>
              <w:left w:w="80" w:type="dxa"/>
              <w:bottom w:w="70" w:type="dxa"/>
              <w:right w:w="80" w:type="dxa"/>
            </w:tcMar>
          </w:tcPr>
          <w:p>
            <w:pPr>
              <w:spacing w:after="0" w:line="240" w:lineRule="auto"/>
            </w:pPr>
            <w:r/>
            <w:r>
              <w:rPr>
                <w:rFonts w:ascii="Calibri" w:hAnsi="Calibri"/>
                <w:b w:val="0"/>
                <w:sz w:val="19"/>
              </w:rPr>
              <w:t>Stale passport</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Cyber controls change rapidly.</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Freshness engine, continuous monitoring, automatic expiry/revocation.</w:t>
            </w:r>
          </w:p>
        </w:tc>
      </w:tr>
      <w:tr>
        <w:trPr>
          <w:cantSplit w:val="true"/>
        </w:trPr>
        <w:tc>
          <w:tcPr>
            <w:tcW w:type="dxa" w:w="3389"/>
            <w:vAlign w:val="top"/>
            <w:tcMar>
              <w:top w:w="70" w:type="dxa"/>
              <w:left w:w="80" w:type="dxa"/>
              <w:bottom w:w="70" w:type="dxa"/>
              <w:right w:w="80" w:type="dxa"/>
            </w:tcMar>
          </w:tcPr>
          <w:p>
            <w:pPr>
              <w:spacing w:after="0" w:line="240" w:lineRule="auto"/>
            </w:pPr>
            <w:r/>
            <w:r>
              <w:rPr>
                <w:rFonts w:ascii="Calibri" w:hAnsi="Calibri"/>
                <w:b w:val="0"/>
                <w:sz w:val="19"/>
              </w:rPr>
              <w:t>Overclaiming insurance impact</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Could create regulatory or reputational risk.</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No guarantee language; underwriter retains decision; evidence not advice on policy terms unless appropriately licensed.</w:t>
            </w:r>
          </w:p>
        </w:tc>
      </w:tr>
      <w:tr>
        <w:trPr>
          <w:cantSplit w:val="true"/>
        </w:trPr>
        <w:tc>
          <w:tcPr>
            <w:tcW w:type="dxa" w:w="3389"/>
            <w:vAlign w:val="top"/>
            <w:tcMar>
              <w:top w:w="70" w:type="dxa"/>
              <w:left w:w="80" w:type="dxa"/>
              <w:bottom w:w="70" w:type="dxa"/>
              <w:right w:w="80" w:type="dxa"/>
            </w:tcMar>
          </w:tcPr>
          <w:p>
            <w:pPr>
              <w:spacing w:after="0" w:line="240" w:lineRule="auto"/>
            </w:pPr>
            <w:r/>
            <w:r>
              <w:rPr>
                <w:rFonts w:ascii="Calibri" w:hAnsi="Calibri"/>
                <w:b w:val="0"/>
                <w:sz w:val="19"/>
              </w:rPr>
              <w:t>Biased outcome models</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Selection and market-cycle effects can mislead.</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Model governance, segmentation, statistical review, transparent limitations.</w:t>
            </w:r>
          </w:p>
        </w:tc>
      </w:tr>
      <w:tr>
        <w:trPr>
          <w:cantSplit w:val="true"/>
        </w:trPr>
        <w:tc>
          <w:tcPr>
            <w:tcW w:type="dxa" w:w="3389"/>
            <w:vAlign w:val="top"/>
            <w:tcMar>
              <w:top w:w="70" w:type="dxa"/>
              <w:left w:w="80" w:type="dxa"/>
              <w:bottom w:w="70" w:type="dxa"/>
              <w:right w:w="80" w:type="dxa"/>
            </w:tcMar>
          </w:tcPr>
          <w:p>
            <w:pPr>
              <w:spacing w:after="0" w:line="240" w:lineRule="auto"/>
            </w:pPr>
            <w:r/>
            <w:r>
              <w:rPr>
                <w:rFonts w:ascii="Calibri" w:hAnsi="Calibri"/>
                <w:b w:val="0"/>
                <w:sz w:val="19"/>
              </w:rPr>
              <w:t>Platform becomes expensive consulting tool</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Manual delivery fails to scale.</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Automate only validated high-value controls; measure evidence reuse and subscription conversion.</w:t>
            </w:r>
          </w:p>
        </w:tc>
      </w:tr>
      <w:tr>
        <w:trPr>
          <w:cantSplit w:val="true"/>
        </w:trPr>
        <w:tc>
          <w:tcPr>
            <w:tcW w:type="dxa" w:w="3389"/>
            <w:vAlign w:val="top"/>
            <w:tcMar>
              <w:top w:w="70" w:type="dxa"/>
              <w:left w:w="80" w:type="dxa"/>
              <w:bottom w:w="70" w:type="dxa"/>
              <w:right w:w="80" w:type="dxa"/>
            </w:tcMar>
          </w:tcPr>
          <w:p>
            <w:pPr>
              <w:spacing w:after="0" w:line="240" w:lineRule="auto"/>
            </w:pPr>
            <w:r/>
            <w:r>
              <w:rPr>
                <w:rFonts w:ascii="Calibri" w:hAnsi="Calibri"/>
                <w:b w:val="0"/>
                <w:sz w:val="19"/>
              </w:rPr>
              <w:t>One large partner demands exclusivity</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Could destroy carrier neutrality.</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Default non-exclusive contracts; protect pre-existing IP; limit partner-specific rights to their confidential profile.</w:t>
            </w:r>
          </w:p>
        </w:tc>
      </w:tr>
    </w:tbl>
    <w:p>
      <w:pPr>
        <w:spacing w:after="40"/>
      </w:pPr>
    </w:p>
    <w:p>
      <w:pPr>
        <w:pStyle w:val="Heading1"/>
        <w:keepNext/>
        <w:spacing w:before="160" w:after="80"/>
      </w:pPr>
      <w:r>
        <w:rPr>
          <w:rFonts w:ascii="Calibri" w:hAnsi="Calibri"/>
          <w:b/>
          <w:color w:val="1F4E79"/>
          <w:sz w:val="30"/>
        </w:rPr>
        <w:t>16. Recommended 24-Month Execution Sequence</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val="true"/>
        </w:trPr>
        <w:tc>
          <w:tcPr>
            <w:tcW w:type="dxa" w:w="3389"/>
            <w:vAlign w:val="top"/>
            <w:shd w:fill="D9EAF7"/>
            <w:tcMar>
              <w:top w:w="70" w:type="dxa"/>
              <w:left w:w="80" w:type="dxa"/>
              <w:bottom w:w="70" w:type="dxa"/>
              <w:right w:w="80" w:type="dxa"/>
            </w:tcMar>
          </w:tcPr>
          <w:p>
            <w:pPr>
              <w:spacing w:after="0" w:line="240" w:lineRule="auto"/>
            </w:pPr>
            <w:r/>
            <w:r>
              <w:rPr>
                <w:rFonts w:ascii="Calibri" w:hAnsi="Calibri"/>
                <w:b/>
                <w:sz w:val="19"/>
              </w:rPr>
              <w:t>Period</w:t>
            </w:r>
          </w:p>
        </w:tc>
        <w:tc>
          <w:tcPr>
            <w:tcW w:type="dxa" w:w="3389"/>
            <w:vAlign w:val="top"/>
            <w:shd w:fill="D9EAF7"/>
            <w:tcMar>
              <w:top w:w="70" w:type="dxa"/>
              <w:left w:w="80" w:type="dxa"/>
              <w:bottom w:w="70" w:type="dxa"/>
              <w:right w:w="80" w:type="dxa"/>
            </w:tcMar>
          </w:tcPr>
          <w:p>
            <w:pPr>
              <w:spacing w:after="0" w:line="240" w:lineRule="auto"/>
            </w:pPr>
            <w:r/>
            <w:r>
              <w:rPr>
                <w:rFonts w:ascii="Calibri" w:hAnsi="Calibri"/>
                <w:b/>
                <w:sz w:val="19"/>
              </w:rPr>
              <w:t>Primary Objective</w:t>
            </w:r>
          </w:p>
        </w:tc>
        <w:tc>
          <w:tcPr>
            <w:tcW w:type="dxa" w:w="3389"/>
            <w:vAlign w:val="top"/>
            <w:shd w:fill="D9EAF7"/>
            <w:tcMar>
              <w:top w:w="70" w:type="dxa"/>
              <w:left w:w="80" w:type="dxa"/>
              <w:bottom w:w="70" w:type="dxa"/>
              <w:right w:w="80" w:type="dxa"/>
            </w:tcMar>
          </w:tcPr>
          <w:p>
            <w:pPr>
              <w:spacing w:after="0" w:line="240" w:lineRule="auto"/>
            </w:pPr>
            <w:r/>
            <w:r>
              <w:rPr>
                <w:rFonts w:ascii="Calibri" w:hAnsi="Calibri"/>
                <w:b/>
                <w:sz w:val="19"/>
              </w:rPr>
              <w:t>Must-Have Deliverables</w:t>
            </w:r>
          </w:p>
        </w:tc>
      </w:tr>
      <w:tr>
        <w:trPr>
          <w:cantSplit w:val="true"/>
        </w:trPr>
        <w:tc>
          <w:tcPr>
            <w:tcW w:type="dxa" w:w="3389"/>
            <w:vAlign w:val="top"/>
            <w:tcMar>
              <w:top w:w="70" w:type="dxa"/>
              <w:left w:w="80" w:type="dxa"/>
              <w:bottom w:w="70" w:type="dxa"/>
              <w:right w:w="80" w:type="dxa"/>
            </w:tcMar>
          </w:tcPr>
          <w:p>
            <w:pPr>
              <w:spacing w:after="0" w:line="240" w:lineRule="auto"/>
            </w:pPr>
            <w:r/>
            <w:r>
              <w:rPr>
                <w:rFonts w:ascii="Calibri" w:hAnsi="Calibri"/>
                <w:b w:val="0"/>
                <w:sz w:val="19"/>
              </w:rPr>
              <w:t>0–30 days</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Protect and define</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Trademark/patent counsel; confidential invention disclosure; CIA v0.1; canonical model; ECL; sample passport; discovery interviews.</w:t>
            </w:r>
          </w:p>
        </w:tc>
      </w:tr>
      <w:tr>
        <w:trPr>
          <w:cantSplit w:val="true"/>
        </w:trPr>
        <w:tc>
          <w:tcPr>
            <w:tcW w:type="dxa" w:w="3389"/>
            <w:vAlign w:val="top"/>
            <w:tcMar>
              <w:top w:w="70" w:type="dxa"/>
              <w:left w:w="80" w:type="dxa"/>
              <w:bottom w:w="70" w:type="dxa"/>
              <w:right w:w="80" w:type="dxa"/>
            </w:tcMar>
          </w:tcPr>
          <w:p>
            <w:pPr>
              <w:spacing w:after="0" w:line="240" w:lineRule="auto"/>
            </w:pPr>
            <w:r/>
            <w:r>
              <w:rPr>
                <w:rFonts w:ascii="Calibri" w:hAnsi="Calibri"/>
                <w:b w:val="0"/>
                <w:sz w:val="19"/>
              </w:rPr>
              <w:t>31–90 days</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Prove manually</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3–5 design partners; 5–10 broker pilot cases; first connector; evidence vault; signed passport; two carrier review conversations.</w:t>
            </w:r>
          </w:p>
        </w:tc>
      </w:tr>
      <w:tr>
        <w:trPr>
          <w:cantSplit w:val="true"/>
        </w:trPr>
        <w:tc>
          <w:tcPr>
            <w:tcW w:type="dxa" w:w="3389"/>
            <w:vAlign w:val="top"/>
            <w:tcMar>
              <w:top w:w="70" w:type="dxa"/>
              <w:left w:w="80" w:type="dxa"/>
              <w:bottom w:w="70" w:type="dxa"/>
              <w:right w:w="80" w:type="dxa"/>
            </w:tcMar>
          </w:tcPr>
          <w:p>
            <w:pPr>
              <w:spacing w:after="0" w:line="240" w:lineRule="auto"/>
            </w:pPr>
            <w:r/>
            <w:r>
              <w:rPr>
                <w:rFonts w:ascii="Calibri" w:hAnsi="Calibri"/>
                <w:b w:val="0"/>
                <w:sz w:val="19"/>
              </w:rPr>
              <w:t>Months 4–6</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Make reusable</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Evidence exchange; partner profiles; independent decision process; three+ connectors; continuous freshness for key controls.</w:t>
            </w:r>
          </w:p>
        </w:tc>
      </w:tr>
      <w:tr>
        <w:trPr>
          <w:cantSplit w:val="true"/>
        </w:trPr>
        <w:tc>
          <w:tcPr>
            <w:tcW w:type="dxa" w:w="3389"/>
            <w:vAlign w:val="top"/>
            <w:tcMar>
              <w:top w:w="70" w:type="dxa"/>
              <w:left w:w="80" w:type="dxa"/>
              <w:bottom w:w="70" w:type="dxa"/>
              <w:right w:w="80" w:type="dxa"/>
            </w:tcMar>
          </w:tcPr>
          <w:p>
            <w:pPr>
              <w:spacing w:after="0" w:line="240" w:lineRule="auto"/>
            </w:pPr>
            <w:r/>
            <w:r>
              <w:rPr>
                <w:rFonts w:ascii="Calibri" w:hAnsi="Calibri"/>
                <w:b w:val="0"/>
                <w:sz w:val="19"/>
              </w:rPr>
              <w:t>Months 7–12</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Obtain market traction</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25–100 passports; 2–5 carrier pilots/protocols; broker workflow adoption; recurring subscription; security/compliance readiness.</w:t>
            </w:r>
          </w:p>
        </w:tc>
      </w:tr>
      <w:tr>
        <w:trPr>
          <w:cantSplit w:val="true"/>
        </w:trPr>
        <w:tc>
          <w:tcPr>
            <w:tcW w:type="dxa" w:w="3389"/>
            <w:vAlign w:val="top"/>
            <w:tcMar>
              <w:top w:w="70" w:type="dxa"/>
              <w:left w:w="80" w:type="dxa"/>
              <w:bottom w:w="70" w:type="dxa"/>
              <w:right w:w="80" w:type="dxa"/>
            </w:tcMar>
          </w:tcPr>
          <w:p>
            <w:pPr>
              <w:spacing w:after="0" w:line="240" w:lineRule="auto"/>
            </w:pPr>
            <w:r/>
            <w:r>
              <w:rPr>
                <w:rFonts w:ascii="Calibri" w:hAnsi="Calibri"/>
                <w:b w:val="0"/>
                <w:sz w:val="19"/>
              </w:rPr>
              <w:t>Months 13–18</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Expand network</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Multiple brokers; 5–10 market profiles; assessor program; API integrations; outcome dataset.</w:t>
            </w:r>
          </w:p>
        </w:tc>
      </w:tr>
      <w:tr>
        <w:trPr>
          <w:cantSplit w:val="true"/>
        </w:trPr>
        <w:tc>
          <w:tcPr>
            <w:tcW w:type="dxa" w:w="3389"/>
            <w:vAlign w:val="top"/>
            <w:tcMar>
              <w:top w:w="70" w:type="dxa"/>
              <w:left w:w="80" w:type="dxa"/>
              <w:bottom w:w="70" w:type="dxa"/>
              <w:right w:w="80" w:type="dxa"/>
            </w:tcMar>
          </w:tcPr>
          <w:p>
            <w:pPr>
              <w:spacing w:after="0" w:line="240" w:lineRule="auto"/>
            </w:pPr>
            <w:r/>
            <w:r>
              <w:rPr>
                <w:rFonts w:ascii="Calibri" w:hAnsi="Calibri"/>
                <w:b w:val="0"/>
                <w:sz w:val="19"/>
              </w:rPr>
              <w:t>Months 19–24</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Institutionalize trust</w:t>
            </w:r>
          </w:p>
        </w:tc>
        <w:tc>
          <w:tcPr>
            <w:tcW w:type="dxa" w:w="3389"/>
            <w:vAlign w:val="top"/>
            <w:tcMar>
              <w:top w:w="70" w:type="dxa"/>
              <w:left w:w="80" w:type="dxa"/>
              <w:bottom w:w="70" w:type="dxa"/>
              <w:right w:w="80" w:type="dxa"/>
            </w:tcMar>
          </w:tcPr>
          <w:p>
            <w:pPr>
              <w:spacing w:after="0" w:line="240" w:lineRule="auto"/>
            </w:pPr>
            <w:r/>
            <w:r>
              <w:rPr>
                <w:rFonts w:ascii="Calibri" w:hAnsi="Calibri"/>
                <w:b w:val="0"/>
                <w:sz w:val="19"/>
              </w:rPr>
              <w:t>500+ passports target subject to product-market fit; certification governance; formal mark strategy; benchmark intelligence; claims-data partnership exploration.</w:t>
            </w:r>
          </w:p>
        </w:tc>
      </w:tr>
    </w:tbl>
    <w:p>
      <w:pPr>
        <w:spacing w:after="40"/>
      </w:pPr>
    </w:p>
    <w:p>
      <w:pPr>
        <w:pStyle w:val="Heading2"/>
        <w:keepNext/>
        <w:spacing w:before="100" w:after="80"/>
      </w:pPr>
      <w:r>
        <w:rPr>
          <w:rFonts w:ascii="Calibri" w:hAnsi="Calibri"/>
          <w:b/>
          <w:color w:val="1F4E79"/>
          <w:sz w:val="25"/>
        </w:rPr>
        <w:t>16.1 Immediate deliverables to create before the next Aon/EVC conversation</w:t>
      </w:r>
    </w:p>
    <w:p>
      <w:pPr>
        <w:pStyle w:val="ListBullet"/>
        <w:spacing w:after="40" w:line="252" w:lineRule="auto"/>
      </w:pPr>
      <w:r>
        <w:rPr>
          <w:rFonts w:ascii="Calibri" w:hAnsi="Calibri"/>
          <w:sz w:val="21"/>
        </w:rPr>
        <w:t>Two-page executive brief: market problem, portable evidence passport, and why it complements rather than competes with broker cyber capabilities.</w:t>
      </w:r>
    </w:p>
    <w:p>
      <w:pPr>
        <w:pStyle w:val="ListBullet"/>
        <w:spacing w:after="40" w:line="252" w:lineRule="auto"/>
      </w:pPr>
      <w:r>
        <w:rPr>
          <w:rFonts w:ascii="Calibri" w:hAnsi="Calibri"/>
          <w:sz w:val="21"/>
        </w:rPr>
        <w:t>One-page architecture showing “one verification -&gt; canonical evidence -&gt; multiple authorized insurer views.”</w:t>
      </w:r>
    </w:p>
    <w:p>
      <w:pPr>
        <w:pStyle w:val="ListBullet"/>
        <w:spacing w:after="40" w:line="252" w:lineRule="auto"/>
      </w:pPr>
      <w:r>
        <w:rPr>
          <w:rFonts w:ascii="Calibri" w:hAnsi="Calibri"/>
          <w:sz w:val="21"/>
        </w:rPr>
        <w:t>Sample Cyber Risk Passport containing 10–15 verified controls and ECL/freshness.</w:t>
      </w:r>
    </w:p>
    <w:p>
      <w:pPr>
        <w:pStyle w:val="ListBullet"/>
        <w:spacing w:after="40" w:line="252" w:lineRule="auto"/>
      </w:pPr>
      <w:r>
        <w:rPr>
          <w:rFonts w:ascii="Calibri" w:hAnsi="Calibri"/>
          <w:sz w:val="21"/>
        </w:rPr>
        <w:t>Pilot proposal for 5–10 SMEs with defined KPIs and no exclusivity.</w:t>
      </w:r>
    </w:p>
    <w:p>
      <w:pPr>
        <w:pStyle w:val="ListBullet"/>
        <w:spacing w:after="40" w:line="252" w:lineRule="auto"/>
      </w:pPr>
      <w:r>
        <w:rPr>
          <w:rFonts w:ascii="Calibri" w:hAnsi="Calibri"/>
          <w:sz w:val="21"/>
        </w:rPr>
        <w:t>IP/confidentiality notice identifying Laurelshield pre-existing methodology and proprietary mappings.</w:t>
      </w:r>
    </w:p>
    <w:p>
      <w:pPr>
        <w:pStyle w:val="ListBullet"/>
        <w:spacing w:after="40" w:line="252" w:lineRule="auto"/>
      </w:pPr>
      <w:r>
        <w:rPr>
          <w:rFonts w:ascii="Calibri" w:hAnsi="Calibri"/>
          <w:sz w:val="21"/>
        </w:rPr>
        <w:t>Discovery-question list for brokers/underwriters focused on evidence utility rather than asking for endorsement.</w:t>
      </w:r>
    </w:p>
    <w:p>
      <w:pPr>
        <w:pStyle w:val="Heading1"/>
        <w:keepNext/>
        <w:spacing w:before="160" w:after="80"/>
      </w:pPr>
      <w:r>
        <w:rPr>
          <w:rFonts w:ascii="Calibri" w:hAnsi="Calibri"/>
          <w:b/>
          <w:color w:val="1F4E79"/>
          <w:sz w:val="30"/>
        </w:rPr>
        <w:t>17. Final Strategic Positioning</w:t>
      </w:r>
    </w:p>
    <w:p>
      <w:pPr>
        <w:spacing w:after="80" w:line="259" w:lineRule="auto"/>
      </w:pPr>
      <w:r>
        <w:rPr>
          <w:rFonts w:ascii="Calibri" w:hAnsi="Calibri"/>
          <w:sz w:val="21"/>
        </w:rPr>
        <w:t>Laurelshield should not compete head-on with every insurer’s security team, every broker’s cyber advisory practice, every external rating platform, or every compliance certification. It should connect these worlds through a customer-controlled evidence layer.</w:t>
      </w:r>
    </w:p>
    <w:p>
      <w:pPr>
        <w:spacing w:after="80" w:line="259" w:lineRule="auto"/>
      </w:pPr>
      <w:r>
        <w:rPr>
          <w:rFonts w:ascii="Calibri" w:hAnsi="Calibri"/>
          <w:sz w:val="21"/>
        </w:rPr>
        <w:t>The final company thesis is:</w:t>
      </w:r>
    </w:p>
    <w:p>
      <w:pPr>
        <w:spacing w:before="100" w:after="160"/>
        <w:ind w:left="432" w:right="432"/>
      </w:pPr>
      <w:r>
        <w:rPr>
          <w:rFonts w:ascii="Calibri" w:hAnsi="Calibri"/>
          <w:b/>
          <w:color w:val="1F4E79"/>
          <w:sz w:val="23"/>
        </w:rPr>
        <w:t>Laurelshield independently verifies cybersecurity controls, binds the evidence to a defined scope, maintains evidence confidence and freshness over time, and enables the organization to securely demonstrate the same verified facts across participating insurance and risk counterparties without repeating the underlying technical assessment.</w:t>
      </w:r>
    </w:p>
    <w:p>
      <w:pPr>
        <w:spacing w:after="80" w:line="259" w:lineRule="auto"/>
      </w:pPr>
      <w:r>
        <w:rPr>
          <w:rFonts w:ascii="Calibri" w:hAnsi="Calibri"/>
          <w:sz w:val="21"/>
        </w:rPr>
        <w:t>The defendable moat is the ecosystem surrounding that promise: trusted evidence, carrier translations, continuous history, integrations, governance, outcomes, and network acceptance. Trademark and IP protection are important, but the strongest protection comes from making Laurelshield operationally useful to enough organizations, brokers, and insurers that a copycat must reproduce not just a product, but a functioning trust network.</w:t>
      </w:r>
    </w:p>
    <w:p>
      <w:pPr>
        <w:pStyle w:val="Heading1"/>
        <w:keepNext/>
        <w:spacing w:before="160" w:after="80"/>
      </w:pPr>
      <w:r>
        <w:rPr>
          <w:rFonts w:ascii="Calibri" w:hAnsi="Calibri"/>
          <w:b/>
          <w:color w:val="1F4E79"/>
          <w:sz w:val="30"/>
        </w:rPr>
        <w:t>References</w:t>
      </w:r>
    </w:p>
    <w:p>
      <w:pPr>
        <w:spacing w:after="80" w:line="259" w:lineRule="auto"/>
      </w:pPr>
      <w:r>
        <w:rPr>
          <w:rFonts w:ascii="Calibri" w:hAnsi="Calibri"/>
          <w:sz w:val="21"/>
        </w:rPr>
        <w:t>The following sources informed the competitive research, conformity-assessment discussion, and intellectual-property recommendations. Links are also embedded inline throughout the document. Accessed/verified for this research in September 2026 where noted by current web review.</w:t>
      </w:r>
    </w:p>
    <w:p>
      <w:pPr>
        <w:spacing w:after="60"/>
        <w:ind w:left="216" w:hanging="216"/>
      </w:pPr>
      <w:r>
        <w:rPr>
          <w:rFonts w:ascii="Calibri" w:hAnsi="Calibri"/>
          <w:sz w:val="19"/>
        </w:rPr>
        <w:t xml:space="preserve">[1] SPECTRA — Insure / cyber insurance certification. </w:t>
      </w:r>
      <w:hyperlink r:id="rId11">
        <w:r>
          <w:rPr>
            <w:rFonts w:ascii="Calibri" w:hAnsi="Calibri"/>
            <w:sz w:val="19"/>
            <w:szCs w:val="19"/>
            <w:color w:val="0563C1"/>
            <w:u w:val="single"/>
          </w:rPr>
          <w:t>https://spectracyber.com/insure</w:t>
        </w:r>
      </w:hyperlink>
    </w:p>
    <w:p>
      <w:pPr>
        <w:spacing w:after="60"/>
        <w:ind w:left="216" w:hanging="216"/>
      </w:pPr>
      <w:r>
        <w:rPr>
          <w:rFonts w:ascii="Calibri" w:hAnsi="Calibri"/>
          <w:sz w:val="19"/>
        </w:rPr>
        <w:t xml:space="preserve">[2] SPECTRA — Agent / broker workflow. </w:t>
      </w:r>
      <w:hyperlink r:id="rId25">
        <w:r>
          <w:rPr>
            <w:rFonts w:ascii="Calibri" w:hAnsi="Calibri"/>
            <w:sz w:val="19"/>
            <w:szCs w:val="19"/>
            <w:color w:val="0563C1"/>
            <w:u w:val="single"/>
          </w:rPr>
          <w:t>https://spectracyber.com/agent</w:t>
        </w:r>
      </w:hyperlink>
    </w:p>
    <w:p>
      <w:pPr>
        <w:spacing w:after="60"/>
        <w:ind w:left="216" w:hanging="216"/>
      </w:pPr>
      <w:r>
        <w:rPr>
          <w:rFonts w:ascii="Calibri" w:hAnsi="Calibri"/>
          <w:sz w:val="19"/>
        </w:rPr>
        <w:t xml:space="preserve">[3] SPECTRA — Partner Program. </w:t>
      </w:r>
      <w:hyperlink r:id="rId26">
        <w:r>
          <w:rPr>
            <w:rFonts w:ascii="Calibri" w:hAnsi="Calibri"/>
            <w:sz w:val="19"/>
            <w:szCs w:val="19"/>
            <w:color w:val="0563C1"/>
            <w:u w:val="single"/>
          </w:rPr>
          <w:t>https://spectracyber.com/partner-program</w:t>
        </w:r>
      </w:hyperlink>
    </w:p>
    <w:p>
      <w:pPr>
        <w:spacing w:after="60"/>
        <w:ind w:left="216" w:hanging="216"/>
      </w:pPr>
      <w:r>
        <w:rPr>
          <w:rFonts w:ascii="Calibri" w:hAnsi="Calibri"/>
          <w:sz w:val="19"/>
        </w:rPr>
        <w:t xml:space="preserve">[4] HITRUST — Cyber Insurance. </w:t>
      </w:r>
      <w:hyperlink r:id="rId12">
        <w:r>
          <w:rPr>
            <w:rFonts w:ascii="Calibri" w:hAnsi="Calibri"/>
            <w:sz w:val="19"/>
            <w:szCs w:val="19"/>
            <w:color w:val="0563C1"/>
            <w:u w:val="single"/>
          </w:rPr>
          <w:t>https://hitrustalliance.net/cyber-insurance</w:t>
        </w:r>
      </w:hyperlink>
    </w:p>
    <w:p>
      <w:pPr>
        <w:spacing w:after="60"/>
        <w:ind w:left="216" w:hanging="216"/>
      </w:pPr>
      <w:r>
        <w:rPr>
          <w:rFonts w:ascii="Calibri" w:hAnsi="Calibri"/>
          <w:sz w:val="19"/>
        </w:rPr>
        <w:t xml:space="preserve">[5] HITRUST — Cyber Insurance / Shared Risk Facility. </w:t>
      </w:r>
      <w:hyperlink r:id="rId13">
        <w:r>
          <w:rPr>
            <w:rFonts w:ascii="Calibri" w:hAnsi="Calibri"/>
            <w:sz w:val="19"/>
            <w:szCs w:val="19"/>
            <w:color w:val="0563C1"/>
            <w:u w:val="single"/>
          </w:rPr>
          <w:t>https://info.hitrustalliance.net/cyberinsurance</w:t>
        </w:r>
      </w:hyperlink>
    </w:p>
    <w:p>
      <w:pPr>
        <w:spacing w:after="60"/>
        <w:ind w:left="216" w:hanging="216"/>
      </w:pPr>
      <w:r>
        <w:rPr>
          <w:rFonts w:ascii="Calibri" w:hAnsi="Calibri"/>
          <w:sz w:val="19"/>
        </w:rPr>
        <w:t xml:space="preserve">[6] CyberCube — Prep Module. </w:t>
      </w:r>
      <w:hyperlink r:id="rId14">
        <w:r>
          <w:rPr>
            <w:rFonts w:ascii="Calibri" w:hAnsi="Calibri"/>
            <w:sz w:val="19"/>
            <w:szCs w:val="19"/>
            <w:color w:val="0563C1"/>
            <w:u w:val="single"/>
          </w:rPr>
          <w:t>https://www.cybcube.com/prep-module</w:t>
        </w:r>
      </w:hyperlink>
    </w:p>
    <w:p>
      <w:pPr>
        <w:spacing w:after="60"/>
        <w:ind w:left="216" w:hanging="216"/>
      </w:pPr>
      <w:r>
        <w:rPr>
          <w:rFonts w:ascii="Calibri" w:hAnsi="Calibri"/>
          <w:sz w:val="19"/>
        </w:rPr>
        <w:t xml:space="preserve">[7] CyberCube — Cyber risk analytics platform. </w:t>
      </w:r>
      <w:hyperlink r:id="rId28">
        <w:r>
          <w:rPr>
            <w:rFonts w:ascii="Calibri" w:hAnsi="Calibri"/>
            <w:sz w:val="19"/>
            <w:szCs w:val="19"/>
            <w:color w:val="0563C1"/>
            <w:u w:val="single"/>
          </w:rPr>
          <w:t>https://www.cybcube.com/</w:t>
        </w:r>
      </w:hyperlink>
    </w:p>
    <w:p>
      <w:pPr>
        <w:spacing w:after="60"/>
        <w:ind w:left="216" w:hanging="216"/>
      </w:pPr>
      <w:r>
        <w:rPr>
          <w:rFonts w:ascii="Calibri" w:hAnsi="Calibri"/>
          <w:sz w:val="19"/>
        </w:rPr>
        <w:t xml:space="preserve">[8] Bitsight — Cyber Insurance. </w:t>
      </w:r>
      <w:hyperlink r:id="rId15">
        <w:r>
          <w:rPr>
            <w:rFonts w:ascii="Calibri" w:hAnsi="Calibri"/>
            <w:sz w:val="19"/>
            <w:szCs w:val="19"/>
            <w:color w:val="0563C1"/>
            <w:u w:val="single"/>
          </w:rPr>
          <w:t>https://www.bitsight.com/products/bitsight-for-cyber-insurance</w:t>
        </w:r>
      </w:hyperlink>
    </w:p>
    <w:p>
      <w:pPr>
        <w:spacing w:after="60"/>
        <w:ind w:left="216" w:hanging="216"/>
      </w:pPr>
      <w:r>
        <w:rPr>
          <w:rFonts w:ascii="Calibri" w:hAnsi="Calibri"/>
          <w:sz w:val="19"/>
        </w:rPr>
        <w:t xml:space="preserve">[9] SecurityScorecard — What is SecurityScorecard?. </w:t>
      </w:r>
      <w:hyperlink r:id="rId16">
        <w:r>
          <w:rPr>
            <w:rFonts w:ascii="Calibri" w:hAnsi="Calibri"/>
            <w:sz w:val="19"/>
            <w:szCs w:val="19"/>
            <w:color w:val="0563C1"/>
            <w:u w:val="single"/>
          </w:rPr>
          <w:t>https://support.securityscorecard.com/hc/en-us/articles/360059104512-What-is-SecurityScorecard</w:t>
        </w:r>
      </w:hyperlink>
    </w:p>
    <w:p>
      <w:pPr>
        <w:spacing w:after="60"/>
        <w:ind w:left="216" w:hanging="216"/>
      </w:pPr>
      <w:r>
        <w:rPr>
          <w:rFonts w:ascii="Calibri" w:hAnsi="Calibri"/>
          <w:sz w:val="19"/>
        </w:rPr>
        <w:t xml:space="preserve">[10] Black Kite — Cyber Risk for Insurance. </w:t>
      </w:r>
      <w:hyperlink r:id="rId17">
        <w:r>
          <w:rPr>
            <w:rFonts w:ascii="Calibri" w:hAnsi="Calibri"/>
            <w:sz w:val="19"/>
            <w:szCs w:val="19"/>
            <w:color w:val="0563C1"/>
            <w:u w:val="single"/>
          </w:rPr>
          <w:t>https://blackkite.com/industry/insurance</w:t>
        </w:r>
      </w:hyperlink>
    </w:p>
    <w:p>
      <w:pPr>
        <w:spacing w:after="60"/>
        <w:ind w:left="216" w:hanging="216"/>
      </w:pPr>
      <w:r>
        <w:rPr>
          <w:rFonts w:ascii="Calibri" w:hAnsi="Calibri"/>
          <w:sz w:val="19"/>
        </w:rPr>
        <w:t xml:space="preserve">[11] CyberSurance Canada — CRC / insurability readiness program. </w:t>
      </w:r>
      <w:hyperlink r:id="rId18">
        <w:r>
          <w:rPr>
            <w:rFonts w:ascii="Calibri" w:hAnsi="Calibri"/>
            <w:sz w:val="19"/>
            <w:szCs w:val="19"/>
            <w:color w:val="0563C1"/>
            <w:u w:val="single"/>
          </w:rPr>
          <w:t>https://www.cybersurance.ca/service-portfolio/cybersurance-crc-program</w:t>
        </w:r>
      </w:hyperlink>
    </w:p>
    <w:p>
      <w:pPr>
        <w:spacing w:after="60"/>
        <w:ind w:left="216" w:hanging="216"/>
      </w:pPr>
      <w:r>
        <w:rPr>
          <w:rFonts w:ascii="Calibri" w:hAnsi="Calibri"/>
          <w:sz w:val="19"/>
        </w:rPr>
        <w:t xml:space="preserve">[12] UK NCSC — Cyber Essentials Overview. </w:t>
      </w:r>
      <w:hyperlink r:id="rId19">
        <w:r>
          <w:rPr>
            <w:rFonts w:ascii="Calibri" w:hAnsi="Calibri"/>
            <w:sz w:val="19"/>
            <w:szCs w:val="19"/>
            <w:color w:val="0563C1"/>
            <w:u w:val="single"/>
          </w:rPr>
          <w:t>https://www.ncsc.gov.uk/cyberessentials/overview</w:t>
        </w:r>
      </w:hyperlink>
    </w:p>
    <w:p>
      <w:pPr>
        <w:spacing w:after="60"/>
        <w:ind w:left="216" w:hanging="216"/>
      </w:pPr>
      <w:r>
        <w:rPr>
          <w:rFonts w:ascii="Calibri" w:hAnsi="Calibri"/>
          <w:sz w:val="19"/>
        </w:rPr>
        <w:t xml:space="preserve">[13] CIPO — Trademarks Guide. </w:t>
      </w:r>
      <w:hyperlink r:id="rId23">
        <w:r>
          <w:rPr>
            <w:rFonts w:ascii="Calibri" w:hAnsi="Calibri"/>
            <w:sz w:val="19"/>
            <w:szCs w:val="19"/>
            <w:color w:val="0563C1"/>
            <w:u w:val="single"/>
          </w:rPr>
          <w:t>https://ised-isde.canada.ca/site/canadian-intellectual-property-office/en/trademarks/trademarks-guide</w:t>
        </w:r>
      </w:hyperlink>
    </w:p>
    <w:p>
      <w:pPr>
        <w:spacing w:after="60"/>
        <w:ind w:left="216" w:hanging="216"/>
      </w:pPr>
      <w:r>
        <w:rPr>
          <w:rFonts w:ascii="Calibri" w:hAnsi="Calibri"/>
          <w:sz w:val="19"/>
        </w:rPr>
        <w:t xml:space="preserve">[14] CIPO — The power of certification marks. </w:t>
      </w:r>
      <w:hyperlink r:id="rId43">
        <w:r>
          <w:rPr>
            <w:rFonts w:ascii="Calibri" w:hAnsi="Calibri"/>
            <w:sz w:val="19"/>
            <w:szCs w:val="19"/>
            <w:color w:val="0563C1"/>
            <w:u w:val="single"/>
          </w:rPr>
          <w:t>https://ised-isde.canada.ca/site/canadian-intellectual-property-office/en/corporate-information/canadian-ip-voices-podcast-case-studies-and-blog/stamped-excellence-power-certification-marks</w:t>
        </w:r>
      </w:hyperlink>
    </w:p>
    <w:p>
      <w:pPr>
        <w:spacing w:after="60"/>
        <w:ind w:left="216" w:hanging="216"/>
      </w:pPr>
      <w:r>
        <w:rPr>
          <w:rFonts w:ascii="Calibri" w:hAnsi="Calibri"/>
          <w:sz w:val="19"/>
        </w:rPr>
        <w:t xml:space="preserve">[15] Canada — Trademarks Act. </w:t>
      </w:r>
      <w:hyperlink r:id="rId44">
        <w:r>
          <w:rPr>
            <w:rFonts w:ascii="Calibri" w:hAnsi="Calibri"/>
            <w:sz w:val="19"/>
            <w:szCs w:val="19"/>
            <w:color w:val="0563C1"/>
            <w:u w:val="single"/>
          </w:rPr>
          <w:t>https://laws.justice.gc.ca/eng/acts/T-13/page-1.html</w:t>
        </w:r>
      </w:hyperlink>
    </w:p>
    <w:p>
      <w:pPr>
        <w:spacing w:after="60"/>
        <w:ind w:left="216" w:hanging="216"/>
      </w:pPr>
      <w:r>
        <w:rPr>
          <w:rFonts w:ascii="Calibri" w:hAnsi="Calibri"/>
          <w:sz w:val="19"/>
        </w:rPr>
        <w:t xml:space="preserve">[16] Government of Canada — About copyright. </w:t>
      </w:r>
      <w:hyperlink r:id="rId38">
        <w:r>
          <w:rPr>
            <w:rFonts w:ascii="Calibri" w:hAnsi="Calibri"/>
            <w:sz w:val="19"/>
            <w:szCs w:val="19"/>
            <w:color w:val="0563C1"/>
            <w:u w:val="single"/>
          </w:rPr>
          <w:t>https://ised-isde.canada.ca/site/ised/en/about-copyright</w:t>
        </w:r>
      </w:hyperlink>
    </w:p>
    <w:p>
      <w:pPr>
        <w:spacing w:after="60"/>
        <w:ind w:left="216" w:hanging="216"/>
      </w:pPr>
      <w:r>
        <w:rPr>
          <w:rFonts w:ascii="Calibri" w:hAnsi="Calibri"/>
          <w:sz w:val="19"/>
        </w:rPr>
        <w:t xml:space="preserve">[17] CIPO — Registration of copyright, filing online. </w:t>
      </w:r>
      <w:hyperlink r:id="rId46">
        <w:r>
          <w:rPr>
            <w:rFonts w:ascii="Calibri" w:hAnsi="Calibri"/>
            <w:sz w:val="19"/>
            <w:szCs w:val="19"/>
            <w:color w:val="0563C1"/>
            <w:u w:val="single"/>
          </w:rPr>
          <w:t>https://ised-isde.canada.ca/site/canadian-intellectual-property-office/en/copyright/registration-copyright-filing-online</w:t>
        </w:r>
      </w:hyperlink>
    </w:p>
    <w:p>
      <w:pPr>
        <w:spacing w:after="60"/>
        <w:ind w:left="216" w:hanging="216"/>
      </w:pPr>
      <w:r>
        <w:rPr>
          <w:rFonts w:ascii="Calibri" w:hAnsi="Calibri"/>
          <w:sz w:val="19"/>
        </w:rPr>
        <w:t xml:space="preserve">[18] CIPO — What is a trade secret?. </w:t>
      </w:r>
      <w:hyperlink r:id="rId39">
        <w:r>
          <w:rPr>
            <w:rFonts w:ascii="Calibri" w:hAnsi="Calibri"/>
            <w:sz w:val="19"/>
            <w:szCs w:val="19"/>
            <w:color w:val="0563C1"/>
            <w:u w:val="single"/>
          </w:rPr>
          <w:t>https://ised-isde.canada.ca/site/canadian-intellectual-property-office/en/what-intellectual-property/what-trade-secret</w:t>
        </w:r>
      </w:hyperlink>
    </w:p>
    <w:p>
      <w:pPr>
        <w:spacing w:after="60"/>
        <w:ind w:left="216" w:hanging="216"/>
      </w:pPr>
      <w:r>
        <w:rPr>
          <w:rFonts w:ascii="Calibri" w:hAnsi="Calibri"/>
          <w:sz w:val="19"/>
        </w:rPr>
        <w:t xml:space="preserve">[19] CIPO — March 2026 Practice Notice on Patentable Subject-Matter. </w:t>
      </w:r>
      <w:hyperlink r:id="rId40">
        <w:r>
          <w:rPr>
            <w:rFonts w:ascii="Calibri" w:hAnsi="Calibri"/>
            <w:sz w:val="19"/>
            <w:szCs w:val="19"/>
            <w:color w:val="0563C1"/>
            <w:u w:val="single"/>
          </w:rPr>
          <w:t>https://ised-isde.canada.ca/site/canadian-intellectual-property-office/en/march-2026-practice-notice-patentable-subject-matter-under-patent-act</w:t>
        </w:r>
      </w:hyperlink>
    </w:p>
    <w:p>
      <w:pPr>
        <w:spacing w:after="60"/>
        <w:ind w:left="216" w:hanging="216"/>
      </w:pPr>
      <w:r>
        <w:rPr>
          <w:rFonts w:ascii="Calibri" w:hAnsi="Calibri"/>
          <w:sz w:val="19"/>
        </w:rPr>
        <w:t xml:space="preserve">[20] WIPO — Frequently Asked Questions: Patents. </w:t>
      </w:r>
      <w:hyperlink r:id="rId41">
        <w:r>
          <w:rPr>
            <w:rFonts w:ascii="Calibri" w:hAnsi="Calibri"/>
            <w:sz w:val="19"/>
            <w:szCs w:val="19"/>
            <w:color w:val="0563C1"/>
            <w:u w:val="single"/>
          </w:rPr>
          <w:t>https://www.wipo.int/en/web/patents/faq_patents</w:t>
        </w:r>
      </w:hyperlink>
    </w:p>
    <w:p>
      <w:pPr>
        <w:spacing w:after="60"/>
        <w:ind w:left="216" w:hanging="216"/>
      </w:pPr>
      <w:r>
        <w:rPr>
          <w:rFonts w:ascii="Calibri" w:hAnsi="Calibri"/>
          <w:sz w:val="19"/>
        </w:rPr>
        <w:t xml:space="preserve">[21] WIPO — Madrid System: Filing International Trademark Applications. </w:t>
      </w:r>
      <w:hyperlink r:id="rId42">
        <w:r>
          <w:rPr>
            <w:rFonts w:ascii="Calibri" w:hAnsi="Calibri"/>
            <w:sz w:val="19"/>
            <w:szCs w:val="19"/>
            <w:color w:val="0563C1"/>
            <w:u w:val="single"/>
          </w:rPr>
          <w:t>https://www.wipo.int/en/web/madrid-system/how_to/file/index</w:t>
        </w:r>
      </w:hyperlink>
    </w:p>
    <w:p>
      <w:pPr>
        <w:spacing w:after="60"/>
        <w:ind w:left="216" w:hanging="216"/>
      </w:pPr>
      <w:r>
        <w:rPr>
          <w:rFonts w:ascii="Calibri" w:hAnsi="Calibri"/>
          <w:sz w:val="19"/>
        </w:rPr>
        <w:t xml:space="preserve">[22] ISO — ISO/IEC 17029:2019 Validation and verification bodies. </w:t>
      </w:r>
      <w:hyperlink r:id="rId34">
        <w:r>
          <w:rPr>
            <w:rFonts w:ascii="Calibri" w:hAnsi="Calibri"/>
            <w:sz w:val="19"/>
            <w:szCs w:val="19"/>
            <w:color w:val="0563C1"/>
            <w:u w:val="single"/>
          </w:rPr>
          <w:t>https://www.iso.org/standard/29352.html</w:t>
        </w:r>
      </w:hyperlink>
    </w:p>
    <w:p>
      <w:pPr>
        <w:spacing w:after="60"/>
        <w:ind w:left="216" w:hanging="216"/>
      </w:pPr>
      <w:r>
        <w:rPr>
          <w:rFonts w:ascii="Calibri" w:hAnsi="Calibri"/>
          <w:sz w:val="19"/>
        </w:rPr>
        <w:t xml:space="preserve">[23] ISO — ISO/IEC 17065:2012 Certification bodies. </w:t>
      </w:r>
      <w:hyperlink r:id="rId35">
        <w:r>
          <w:rPr>
            <w:rFonts w:ascii="Calibri" w:hAnsi="Calibri"/>
            <w:sz w:val="19"/>
            <w:szCs w:val="19"/>
            <w:color w:val="0563C1"/>
            <w:u w:val="single"/>
          </w:rPr>
          <w:t>https://www.iso.org/standard/46568.html</w:t>
        </w:r>
      </w:hyperlink>
    </w:p>
    <w:p>
      <w:pPr>
        <w:spacing w:after="60"/>
        <w:ind w:left="216" w:hanging="216"/>
      </w:pPr>
      <w:r>
        <w:rPr>
          <w:rFonts w:ascii="Calibri" w:hAnsi="Calibri"/>
          <w:sz w:val="19"/>
        </w:rPr>
        <w:t xml:space="preserve">[24] ISO — Conformity assessment overview. </w:t>
      </w:r>
      <w:hyperlink r:id="rId36">
        <w:r>
          <w:rPr>
            <w:rFonts w:ascii="Calibri" w:hAnsi="Calibri"/>
            <w:sz w:val="19"/>
            <w:szCs w:val="19"/>
            <w:color w:val="0563C1"/>
            <w:u w:val="single"/>
          </w:rPr>
          <w:t>https://www.iso.org/conformity-assessment.html</w:t>
        </w:r>
      </w:hyperlink>
    </w:p>
    <w:p>
      <w:pPr>
        <w:spacing w:after="60"/>
        <w:ind w:left="216" w:hanging="216"/>
      </w:pPr>
      <w:r>
        <w:rPr>
          <w:rFonts w:ascii="Calibri" w:hAnsi="Calibri"/>
          <w:sz w:val="19"/>
        </w:rPr>
        <w:t xml:space="preserve">[25] CIPO — Canadian Trademarks Database. </w:t>
      </w:r>
      <w:hyperlink r:id="rId24">
        <w:r>
          <w:rPr>
            <w:rFonts w:ascii="Calibri" w:hAnsi="Calibri"/>
            <w:sz w:val="19"/>
            <w:szCs w:val="19"/>
            <w:color w:val="0563C1"/>
            <w:u w:val="single"/>
          </w:rPr>
          <w:t>https://ised-isde.canada.ca/cipo/trademark-search/srch?lang=eng</w:t>
        </w:r>
      </w:hyperlink>
    </w:p>
    <w:p>
      <w:pPr>
        <w:spacing w:after="60"/>
        <w:ind w:left="216" w:hanging="216"/>
      </w:pPr>
      <w:r>
        <w:rPr>
          <w:rFonts w:ascii="Calibri" w:hAnsi="Calibri"/>
          <w:sz w:val="19"/>
        </w:rPr>
        <w:t xml:space="preserve">[26] Verify Once — reusable identity verification. </w:t>
      </w:r>
      <w:hyperlink r:id="rId20">
        <w:r>
          <w:rPr>
            <w:rFonts w:ascii="Calibri" w:hAnsi="Calibri"/>
            <w:sz w:val="19"/>
            <w:szCs w:val="19"/>
            <w:color w:val="0563C1"/>
            <w:u w:val="single"/>
          </w:rPr>
          <w:t>https://verifyonce.com/</w:t>
        </w:r>
      </w:hyperlink>
    </w:p>
    <w:p>
      <w:pPr>
        <w:spacing w:after="60"/>
        <w:ind w:left="216" w:hanging="216"/>
      </w:pPr>
      <w:r>
        <w:rPr>
          <w:rFonts w:ascii="Calibri" w:hAnsi="Calibri"/>
          <w:sz w:val="19"/>
        </w:rPr>
        <w:t xml:space="preserve">[27] Interac — Verified Credential Service. </w:t>
      </w:r>
      <w:hyperlink r:id="rId21">
        <w:r>
          <w:rPr>
            <w:rFonts w:ascii="Calibri" w:hAnsi="Calibri"/>
            <w:sz w:val="19"/>
            <w:szCs w:val="19"/>
            <w:color w:val="0563C1"/>
            <w:u w:val="single"/>
          </w:rPr>
          <w:t>https://www.interac.ca/en/verification/business/interac-verified-credential-service/</w:t>
        </w:r>
      </w:hyperlink>
    </w:p>
    <w:p>
      <w:pPr>
        <w:spacing w:after="60"/>
        <w:ind w:left="216" w:hanging="216"/>
      </w:pPr>
      <w:r>
        <w:rPr>
          <w:rFonts w:ascii="Calibri" w:hAnsi="Calibri"/>
          <w:sz w:val="19"/>
        </w:rPr>
        <w:t xml:space="preserve">[28] Entrust — Identity Verification. </w:t>
      </w:r>
      <w:hyperlink r:id="rId22">
        <w:r>
          <w:rPr>
            <w:rFonts w:ascii="Calibri" w:hAnsi="Calibri"/>
            <w:sz w:val="19"/>
            <w:szCs w:val="19"/>
            <w:color w:val="0563C1"/>
            <w:u w:val="single"/>
          </w:rPr>
          <w:t>https://www.entrust.com/products/identity-verification</w:t>
        </w:r>
      </w:hyperlink>
    </w:p>
    <w:p>
      <w:pPr>
        <w:spacing w:after="60"/>
        <w:ind w:left="216" w:hanging="216"/>
      </w:pPr>
      <w:r>
        <w:rPr>
          <w:rFonts w:ascii="Calibri" w:hAnsi="Calibri"/>
          <w:sz w:val="19"/>
        </w:rPr>
        <w:t xml:space="preserve">[29] Coalition Canada — Security Teams / cyber risk assessment and insurability. </w:t>
      </w:r>
      <w:hyperlink r:id="rId29">
        <w:r>
          <w:rPr>
            <w:rFonts w:ascii="Calibri" w:hAnsi="Calibri"/>
            <w:sz w:val="19"/>
            <w:szCs w:val="19"/>
            <w:color w:val="0563C1"/>
            <w:u w:val="single"/>
          </w:rPr>
          <w:t>https://www.coalitioninc.com/en-ca/security/teams</w:t>
        </w:r>
      </w:hyperlink>
    </w:p>
    <w:p>
      <w:pPr>
        <w:spacing w:after="60"/>
        <w:ind w:left="216" w:hanging="216"/>
      </w:pPr>
      <w:r>
        <w:rPr>
          <w:rFonts w:ascii="Calibri" w:hAnsi="Calibri"/>
          <w:sz w:val="19"/>
        </w:rPr>
        <w:t xml:space="preserve">[30] CFC — Proactive cyber services enhancements. </w:t>
      </w:r>
      <w:hyperlink r:id="rId30">
        <w:r>
          <w:rPr>
            <w:rFonts w:ascii="Calibri" w:hAnsi="Calibri"/>
            <w:sz w:val="19"/>
            <w:szCs w:val="19"/>
            <w:color w:val="0563C1"/>
            <w:u w:val="single"/>
          </w:rPr>
          <w:t>https://www.cfc.com/en-us/knowledge/resources/articles/2025/03/cyber-product-enhancements-proactive-services/</w:t>
        </w:r>
      </w:hyperlink>
    </w:p>
    <w:p>
      <w:pPr>
        <w:spacing w:after="60"/>
        <w:ind w:left="216" w:hanging="216"/>
      </w:pPr>
      <w:r>
        <w:rPr>
          <w:rFonts w:ascii="Calibri" w:hAnsi="Calibri"/>
          <w:sz w:val="19"/>
        </w:rPr>
        <w:t xml:space="preserve">[31] BOXX Canada — Small Business Cyber Insurance and Security. </w:t>
      </w:r>
      <w:hyperlink r:id="rId31">
        <w:r>
          <w:rPr>
            <w:rFonts w:ascii="Calibri" w:hAnsi="Calibri"/>
            <w:sz w:val="19"/>
            <w:szCs w:val="19"/>
            <w:color w:val="0563C1"/>
            <w:u w:val="single"/>
          </w:rPr>
          <w:t>https://boxxinsurance.com/ca/en/products-services-cyber-insurance-small-business/</w:t>
        </w:r>
      </w:hyperlink>
    </w:p>
    <w:p>
      <w:pPr>
        <w:spacing w:after="60"/>
        <w:ind w:left="216" w:hanging="216"/>
      </w:pPr>
      <w:r>
        <w:rPr>
          <w:rFonts w:ascii="Calibri" w:hAnsi="Calibri"/>
          <w:sz w:val="19"/>
        </w:rPr>
        <w:t xml:space="preserve">[32] Berkley — Cyber Risk Solutions. </w:t>
      </w:r>
      <w:hyperlink r:id="rId32">
        <w:r>
          <w:rPr>
            <w:rFonts w:ascii="Calibri" w:hAnsi="Calibri"/>
            <w:sz w:val="19"/>
            <w:szCs w:val="19"/>
            <w:color w:val="0563C1"/>
            <w:u w:val="single"/>
          </w:rPr>
          <w:t>https://www.berkley.com/business-insurance/cyber</w:t>
        </w:r>
      </w:hyperlink>
    </w:p>
    <w:p>
      <w:pPr>
        <w:spacing w:after="60"/>
        <w:ind w:left="216" w:hanging="216"/>
      </w:pPr>
      <w:r>
        <w:rPr>
          <w:rFonts w:ascii="Calibri" w:hAnsi="Calibri"/>
          <w:sz w:val="19"/>
        </w:rPr>
        <w:t xml:space="preserve">[33] AXA XL — Cyber Risk Consulting. </w:t>
      </w:r>
      <w:hyperlink r:id="rId33">
        <w:r>
          <w:rPr>
            <w:rFonts w:ascii="Calibri" w:hAnsi="Calibri"/>
            <w:sz w:val="19"/>
            <w:szCs w:val="19"/>
            <w:color w:val="0563C1"/>
            <w:u w:val="single"/>
          </w:rPr>
          <w:t>https://axaxl.com/insurance/products/cyber-risk-consulting</w:t>
        </w:r>
      </w:hyperlink>
    </w:p>
    <w:p>
      <w:pPr>
        <w:spacing w:after="60"/>
        <w:ind w:left="216" w:hanging="216"/>
      </w:pPr>
      <w:r>
        <w:rPr>
          <w:rFonts w:ascii="Calibri" w:hAnsi="Calibri"/>
          <w:sz w:val="19"/>
        </w:rPr>
        <w:t xml:space="preserve">[34] Aon — Carrier-Aligned Security Assessment. </w:t>
      </w:r>
      <w:hyperlink r:id="rId47">
        <w:r>
          <w:rPr>
            <w:rFonts w:ascii="Calibri" w:hAnsi="Calibri"/>
            <w:sz w:val="19"/>
            <w:szCs w:val="19"/>
            <w:color w:val="0563C1"/>
            <w:u w:val="single"/>
          </w:rPr>
          <w:t>https://www.aon.com/en/capabilities/cyber-resilience/carrier-aligned-security-assessment</w:t>
        </w:r>
      </w:hyperlink>
    </w:p>
    <w:p>
      <w:pPr>
        <w:spacing w:after="60"/>
        <w:ind w:left="216" w:hanging="216"/>
      </w:pPr>
      <w:r>
        <w:rPr>
          <w:rFonts w:ascii="Calibri" w:hAnsi="Calibri"/>
          <w:sz w:val="19"/>
        </w:rPr>
        <w:t xml:space="preserve">[35] Aon — Cyber Quotient Evaluation. </w:t>
      </w:r>
      <w:hyperlink r:id="rId48">
        <w:r>
          <w:rPr>
            <w:rFonts w:ascii="Calibri" w:hAnsi="Calibri"/>
            <w:sz w:val="19"/>
            <w:szCs w:val="19"/>
            <w:color w:val="0563C1"/>
            <w:u w:val="single"/>
          </w:rPr>
          <w:t>https://www.aon.com/en/capabilities/cyber-resilience/cyber-quotient-evaluation</w:t>
        </w:r>
      </w:hyperlink>
    </w:p>
    <w:p>
      <w:pPr>
        <w:spacing w:after="60"/>
        <w:ind w:left="216" w:hanging="216"/>
      </w:pPr>
      <w:r>
        <w:rPr>
          <w:rFonts w:ascii="Calibri" w:hAnsi="Calibri"/>
          <w:sz w:val="19"/>
        </w:rPr>
        <w:t xml:space="preserve">[36] CIPO — Certification mark template / defined standard. </w:t>
      </w:r>
      <w:hyperlink r:id="rId45">
        <w:r>
          <w:rPr>
            <w:rFonts w:ascii="Calibri" w:hAnsi="Calibri"/>
            <w:sz w:val="19"/>
            <w:szCs w:val="19"/>
            <w:color w:val="0563C1"/>
            <w:u w:val="single"/>
          </w:rPr>
          <w:t>https://ised-isde.canada.ca/site/canadian-intellectual-property-office/en/template-certification-mark-used-canada</w:t>
        </w:r>
      </w:hyperlink>
    </w:p>
    <w:p>
      <w:pPr>
        <w:spacing w:after="60"/>
        <w:ind w:left="216" w:hanging="216"/>
      </w:pPr>
      <w:r>
        <w:rPr>
          <w:rFonts w:ascii="Calibri" w:hAnsi="Calibri"/>
          <w:sz w:val="19"/>
        </w:rPr>
        <w:t xml:space="preserve">[37] ISO/CASCO — Certification bodies and ISO/IEC 17065 scheme requirements. </w:t>
      </w:r>
      <w:hyperlink r:id="rId37">
        <w:r>
          <w:rPr>
            <w:rFonts w:ascii="Calibri" w:hAnsi="Calibri"/>
            <w:sz w:val="19"/>
            <w:szCs w:val="19"/>
            <w:color w:val="0563C1"/>
            <w:u w:val="single"/>
          </w:rPr>
          <w:t>https://committee.iso.org/bodies.html</w:t>
        </w:r>
      </w:hyperlink>
    </w:p>
    <w:p>
      <w:pPr>
        <w:spacing w:after="60"/>
        <w:ind w:left="216" w:hanging="216"/>
      </w:pPr>
      <w:r>
        <w:rPr>
          <w:rFonts w:ascii="Calibri" w:hAnsi="Calibri"/>
          <w:sz w:val="19"/>
        </w:rPr>
        <w:t xml:space="preserve">[38] HITRUST — 2025 Trust Report / cybersecurity outcomes. </w:t>
      </w:r>
      <w:hyperlink r:id="rId27">
        <w:r>
          <w:rPr>
            <w:rFonts w:ascii="Calibri" w:hAnsi="Calibri"/>
            <w:sz w:val="19"/>
            <w:szCs w:val="19"/>
            <w:color w:val="0563C1"/>
            <w:u w:val="single"/>
          </w:rPr>
          <w:t>https://hitrustalliance.net/press-releases/hitrust-2025-trust-report-demonstrates-improved-cybersecurity-outcomes-for-certified-organizations</w:t>
        </w:r>
      </w:hyperlink>
    </w:p>
    <w:p>
      <w:pPr>
        <w:pStyle w:val="Heading1"/>
        <w:keepNext/>
        <w:spacing w:before="160" w:after="80"/>
      </w:pPr>
      <w:r>
        <w:rPr>
          <w:rFonts w:ascii="Calibri" w:hAnsi="Calibri"/>
          <w:b/>
          <w:color w:val="1F4E79"/>
          <w:sz w:val="30"/>
        </w:rPr>
        <w:t>Appendix A — Sample Passport Evidence Claim</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val="true"/>
        </w:trPr>
        <w:tc>
          <w:tcPr>
            <w:tcW w:type="dxa" w:w="5083"/>
            <w:vAlign w:val="top"/>
            <w:shd w:fill="D9EAF7"/>
            <w:tcMar>
              <w:top w:w="70" w:type="dxa"/>
              <w:left w:w="80" w:type="dxa"/>
              <w:bottom w:w="70" w:type="dxa"/>
              <w:right w:w="80" w:type="dxa"/>
            </w:tcMar>
          </w:tcPr>
          <w:p>
            <w:pPr>
              <w:spacing w:after="0" w:line="240" w:lineRule="auto"/>
            </w:pPr>
            <w:r/>
            <w:r>
              <w:rPr>
                <w:rFonts w:ascii="Calibri" w:hAnsi="Calibri"/>
                <w:b/>
                <w:sz w:val="19"/>
              </w:rPr>
              <w:t>Field</w:t>
            </w:r>
          </w:p>
        </w:tc>
        <w:tc>
          <w:tcPr>
            <w:tcW w:type="dxa" w:w="5083"/>
            <w:vAlign w:val="top"/>
            <w:shd w:fill="D9EAF7"/>
            <w:tcMar>
              <w:top w:w="70" w:type="dxa"/>
              <w:left w:w="80" w:type="dxa"/>
              <w:bottom w:w="70" w:type="dxa"/>
              <w:right w:w="80" w:type="dxa"/>
            </w:tcMar>
          </w:tcPr>
          <w:p>
            <w:pPr>
              <w:spacing w:after="0" w:line="240" w:lineRule="auto"/>
            </w:pPr>
            <w:r/>
            <w:r>
              <w:rPr>
                <w:rFonts w:ascii="Calibri" w:hAnsi="Calibri"/>
                <w:b/>
                <w:sz w:val="19"/>
              </w:rPr>
              <w:t>Illustrative Value</w:t>
            </w:r>
          </w:p>
        </w:tc>
      </w:tr>
      <w:tr>
        <w:trPr>
          <w:cantSplit w:val="true"/>
        </w:trPr>
        <w:tc>
          <w:tcPr>
            <w:tcW w:type="dxa" w:w="5083"/>
            <w:vAlign w:val="top"/>
            <w:tcMar>
              <w:top w:w="70" w:type="dxa"/>
              <w:left w:w="80" w:type="dxa"/>
              <w:bottom w:w="70" w:type="dxa"/>
              <w:right w:w="80" w:type="dxa"/>
            </w:tcMar>
          </w:tcPr>
          <w:p>
            <w:pPr>
              <w:spacing w:after="0" w:line="240" w:lineRule="auto"/>
            </w:pPr>
            <w:r/>
            <w:r>
              <w:rPr>
                <w:rFonts w:ascii="Calibri" w:hAnsi="Calibri"/>
                <w:b w:val="0"/>
                <w:sz w:val="19"/>
              </w:rPr>
              <w:t>Control</w:t>
            </w:r>
          </w:p>
        </w:tc>
        <w:tc>
          <w:tcPr>
            <w:tcW w:type="dxa" w:w="5083"/>
            <w:vAlign w:val="top"/>
            <w:tcMar>
              <w:top w:w="70" w:type="dxa"/>
              <w:left w:w="80" w:type="dxa"/>
              <w:bottom w:w="70" w:type="dxa"/>
              <w:right w:w="80" w:type="dxa"/>
            </w:tcMar>
          </w:tcPr>
          <w:p>
            <w:pPr>
              <w:spacing w:after="0" w:line="240" w:lineRule="auto"/>
            </w:pPr>
            <w:r/>
            <w:r>
              <w:rPr>
                <w:rFonts w:ascii="Calibri" w:hAnsi="Calibri"/>
                <w:b w:val="0"/>
                <w:sz w:val="19"/>
              </w:rPr>
              <w:t>LS-ID-101 — Privileged Authentication MFA</w:t>
            </w:r>
          </w:p>
        </w:tc>
      </w:tr>
      <w:tr>
        <w:trPr>
          <w:cantSplit w:val="true"/>
        </w:trPr>
        <w:tc>
          <w:tcPr>
            <w:tcW w:type="dxa" w:w="5083"/>
            <w:vAlign w:val="top"/>
            <w:tcMar>
              <w:top w:w="70" w:type="dxa"/>
              <w:left w:w="80" w:type="dxa"/>
              <w:bottom w:w="70" w:type="dxa"/>
              <w:right w:w="80" w:type="dxa"/>
            </w:tcMar>
          </w:tcPr>
          <w:p>
            <w:pPr>
              <w:spacing w:after="0" w:line="240" w:lineRule="auto"/>
            </w:pPr>
            <w:r/>
            <w:r>
              <w:rPr>
                <w:rFonts w:ascii="Calibri" w:hAnsi="Calibri"/>
                <w:b w:val="0"/>
                <w:sz w:val="19"/>
              </w:rPr>
              <w:t>Scope</w:t>
            </w:r>
          </w:p>
        </w:tc>
        <w:tc>
          <w:tcPr>
            <w:tcW w:type="dxa" w:w="5083"/>
            <w:vAlign w:val="top"/>
            <w:tcMar>
              <w:top w:w="70" w:type="dxa"/>
              <w:left w:w="80" w:type="dxa"/>
              <w:bottom w:w="70" w:type="dxa"/>
              <w:right w:w="80" w:type="dxa"/>
            </w:tcMar>
          </w:tcPr>
          <w:p>
            <w:pPr>
              <w:spacing w:after="0" w:line="240" w:lineRule="auto"/>
            </w:pPr>
            <w:r/>
            <w:r>
              <w:rPr>
                <w:rFonts w:ascii="Calibri" w:hAnsi="Calibri"/>
                <w:b w:val="0"/>
                <w:sz w:val="19"/>
              </w:rPr>
              <w:t>All privileged identities and administrative access paths in Scope LS-SCOPE-000184</w:t>
            </w:r>
          </w:p>
        </w:tc>
      </w:tr>
      <w:tr>
        <w:trPr>
          <w:cantSplit w:val="true"/>
        </w:trPr>
        <w:tc>
          <w:tcPr>
            <w:tcW w:type="dxa" w:w="5083"/>
            <w:vAlign w:val="top"/>
            <w:tcMar>
              <w:top w:w="70" w:type="dxa"/>
              <w:left w:w="80" w:type="dxa"/>
              <w:bottom w:w="70" w:type="dxa"/>
              <w:right w:w="80" w:type="dxa"/>
            </w:tcMar>
          </w:tcPr>
          <w:p>
            <w:pPr>
              <w:spacing w:after="0" w:line="240" w:lineRule="auto"/>
            </w:pPr>
            <w:r/>
            <w:r>
              <w:rPr>
                <w:rFonts w:ascii="Calibri" w:hAnsi="Calibri"/>
                <w:b w:val="0"/>
                <w:sz w:val="19"/>
              </w:rPr>
              <w:t>Status</w:t>
            </w:r>
          </w:p>
        </w:tc>
        <w:tc>
          <w:tcPr>
            <w:tcW w:type="dxa" w:w="5083"/>
            <w:vAlign w:val="top"/>
            <w:tcMar>
              <w:top w:w="70" w:type="dxa"/>
              <w:left w:w="80" w:type="dxa"/>
              <w:bottom w:w="70" w:type="dxa"/>
              <w:right w:w="80" w:type="dxa"/>
            </w:tcMar>
          </w:tcPr>
          <w:p>
            <w:pPr>
              <w:spacing w:after="0" w:line="240" w:lineRule="auto"/>
            </w:pPr>
            <w:r/>
            <w:r>
              <w:rPr>
                <w:rFonts w:ascii="Calibri" w:hAnsi="Calibri"/>
                <w:b w:val="0"/>
                <w:sz w:val="19"/>
              </w:rPr>
              <w:t>VERIFIED</w:t>
            </w:r>
          </w:p>
        </w:tc>
      </w:tr>
      <w:tr>
        <w:trPr>
          <w:cantSplit w:val="true"/>
        </w:trPr>
        <w:tc>
          <w:tcPr>
            <w:tcW w:type="dxa" w:w="5083"/>
            <w:vAlign w:val="top"/>
            <w:tcMar>
              <w:top w:w="70" w:type="dxa"/>
              <w:left w:w="80" w:type="dxa"/>
              <w:bottom w:w="70" w:type="dxa"/>
              <w:right w:w="80" w:type="dxa"/>
            </w:tcMar>
          </w:tcPr>
          <w:p>
            <w:pPr>
              <w:spacing w:after="0" w:line="240" w:lineRule="auto"/>
            </w:pPr>
            <w:r/>
            <w:r>
              <w:rPr>
                <w:rFonts w:ascii="Calibri" w:hAnsi="Calibri"/>
                <w:b w:val="0"/>
                <w:sz w:val="19"/>
              </w:rPr>
              <w:t>Coverage</w:t>
            </w:r>
          </w:p>
        </w:tc>
        <w:tc>
          <w:tcPr>
            <w:tcW w:type="dxa" w:w="5083"/>
            <w:vAlign w:val="top"/>
            <w:tcMar>
              <w:top w:w="70" w:type="dxa"/>
              <w:left w:w="80" w:type="dxa"/>
              <w:bottom w:w="70" w:type="dxa"/>
              <w:right w:w="80" w:type="dxa"/>
            </w:tcMar>
          </w:tcPr>
          <w:p>
            <w:pPr>
              <w:spacing w:after="0" w:line="240" w:lineRule="auto"/>
            </w:pPr>
            <w:r/>
            <w:r>
              <w:rPr>
                <w:rFonts w:ascii="Calibri" w:hAnsi="Calibri"/>
                <w:b w:val="0"/>
                <w:sz w:val="19"/>
              </w:rPr>
              <w:t>100% of identified privileged human accounts</w:t>
            </w:r>
          </w:p>
        </w:tc>
      </w:tr>
      <w:tr>
        <w:trPr>
          <w:cantSplit w:val="true"/>
        </w:trPr>
        <w:tc>
          <w:tcPr>
            <w:tcW w:type="dxa" w:w="5083"/>
            <w:vAlign w:val="top"/>
            <w:tcMar>
              <w:top w:w="70" w:type="dxa"/>
              <w:left w:w="80" w:type="dxa"/>
              <w:bottom w:w="70" w:type="dxa"/>
              <w:right w:w="80" w:type="dxa"/>
            </w:tcMar>
          </w:tcPr>
          <w:p>
            <w:pPr>
              <w:spacing w:after="0" w:line="240" w:lineRule="auto"/>
            </w:pPr>
            <w:r/>
            <w:r>
              <w:rPr>
                <w:rFonts w:ascii="Calibri" w:hAnsi="Calibri"/>
                <w:b w:val="0"/>
                <w:sz w:val="19"/>
              </w:rPr>
              <w:t>Evidence Confidence</w:t>
            </w:r>
          </w:p>
        </w:tc>
        <w:tc>
          <w:tcPr>
            <w:tcW w:type="dxa" w:w="5083"/>
            <w:vAlign w:val="top"/>
            <w:tcMar>
              <w:top w:w="70" w:type="dxa"/>
              <w:left w:w="80" w:type="dxa"/>
              <w:bottom w:w="70" w:type="dxa"/>
              <w:right w:w="80" w:type="dxa"/>
            </w:tcMar>
          </w:tcPr>
          <w:p>
            <w:pPr>
              <w:spacing w:after="0" w:line="240" w:lineRule="auto"/>
            </w:pPr>
            <w:r/>
            <w:r>
              <w:rPr>
                <w:rFonts w:ascii="Calibri" w:hAnsi="Calibri"/>
                <w:b w:val="0"/>
                <w:sz w:val="19"/>
              </w:rPr>
              <w:t>ECL-5 — continuously verified</w:t>
            </w:r>
          </w:p>
        </w:tc>
      </w:tr>
      <w:tr>
        <w:trPr>
          <w:cantSplit w:val="true"/>
        </w:trPr>
        <w:tc>
          <w:tcPr>
            <w:tcW w:type="dxa" w:w="5083"/>
            <w:vAlign w:val="top"/>
            <w:tcMar>
              <w:top w:w="70" w:type="dxa"/>
              <w:left w:w="80" w:type="dxa"/>
              <w:bottom w:w="70" w:type="dxa"/>
              <w:right w:w="80" w:type="dxa"/>
            </w:tcMar>
          </w:tcPr>
          <w:p>
            <w:pPr>
              <w:spacing w:after="0" w:line="240" w:lineRule="auto"/>
            </w:pPr>
            <w:r/>
            <w:r>
              <w:rPr>
                <w:rFonts w:ascii="Calibri" w:hAnsi="Calibri"/>
                <w:b w:val="0"/>
                <w:sz w:val="19"/>
              </w:rPr>
              <w:t>Evidence Sources</w:t>
            </w:r>
          </w:p>
        </w:tc>
        <w:tc>
          <w:tcPr>
            <w:tcW w:type="dxa" w:w="5083"/>
            <w:vAlign w:val="top"/>
            <w:tcMar>
              <w:top w:w="70" w:type="dxa"/>
              <w:left w:w="80" w:type="dxa"/>
              <w:bottom w:w="70" w:type="dxa"/>
              <w:right w:w="80" w:type="dxa"/>
            </w:tcMar>
          </w:tcPr>
          <w:p>
            <w:pPr>
              <w:spacing w:after="0" w:line="240" w:lineRule="auto"/>
            </w:pPr>
            <w:r/>
            <w:r>
              <w:rPr>
                <w:rFonts w:ascii="Calibri" w:hAnsi="Calibri"/>
                <w:b w:val="0"/>
                <w:sz w:val="19"/>
              </w:rPr>
              <w:t>Entra role inventory; Conditional Access policy; authentication telemetry</w:t>
            </w:r>
          </w:p>
        </w:tc>
      </w:tr>
      <w:tr>
        <w:trPr>
          <w:cantSplit w:val="true"/>
        </w:trPr>
        <w:tc>
          <w:tcPr>
            <w:tcW w:type="dxa" w:w="5083"/>
            <w:vAlign w:val="top"/>
            <w:tcMar>
              <w:top w:w="70" w:type="dxa"/>
              <w:left w:w="80" w:type="dxa"/>
              <w:bottom w:w="70" w:type="dxa"/>
              <w:right w:w="80" w:type="dxa"/>
            </w:tcMar>
          </w:tcPr>
          <w:p>
            <w:pPr>
              <w:spacing w:after="0" w:line="240" w:lineRule="auto"/>
            </w:pPr>
            <w:r/>
            <w:r>
              <w:rPr>
                <w:rFonts w:ascii="Calibri" w:hAnsi="Calibri"/>
                <w:b w:val="0"/>
                <w:sz w:val="19"/>
              </w:rPr>
              <w:t>Verified At</w:t>
            </w:r>
          </w:p>
        </w:tc>
        <w:tc>
          <w:tcPr>
            <w:tcW w:type="dxa" w:w="5083"/>
            <w:vAlign w:val="top"/>
            <w:tcMar>
              <w:top w:w="70" w:type="dxa"/>
              <w:left w:w="80" w:type="dxa"/>
              <w:bottom w:w="70" w:type="dxa"/>
              <w:right w:w="80" w:type="dxa"/>
            </w:tcMar>
          </w:tcPr>
          <w:p>
            <w:pPr>
              <w:spacing w:after="0" w:line="240" w:lineRule="auto"/>
            </w:pPr>
            <w:r/>
            <w:r>
              <w:rPr>
                <w:rFonts w:ascii="Calibri" w:hAnsi="Calibri"/>
                <w:b w:val="0"/>
                <w:sz w:val="19"/>
              </w:rPr>
              <w:t>2026-09-07T14:15:00Z</w:t>
            </w:r>
          </w:p>
        </w:tc>
      </w:tr>
      <w:tr>
        <w:trPr>
          <w:cantSplit w:val="true"/>
        </w:trPr>
        <w:tc>
          <w:tcPr>
            <w:tcW w:type="dxa" w:w="5083"/>
            <w:vAlign w:val="top"/>
            <w:tcMar>
              <w:top w:w="70" w:type="dxa"/>
              <w:left w:w="80" w:type="dxa"/>
              <w:bottom w:w="70" w:type="dxa"/>
              <w:right w:w="80" w:type="dxa"/>
            </w:tcMar>
          </w:tcPr>
          <w:p>
            <w:pPr>
              <w:spacing w:after="0" w:line="240" w:lineRule="auto"/>
            </w:pPr>
            <w:r/>
            <w:r>
              <w:rPr>
                <w:rFonts w:ascii="Calibri" w:hAnsi="Calibri"/>
                <w:b w:val="0"/>
                <w:sz w:val="19"/>
              </w:rPr>
              <w:t>Valid Until</w:t>
            </w:r>
          </w:p>
        </w:tc>
        <w:tc>
          <w:tcPr>
            <w:tcW w:type="dxa" w:w="5083"/>
            <w:vAlign w:val="top"/>
            <w:tcMar>
              <w:top w:w="70" w:type="dxa"/>
              <w:left w:w="80" w:type="dxa"/>
              <w:bottom w:w="70" w:type="dxa"/>
              <w:right w:w="80" w:type="dxa"/>
            </w:tcMar>
          </w:tcPr>
          <w:p>
            <w:pPr>
              <w:spacing w:after="0" w:line="240" w:lineRule="auto"/>
            </w:pPr>
            <w:r/>
            <w:r>
              <w:rPr>
                <w:rFonts w:ascii="Calibri" w:hAnsi="Calibri"/>
                <w:b w:val="0"/>
                <w:sz w:val="19"/>
              </w:rPr>
              <w:t>Dynamic — automatically expires if source evidence becomes stale or coverage falls below threshold</w:t>
            </w:r>
          </w:p>
        </w:tc>
      </w:tr>
      <w:tr>
        <w:trPr>
          <w:cantSplit w:val="true"/>
        </w:trPr>
        <w:tc>
          <w:tcPr>
            <w:tcW w:type="dxa" w:w="5083"/>
            <w:vAlign w:val="top"/>
            <w:tcMar>
              <w:top w:w="70" w:type="dxa"/>
              <w:left w:w="80" w:type="dxa"/>
              <w:bottom w:w="70" w:type="dxa"/>
              <w:right w:w="80" w:type="dxa"/>
            </w:tcMar>
          </w:tcPr>
          <w:p>
            <w:pPr>
              <w:spacing w:after="0" w:line="240" w:lineRule="auto"/>
            </w:pPr>
            <w:r/>
            <w:r>
              <w:rPr>
                <w:rFonts w:ascii="Calibri" w:hAnsi="Calibri"/>
                <w:b w:val="0"/>
                <w:sz w:val="19"/>
              </w:rPr>
              <w:t>Exceptions</w:t>
            </w:r>
          </w:p>
        </w:tc>
        <w:tc>
          <w:tcPr>
            <w:tcW w:type="dxa" w:w="5083"/>
            <w:vAlign w:val="top"/>
            <w:tcMar>
              <w:top w:w="70" w:type="dxa"/>
              <w:left w:w="80" w:type="dxa"/>
              <w:bottom w:w="70" w:type="dxa"/>
              <w:right w:w="80" w:type="dxa"/>
            </w:tcMar>
          </w:tcPr>
          <w:p>
            <w:pPr>
              <w:spacing w:after="0" w:line="240" w:lineRule="auto"/>
            </w:pPr>
            <w:r/>
            <w:r>
              <w:rPr>
                <w:rFonts w:ascii="Calibri" w:hAnsi="Calibri"/>
                <w:b w:val="0"/>
                <w:sz w:val="19"/>
              </w:rPr>
              <w:t>0 material exceptions</w:t>
            </w:r>
          </w:p>
        </w:tc>
      </w:tr>
      <w:tr>
        <w:trPr>
          <w:cantSplit w:val="true"/>
        </w:trPr>
        <w:tc>
          <w:tcPr>
            <w:tcW w:type="dxa" w:w="5083"/>
            <w:vAlign w:val="top"/>
            <w:tcMar>
              <w:top w:w="70" w:type="dxa"/>
              <w:left w:w="80" w:type="dxa"/>
              <w:bottom w:w="70" w:type="dxa"/>
              <w:right w:w="80" w:type="dxa"/>
            </w:tcMar>
          </w:tcPr>
          <w:p>
            <w:pPr>
              <w:spacing w:after="0" w:line="240" w:lineRule="auto"/>
            </w:pPr>
            <w:r/>
            <w:r>
              <w:rPr>
                <w:rFonts w:ascii="Calibri" w:hAnsi="Calibri"/>
                <w:b w:val="0"/>
                <w:sz w:val="19"/>
              </w:rPr>
              <w:t>Disclosure</w:t>
            </w:r>
          </w:p>
        </w:tc>
        <w:tc>
          <w:tcPr>
            <w:tcW w:type="dxa" w:w="5083"/>
            <w:vAlign w:val="top"/>
            <w:tcMar>
              <w:top w:w="70" w:type="dxa"/>
              <w:left w:w="80" w:type="dxa"/>
              <w:bottom w:w="70" w:type="dxa"/>
              <w:right w:w="80" w:type="dxa"/>
            </w:tcMar>
          </w:tcPr>
          <w:p>
            <w:pPr>
              <w:spacing w:after="0" w:line="240" w:lineRule="auto"/>
            </w:pPr>
            <w:r/>
            <w:r>
              <w:rPr>
                <w:rFonts w:ascii="Calibri" w:hAnsi="Calibri"/>
                <w:b w:val="0"/>
                <w:sz w:val="19"/>
              </w:rPr>
              <w:t>Carrier receives claim, coverage, ECL, date, and signed proof; raw configuration remains in Evidence Vault</w:t>
            </w:r>
          </w:p>
        </w:tc>
      </w:tr>
      <w:tr>
        <w:trPr>
          <w:cantSplit w:val="true"/>
        </w:trPr>
        <w:tc>
          <w:tcPr>
            <w:tcW w:type="dxa" w:w="5083"/>
            <w:vAlign w:val="top"/>
            <w:tcMar>
              <w:top w:w="70" w:type="dxa"/>
              <w:left w:w="80" w:type="dxa"/>
              <w:bottom w:w="70" w:type="dxa"/>
              <w:right w:w="80" w:type="dxa"/>
            </w:tcMar>
          </w:tcPr>
          <w:p>
            <w:pPr>
              <w:spacing w:after="0" w:line="240" w:lineRule="auto"/>
            </w:pPr>
            <w:r/>
            <w:r>
              <w:rPr>
                <w:rFonts w:ascii="Calibri" w:hAnsi="Calibri"/>
                <w:b w:val="0"/>
                <w:sz w:val="19"/>
              </w:rPr>
              <w:t>Integrity</w:t>
            </w:r>
          </w:p>
        </w:tc>
        <w:tc>
          <w:tcPr>
            <w:tcW w:type="dxa" w:w="5083"/>
            <w:vAlign w:val="top"/>
            <w:tcMar>
              <w:top w:w="70" w:type="dxa"/>
              <w:left w:w="80" w:type="dxa"/>
              <w:bottom w:w="70" w:type="dxa"/>
              <w:right w:w="80" w:type="dxa"/>
            </w:tcMar>
          </w:tcPr>
          <w:p>
            <w:pPr>
              <w:spacing w:after="0" w:line="240" w:lineRule="auto"/>
            </w:pPr>
            <w:r/>
            <w:r>
              <w:rPr>
                <w:rFonts w:ascii="Calibri" w:hAnsi="Calibri"/>
                <w:b w:val="0"/>
                <w:sz w:val="19"/>
              </w:rPr>
              <w:t>Signed assurance claim + evidence hash references + revocation endpoint</w:t>
            </w:r>
          </w:p>
        </w:tc>
      </w:tr>
    </w:tbl>
    <w:p>
      <w:pPr>
        <w:spacing w:after="40"/>
      </w:pPr>
    </w:p>
    <w:p>
      <w:pPr>
        <w:pStyle w:val="Heading1"/>
        <w:keepNext/>
        <w:spacing w:before="160" w:after="80"/>
      </w:pPr>
      <w:r>
        <w:rPr>
          <w:rFonts w:ascii="Calibri" w:hAnsi="Calibri"/>
          <w:b/>
          <w:color w:val="1F4E79"/>
          <w:sz w:val="30"/>
        </w:rPr>
        <w:t>Appendix B — Example Partner Translation</w:t>
      </w:r>
    </w:p>
    <w:p>
      <w:pPr>
        <w:spacing w:after="80" w:line="259" w:lineRule="auto"/>
      </w:pPr>
      <w:r>
        <w:rPr>
          <w:rFonts w:ascii="Calibri" w:hAnsi="Calibri"/>
          <w:sz w:val="21"/>
        </w:rPr>
        <w:t>Illustrative only; these are not actual carrier requirements.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val="true"/>
        </w:trPr>
        <w:tc>
          <w:tcPr>
            <w:tcW w:type="dxa" w:w="2541"/>
            <w:vAlign w:val="top"/>
            <w:shd w:fill="D9EAF7"/>
            <w:tcMar>
              <w:top w:w="70" w:type="dxa"/>
              <w:left w:w="80" w:type="dxa"/>
              <w:bottom w:w="70" w:type="dxa"/>
              <w:right w:w="80" w:type="dxa"/>
            </w:tcMar>
          </w:tcPr>
          <w:p>
            <w:pPr>
              <w:spacing w:after="0" w:line="240" w:lineRule="auto"/>
            </w:pPr>
            <w:r/>
            <w:r>
              <w:rPr>
                <w:rFonts w:ascii="Calibri" w:hAnsi="Calibri"/>
                <w:b/>
                <w:sz w:val="19"/>
              </w:rPr>
              <w:t>Canonical Claim</w:t>
            </w:r>
          </w:p>
        </w:tc>
        <w:tc>
          <w:tcPr>
            <w:tcW w:type="dxa" w:w="2541"/>
            <w:vAlign w:val="top"/>
            <w:shd w:fill="D9EAF7"/>
            <w:tcMar>
              <w:top w:w="70" w:type="dxa"/>
              <w:left w:w="80" w:type="dxa"/>
              <w:bottom w:w="70" w:type="dxa"/>
              <w:right w:w="80" w:type="dxa"/>
            </w:tcMar>
          </w:tcPr>
          <w:p>
            <w:pPr>
              <w:spacing w:after="0" w:line="240" w:lineRule="auto"/>
            </w:pPr>
            <w:r/>
            <w:r>
              <w:rPr>
                <w:rFonts w:ascii="Calibri" w:hAnsi="Calibri"/>
                <w:b/>
                <w:sz w:val="19"/>
              </w:rPr>
              <w:t>Partner View A</w:t>
            </w:r>
          </w:p>
        </w:tc>
        <w:tc>
          <w:tcPr>
            <w:tcW w:type="dxa" w:w="2541"/>
            <w:vAlign w:val="top"/>
            <w:shd w:fill="D9EAF7"/>
            <w:tcMar>
              <w:top w:w="70" w:type="dxa"/>
              <w:left w:w="80" w:type="dxa"/>
              <w:bottom w:w="70" w:type="dxa"/>
              <w:right w:w="80" w:type="dxa"/>
            </w:tcMar>
          </w:tcPr>
          <w:p>
            <w:pPr>
              <w:spacing w:after="0" w:line="240" w:lineRule="auto"/>
            </w:pPr>
            <w:r/>
            <w:r>
              <w:rPr>
                <w:rFonts w:ascii="Calibri" w:hAnsi="Calibri"/>
                <w:b/>
                <w:sz w:val="19"/>
              </w:rPr>
              <w:t>Partner View B</w:t>
            </w:r>
          </w:p>
        </w:tc>
        <w:tc>
          <w:tcPr>
            <w:tcW w:type="dxa" w:w="2541"/>
            <w:vAlign w:val="top"/>
            <w:shd w:fill="D9EAF7"/>
            <w:tcMar>
              <w:top w:w="70" w:type="dxa"/>
              <w:left w:w="80" w:type="dxa"/>
              <w:bottom w:w="70" w:type="dxa"/>
              <w:right w:w="80" w:type="dxa"/>
            </w:tcMar>
          </w:tcPr>
          <w:p>
            <w:pPr>
              <w:spacing w:after="0" w:line="240" w:lineRule="auto"/>
            </w:pPr>
            <w:r/>
            <w:r>
              <w:rPr>
                <w:rFonts w:ascii="Calibri" w:hAnsi="Calibri"/>
                <w:b/>
                <w:sz w:val="19"/>
              </w:rPr>
              <w:t>Partner View C</w:t>
            </w:r>
          </w:p>
        </w:tc>
      </w:tr>
      <w:tr>
        <w:trPr>
          <w:cantSplit w:val="true"/>
        </w:trPr>
        <w:tc>
          <w:tcPr>
            <w:tcW w:type="dxa" w:w="2541"/>
            <w:vAlign w:val="top"/>
            <w:tcMar>
              <w:top w:w="70" w:type="dxa"/>
              <w:left w:w="80" w:type="dxa"/>
              <w:bottom w:w="70" w:type="dxa"/>
              <w:right w:w="80" w:type="dxa"/>
            </w:tcMar>
          </w:tcPr>
          <w:p>
            <w:pPr>
              <w:spacing w:after="0" w:line="240" w:lineRule="auto"/>
            </w:pPr>
            <w:r/>
            <w:r>
              <w:rPr>
                <w:rFonts w:ascii="Calibri" w:hAnsi="Calibri"/>
                <w:b w:val="0"/>
                <w:sz w:val="19"/>
              </w:rPr>
              <w:t>LS-ID-101 Privileged MFA</w:t>
            </w:r>
          </w:p>
        </w:tc>
        <w:tc>
          <w:tcPr>
            <w:tcW w:type="dxa" w:w="2541"/>
            <w:vAlign w:val="top"/>
            <w:tcMar>
              <w:top w:w="70" w:type="dxa"/>
              <w:left w:w="80" w:type="dxa"/>
              <w:bottom w:w="70" w:type="dxa"/>
              <w:right w:w="80" w:type="dxa"/>
            </w:tcMar>
          </w:tcPr>
          <w:p>
            <w:pPr>
              <w:spacing w:after="0" w:line="240" w:lineRule="auto"/>
            </w:pPr>
            <w:r/>
            <w:r>
              <w:rPr>
                <w:rFonts w:ascii="Calibri" w:hAnsi="Calibri"/>
                <w:b w:val="0"/>
                <w:sz w:val="19"/>
              </w:rPr>
              <w:t>Question 18: Yes — Verified ECL-5</w:t>
            </w:r>
          </w:p>
        </w:tc>
        <w:tc>
          <w:tcPr>
            <w:tcW w:type="dxa" w:w="2541"/>
            <w:vAlign w:val="top"/>
            <w:tcMar>
              <w:top w:w="70" w:type="dxa"/>
              <w:left w:w="80" w:type="dxa"/>
              <w:bottom w:w="70" w:type="dxa"/>
              <w:right w:w="80" w:type="dxa"/>
            </w:tcMar>
          </w:tcPr>
          <w:p>
            <w:pPr>
              <w:spacing w:after="0" w:line="240" w:lineRule="auto"/>
            </w:pPr>
            <w:r/>
            <w:r>
              <w:rPr>
                <w:rFonts w:ascii="Calibri" w:hAnsi="Calibri"/>
                <w:b w:val="0"/>
                <w:sz w:val="19"/>
              </w:rPr>
              <w:t>Identity Control P1: Pass</w:t>
            </w:r>
          </w:p>
        </w:tc>
        <w:tc>
          <w:tcPr>
            <w:tcW w:type="dxa" w:w="2541"/>
            <w:vAlign w:val="top"/>
            <w:tcMar>
              <w:top w:w="70" w:type="dxa"/>
              <w:left w:w="80" w:type="dxa"/>
              <w:bottom w:w="70" w:type="dxa"/>
              <w:right w:w="80" w:type="dxa"/>
            </w:tcMar>
          </w:tcPr>
          <w:p>
            <w:pPr>
              <w:spacing w:after="0" w:line="240" w:lineRule="auto"/>
            </w:pPr>
            <w:r/>
            <w:r>
              <w:rPr>
                <w:rFonts w:ascii="Calibri" w:hAnsi="Calibri"/>
                <w:b w:val="0"/>
                <w:sz w:val="19"/>
              </w:rPr>
              <w:t>Administrative MFA: Verified</w:t>
            </w:r>
          </w:p>
        </w:tc>
      </w:tr>
      <w:tr>
        <w:trPr>
          <w:cantSplit w:val="true"/>
        </w:trPr>
        <w:tc>
          <w:tcPr>
            <w:tcW w:type="dxa" w:w="2541"/>
            <w:vAlign w:val="top"/>
            <w:tcMar>
              <w:top w:w="70" w:type="dxa"/>
              <w:left w:w="80" w:type="dxa"/>
              <w:bottom w:w="70" w:type="dxa"/>
              <w:right w:w="80" w:type="dxa"/>
            </w:tcMar>
          </w:tcPr>
          <w:p>
            <w:pPr>
              <w:spacing w:after="0" w:line="240" w:lineRule="auto"/>
            </w:pPr>
            <w:r/>
            <w:r>
              <w:rPr>
                <w:rFonts w:ascii="Calibri" w:hAnsi="Calibri"/>
                <w:b w:val="0"/>
                <w:sz w:val="19"/>
              </w:rPr>
              <w:t>LS-BCP-301 Immutable Backup</w:t>
            </w:r>
          </w:p>
        </w:tc>
        <w:tc>
          <w:tcPr>
            <w:tcW w:type="dxa" w:w="2541"/>
            <w:vAlign w:val="top"/>
            <w:tcMar>
              <w:top w:w="70" w:type="dxa"/>
              <w:left w:w="80" w:type="dxa"/>
              <w:bottom w:w="70" w:type="dxa"/>
              <w:right w:w="80" w:type="dxa"/>
            </w:tcMar>
          </w:tcPr>
          <w:p>
            <w:pPr>
              <w:spacing w:after="0" w:line="240" w:lineRule="auto"/>
            </w:pPr>
            <w:r/>
            <w:r>
              <w:rPr>
                <w:rFonts w:ascii="Calibri" w:hAnsi="Calibri"/>
                <w:b w:val="0"/>
                <w:sz w:val="19"/>
              </w:rPr>
              <w:t>Backup control: Pass; ECL-4</w:t>
            </w:r>
          </w:p>
        </w:tc>
        <w:tc>
          <w:tcPr>
            <w:tcW w:type="dxa" w:w="2541"/>
            <w:vAlign w:val="top"/>
            <w:tcMar>
              <w:top w:w="70" w:type="dxa"/>
              <w:left w:w="80" w:type="dxa"/>
              <w:bottom w:w="70" w:type="dxa"/>
              <w:right w:w="80" w:type="dxa"/>
            </w:tcMar>
          </w:tcPr>
          <w:p>
            <w:pPr>
              <w:spacing w:after="0" w:line="240" w:lineRule="auto"/>
            </w:pPr>
            <w:r/>
            <w:r>
              <w:rPr>
                <w:rFonts w:ascii="Calibri" w:hAnsi="Calibri"/>
                <w:b w:val="0"/>
                <w:sz w:val="19"/>
              </w:rPr>
              <w:t>Ransomware resilience: Pass</w:t>
            </w:r>
          </w:p>
        </w:tc>
        <w:tc>
          <w:tcPr>
            <w:tcW w:type="dxa" w:w="2541"/>
            <w:vAlign w:val="top"/>
            <w:tcMar>
              <w:top w:w="70" w:type="dxa"/>
              <w:left w:w="80" w:type="dxa"/>
              <w:bottom w:w="70" w:type="dxa"/>
              <w:right w:w="80" w:type="dxa"/>
            </w:tcMar>
          </w:tcPr>
          <w:p>
            <w:pPr>
              <w:spacing w:after="0" w:line="240" w:lineRule="auto"/>
            </w:pPr>
            <w:r/>
            <w:r>
              <w:rPr>
                <w:rFonts w:ascii="Calibri" w:hAnsi="Calibri"/>
                <w:b w:val="0"/>
                <w:sz w:val="19"/>
              </w:rPr>
              <w:t>Backup immutability: Verified</w:t>
            </w:r>
          </w:p>
        </w:tc>
      </w:tr>
      <w:tr>
        <w:trPr>
          <w:cantSplit w:val="true"/>
        </w:trPr>
        <w:tc>
          <w:tcPr>
            <w:tcW w:type="dxa" w:w="2541"/>
            <w:vAlign w:val="top"/>
            <w:tcMar>
              <w:top w:w="70" w:type="dxa"/>
              <w:left w:w="80" w:type="dxa"/>
              <w:bottom w:w="70" w:type="dxa"/>
              <w:right w:w="80" w:type="dxa"/>
            </w:tcMar>
          </w:tcPr>
          <w:p>
            <w:pPr>
              <w:spacing w:after="0" w:line="240" w:lineRule="auto"/>
            </w:pPr>
            <w:r/>
            <w:r>
              <w:rPr>
                <w:rFonts w:ascii="Calibri" w:hAnsi="Calibri"/>
                <w:b w:val="0"/>
                <w:sz w:val="19"/>
              </w:rPr>
              <w:t>LS-EDR-201 EDR Coverage</w:t>
            </w:r>
          </w:p>
        </w:tc>
        <w:tc>
          <w:tcPr>
            <w:tcW w:type="dxa" w:w="2541"/>
            <w:vAlign w:val="top"/>
            <w:tcMar>
              <w:top w:w="70" w:type="dxa"/>
              <w:left w:w="80" w:type="dxa"/>
              <w:bottom w:w="70" w:type="dxa"/>
              <w:right w:w="80" w:type="dxa"/>
            </w:tcMar>
          </w:tcPr>
          <w:p>
            <w:pPr>
              <w:spacing w:after="0" w:line="240" w:lineRule="auto"/>
            </w:pPr>
            <w:r/>
            <w:r>
              <w:rPr>
                <w:rFonts w:ascii="Calibri" w:hAnsi="Calibri"/>
                <w:b w:val="0"/>
                <w:sz w:val="19"/>
              </w:rPr>
              <w:t>99.7% endpoint coverage</w:t>
            </w:r>
          </w:p>
        </w:tc>
        <w:tc>
          <w:tcPr>
            <w:tcW w:type="dxa" w:w="2541"/>
            <w:vAlign w:val="top"/>
            <w:tcMar>
              <w:top w:w="70" w:type="dxa"/>
              <w:left w:w="80" w:type="dxa"/>
              <w:bottom w:w="70" w:type="dxa"/>
              <w:right w:w="80" w:type="dxa"/>
            </w:tcMar>
          </w:tcPr>
          <w:p>
            <w:pPr>
              <w:spacing w:after="0" w:line="240" w:lineRule="auto"/>
            </w:pPr>
            <w:r/>
            <w:r>
              <w:rPr>
                <w:rFonts w:ascii="Calibri" w:hAnsi="Calibri"/>
                <w:b w:val="0"/>
                <w:sz w:val="19"/>
              </w:rPr>
              <w:t>Endpoint protection: Conditional if &lt;99%</w:t>
            </w:r>
          </w:p>
        </w:tc>
        <w:tc>
          <w:tcPr>
            <w:tcW w:type="dxa" w:w="2541"/>
            <w:vAlign w:val="top"/>
            <w:tcMar>
              <w:top w:w="70" w:type="dxa"/>
              <w:left w:w="80" w:type="dxa"/>
              <w:bottom w:w="70" w:type="dxa"/>
              <w:right w:w="80" w:type="dxa"/>
            </w:tcMar>
          </w:tcPr>
          <w:p>
            <w:pPr>
              <w:spacing w:after="0" w:line="240" w:lineRule="auto"/>
            </w:pPr>
            <w:r/>
            <w:r>
              <w:rPr>
                <w:rFonts w:ascii="Calibri" w:hAnsi="Calibri"/>
                <w:b w:val="0"/>
                <w:sz w:val="19"/>
              </w:rPr>
              <w:t>EDR deployment: Verified</w:t>
            </w:r>
          </w:p>
        </w:tc>
      </w:tr>
      <w:tr>
        <w:trPr>
          <w:cantSplit w:val="true"/>
        </w:trPr>
        <w:tc>
          <w:tcPr>
            <w:tcW w:type="dxa" w:w="2541"/>
            <w:vAlign w:val="top"/>
            <w:tcMar>
              <w:top w:w="70" w:type="dxa"/>
              <w:left w:w="80" w:type="dxa"/>
              <w:bottom w:w="70" w:type="dxa"/>
              <w:right w:w="80" w:type="dxa"/>
            </w:tcMar>
          </w:tcPr>
          <w:p>
            <w:pPr>
              <w:spacing w:after="0" w:line="240" w:lineRule="auto"/>
            </w:pPr>
            <w:r/>
            <w:r>
              <w:rPr>
                <w:rFonts w:ascii="Calibri" w:hAnsi="Calibri"/>
                <w:b w:val="0"/>
                <w:sz w:val="19"/>
              </w:rPr>
              <w:t>LS-IR-401 IR Exercise</w:t>
            </w:r>
          </w:p>
        </w:tc>
        <w:tc>
          <w:tcPr>
            <w:tcW w:type="dxa" w:w="2541"/>
            <w:vAlign w:val="top"/>
            <w:tcMar>
              <w:top w:w="70" w:type="dxa"/>
              <w:left w:w="80" w:type="dxa"/>
              <w:bottom w:w="70" w:type="dxa"/>
              <w:right w:w="80" w:type="dxa"/>
            </w:tcMar>
          </w:tcPr>
          <w:p>
            <w:pPr>
              <w:spacing w:after="0" w:line="240" w:lineRule="auto"/>
            </w:pPr>
            <w:r/>
            <w:r>
              <w:rPr>
                <w:rFonts w:ascii="Calibri" w:hAnsi="Calibri"/>
                <w:b w:val="0"/>
                <w:sz w:val="19"/>
              </w:rPr>
              <w:t>Tabletop completed within 12 months</w:t>
            </w:r>
          </w:p>
        </w:tc>
        <w:tc>
          <w:tcPr>
            <w:tcW w:type="dxa" w:w="2541"/>
            <w:vAlign w:val="top"/>
            <w:tcMar>
              <w:top w:w="70" w:type="dxa"/>
              <w:left w:w="80" w:type="dxa"/>
              <w:bottom w:w="70" w:type="dxa"/>
              <w:right w:w="80" w:type="dxa"/>
            </w:tcMar>
          </w:tcPr>
          <w:p>
            <w:pPr>
              <w:spacing w:after="0" w:line="240" w:lineRule="auto"/>
            </w:pPr>
            <w:r/>
            <w:r>
              <w:rPr>
                <w:rFonts w:ascii="Calibri" w:hAnsi="Calibri"/>
                <w:b w:val="0"/>
                <w:sz w:val="19"/>
              </w:rPr>
              <w:t>IR operational test: Pass</w:t>
            </w:r>
          </w:p>
        </w:tc>
        <w:tc>
          <w:tcPr>
            <w:tcW w:type="dxa" w:w="2541"/>
            <w:vAlign w:val="top"/>
            <w:tcMar>
              <w:top w:w="70" w:type="dxa"/>
              <w:left w:w="80" w:type="dxa"/>
              <w:bottom w:w="70" w:type="dxa"/>
              <w:right w:w="80" w:type="dxa"/>
            </w:tcMar>
          </w:tcPr>
          <w:p>
            <w:pPr>
              <w:spacing w:after="0" w:line="240" w:lineRule="auto"/>
            </w:pPr>
            <w:r/>
            <w:r>
              <w:rPr>
                <w:rFonts w:ascii="Calibri" w:hAnsi="Calibri"/>
                <w:b w:val="0"/>
                <w:sz w:val="19"/>
              </w:rPr>
              <w:t>Incident response evidence: Current</w:t>
            </w:r>
          </w:p>
        </w:tc>
      </w:tr>
    </w:tbl>
    <w:p>
      <w:pPr>
        <w:spacing w:after="40"/>
      </w:pPr>
    </w:p>
    <w:p>
      <w:pPr>
        <w:pStyle w:val="Heading1"/>
        <w:keepNext/>
        <w:spacing w:before="160" w:after="80"/>
      </w:pPr>
      <w:r>
        <w:rPr>
          <w:rFonts w:ascii="Calibri" w:hAnsi="Calibri"/>
          <w:b/>
          <w:color w:val="1F4E79"/>
          <w:sz w:val="30"/>
        </w:rPr>
        <w:t>Appendix C — IP Action Checklist</w:t>
      </w:r>
    </w:p>
    <w:p>
      <w:pPr>
        <w:pStyle w:val="ListBullet"/>
        <w:spacing w:after="40" w:line="252" w:lineRule="auto"/>
      </w:pPr>
      <w:r>
        <w:rPr>
          <w:rFonts w:ascii="Calibri" w:hAnsi="Calibri"/>
          <w:sz w:val="21"/>
        </w:rPr>
        <w:t>Complete Canadian and U.S. trademark clearance for LAURELSHIELD and priority product names before launch.</w:t>
      </w:r>
    </w:p>
    <w:p>
      <w:pPr>
        <w:pStyle w:val="ListBullet"/>
        <w:spacing w:after="40" w:line="252" w:lineRule="auto"/>
      </w:pPr>
      <w:r>
        <w:rPr>
          <w:rFonts w:ascii="Calibri" w:hAnsi="Calibri"/>
          <w:sz w:val="21"/>
        </w:rPr>
        <w:t>Decide filing classes and ownership entity; file house mark first, then product marks based on commercial priority.</w:t>
      </w:r>
    </w:p>
    <w:p>
      <w:pPr>
        <w:pStyle w:val="ListBullet"/>
        <w:spacing w:after="40" w:line="252" w:lineRule="auto"/>
      </w:pPr>
      <w:r>
        <w:rPr>
          <w:rFonts w:ascii="Calibri" w:hAnsi="Calibri"/>
          <w:sz w:val="21"/>
        </w:rPr>
        <w:t>Create invention-disclosure package and engage patent agent before publishing detailed architecture.</w:t>
      </w:r>
    </w:p>
    <w:p>
      <w:pPr>
        <w:pStyle w:val="ListBullet"/>
        <w:spacing w:after="40" w:line="252" w:lineRule="auto"/>
      </w:pPr>
      <w:r>
        <w:rPr>
          <w:rFonts w:ascii="Calibri" w:hAnsi="Calibri"/>
          <w:sz w:val="21"/>
        </w:rPr>
        <w:t>Register copyright for the finalized CIA Standard and key authored materials where strategically useful.</w:t>
      </w:r>
    </w:p>
    <w:p>
      <w:pPr>
        <w:pStyle w:val="ListBullet"/>
        <w:spacing w:after="40" w:line="252" w:lineRule="auto"/>
      </w:pPr>
      <w:r>
        <w:rPr>
          <w:rFonts w:ascii="Calibri" w:hAnsi="Calibri"/>
          <w:sz w:val="21"/>
        </w:rPr>
        <w:t>Create formal trade-secret register and information-classification policy.</w:t>
      </w:r>
    </w:p>
    <w:p>
      <w:pPr>
        <w:pStyle w:val="ListBullet"/>
        <w:spacing w:after="40" w:line="252" w:lineRule="auto"/>
      </w:pPr>
      <w:r>
        <w:rPr>
          <w:rFonts w:ascii="Calibri" w:hAnsi="Calibri"/>
          <w:sz w:val="21"/>
        </w:rPr>
        <w:t>Put IP/confidentiality assignment terms in every employee and contractor agreement.</w:t>
      </w:r>
    </w:p>
    <w:p>
      <w:pPr>
        <w:pStyle w:val="ListBullet"/>
        <w:spacing w:after="40" w:line="252" w:lineRule="auto"/>
      </w:pPr>
      <w:r>
        <w:rPr>
          <w:rFonts w:ascii="Calibri" w:hAnsi="Calibri"/>
          <w:sz w:val="21"/>
        </w:rPr>
        <w:t>Create partner agreements that preserve Laurelshield pre-existing IP and prohibit accidental exclusivity.</w:t>
      </w:r>
    </w:p>
    <w:p>
      <w:pPr>
        <w:pStyle w:val="ListBullet"/>
        <w:spacing w:after="40" w:line="252" w:lineRule="auto"/>
      </w:pPr>
      <w:r>
        <w:rPr>
          <w:rFonts w:ascii="Calibri" w:hAnsi="Calibri"/>
          <w:sz w:val="21"/>
        </w:rPr>
        <w:t>Design certification-mark structure only after the assurance scheme, impartiality controls, and defined standard are mature.</w:t>
      </w:r>
    </w:p>
    <w:p>
      <w:pPr>
        <w:pStyle w:val="ListBullet"/>
        <w:spacing w:after="40" w:line="252" w:lineRule="auto"/>
      </w:pPr>
      <w:r>
        <w:rPr>
          <w:rFonts w:ascii="Calibri" w:hAnsi="Calibri"/>
          <w:sz w:val="21"/>
        </w:rPr>
        <w:t>Build a data-rights ledger so every underwriting/claims data element has explicit permitted-use provenance.</w:t>
      </w:r>
    </w:p>
    <w:sectPr w:rsidR="00FC693F" w:rsidRPr="0006063C" w:rsidSect="00034616">
      <w:headerReference w:type="default" r:id="rId9"/>
      <w:footerReference w:type="default" r:id="rId10"/>
      <w:pgSz w:w="12240" w:h="15840"/>
      <w:pgMar w:top="1008"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7"/>
      </w:rPr>
      <w:t xml:space="preserve">Confidential Strategic Research &amp; Implementation Blueprint | Page </w:t>
    </w:r>
    <w:r>
      <w:rPr>
        <w:rFonts w:ascii="Calibri" w:hAnsi="Calibri"/>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595959"/>
        <w:sz w:val="17"/>
      </w:rPr>
      <w:t>LAURELSHIELD | CYBER INSURABILITY ASSURANCE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rPr>
      <w:rFonts w:ascii="Calibri" w:hAnsi="Calibri"/>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rPr>
      <w:rFonts w:ascii="Calibri" w:hAnsi="Calibri"/>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pectracyber.com/insure" TargetMode="External"/><Relationship Id="rId12" Type="http://schemas.openxmlformats.org/officeDocument/2006/relationships/hyperlink" Target="https://hitrustalliance.net/cyber-insurance" TargetMode="External"/><Relationship Id="rId13" Type="http://schemas.openxmlformats.org/officeDocument/2006/relationships/hyperlink" Target="https://info.hitrustalliance.net/cyberinsurance" TargetMode="External"/><Relationship Id="rId14" Type="http://schemas.openxmlformats.org/officeDocument/2006/relationships/hyperlink" Target="https://www.cybcube.com/prep-module" TargetMode="External"/><Relationship Id="rId15" Type="http://schemas.openxmlformats.org/officeDocument/2006/relationships/hyperlink" Target="https://www.bitsight.com/products/bitsight-for-cyber-insurance" TargetMode="External"/><Relationship Id="rId16" Type="http://schemas.openxmlformats.org/officeDocument/2006/relationships/hyperlink" Target="https://support.securityscorecard.com/hc/en-us/articles/360059104512-What-is-SecurityScorecard" TargetMode="External"/><Relationship Id="rId17" Type="http://schemas.openxmlformats.org/officeDocument/2006/relationships/hyperlink" Target="https://blackkite.com/industry/insurance" TargetMode="External"/><Relationship Id="rId18" Type="http://schemas.openxmlformats.org/officeDocument/2006/relationships/hyperlink" Target="https://www.cybersurance.ca/service-portfolio/cybersurance-crc-program" TargetMode="External"/><Relationship Id="rId19" Type="http://schemas.openxmlformats.org/officeDocument/2006/relationships/hyperlink" Target="https://www.ncsc.gov.uk/cyberessentials/overview" TargetMode="External"/><Relationship Id="rId20" Type="http://schemas.openxmlformats.org/officeDocument/2006/relationships/hyperlink" Target="https://verifyonce.com/" TargetMode="External"/><Relationship Id="rId21" Type="http://schemas.openxmlformats.org/officeDocument/2006/relationships/hyperlink" Target="https://www.interac.ca/en/verification/business/interac-verified-credential-service/" TargetMode="External"/><Relationship Id="rId22" Type="http://schemas.openxmlformats.org/officeDocument/2006/relationships/hyperlink" Target="https://www.entrust.com/products/identity-verification" TargetMode="External"/><Relationship Id="rId23" Type="http://schemas.openxmlformats.org/officeDocument/2006/relationships/hyperlink" Target="https://ised-isde.canada.ca/site/canadian-intellectual-property-office/en/trademarks/trademarks-guide" TargetMode="External"/><Relationship Id="rId24" Type="http://schemas.openxmlformats.org/officeDocument/2006/relationships/hyperlink" Target="https://ised-isde.canada.ca/cipo/trademark-search/srch?lang=eng" TargetMode="External"/><Relationship Id="rId25" Type="http://schemas.openxmlformats.org/officeDocument/2006/relationships/hyperlink" Target="https://spectracyber.com/agent" TargetMode="External"/><Relationship Id="rId26" Type="http://schemas.openxmlformats.org/officeDocument/2006/relationships/hyperlink" Target="https://spectracyber.com/partner-program" TargetMode="External"/><Relationship Id="rId27" Type="http://schemas.openxmlformats.org/officeDocument/2006/relationships/hyperlink" Target="https://hitrustalliance.net/press-releases/hitrust-2025-trust-report-demonstrates-improved-cybersecurity-outcomes-for-certified-organizations" TargetMode="External"/><Relationship Id="rId28" Type="http://schemas.openxmlformats.org/officeDocument/2006/relationships/hyperlink" Target="https://www.cybcube.com/" TargetMode="External"/><Relationship Id="rId29" Type="http://schemas.openxmlformats.org/officeDocument/2006/relationships/hyperlink" Target="https://www.coalitioninc.com/en-ca/security/teams" TargetMode="External"/><Relationship Id="rId30" Type="http://schemas.openxmlformats.org/officeDocument/2006/relationships/hyperlink" Target="https://www.cfc.com/en-us/knowledge/resources/articles/2025/03/cyber-product-enhancements-proactive-services/" TargetMode="External"/><Relationship Id="rId31" Type="http://schemas.openxmlformats.org/officeDocument/2006/relationships/hyperlink" Target="https://boxxinsurance.com/ca/en/products-services-cyber-insurance-small-business/" TargetMode="External"/><Relationship Id="rId32" Type="http://schemas.openxmlformats.org/officeDocument/2006/relationships/hyperlink" Target="https://www.berkley.com/business-insurance/cyber" TargetMode="External"/><Relationship Id="rId33" Type="http://schemas.openxmlformats.org/officeDocument/2006/relationships/hyperlink" Target="https://axaxl.com/insurance/products/cyber-risk-consulting" TargetMode="External"/><Relationship Id="rId34" Type="http://schemas.openxmlformats.org/officeDocument/2006/relationships/hyperlink" Target="https://www.iso.org/standard/29352.html" TargetMode="External"/><Relationship Id="rId35" Type="http://schemas.openxmlformats.org/officeDocument/2006/relationships/hyperlink" Target="https://www.iso.org/standard/46568.html" TargetMode="External"/><Relationship Id="rId36" Type="http://schemas.openxmlformats.org/officeDocument/2006/relationships/hyperlink" Target="https://www.iso.org/conformity-assessment.html" TargetMode="External"/><Relationship Id="rId37" Type="http://schemas.openxmlformats.org/officeDocument/2006/relationships/hyperlink" Target="https://committee.iso.org/bodies.html" TargetMode="External"/><Relationship Id="rId38" Type="http://schemas.openxmlformats.org/officeDocument/2006/relationships/hyperlink" Target="https://ised-isde.canada.ca/site/ised/en/about-copyright" TargetMode="External"/><Relationship Id="rId39" Type="http://schemas.openxmlformats.org/officeDocument/2006/relationships/hyperlink" Target="https://ised-isde.canada.ca/site/canadian-intellectual-property-office/en/what-intellectual-property/what-trade-secret" TargetMode="External"/><Relationship Id="rId40" Type="http://schemas.openxmlformats.org/officeDocument/2006/relationships/hyperlink" Target="https://ised-isde.canada.ca/site/canadian-intellectual-property-office/en/march-2026-practice-notice-patentable-subject-matter-under-patent-act" TargetMode="External"/><Relationship Id="rId41" Type="http://schemas.openxmlformats.org/officeDocument/2006/relationships/hyperlink" Target="https://www.wipo.int/en/web/patents/faq_patents" TargetMode="External"/><Relationship Id="rId42" Type="http://schemas.openxmlformats.org/officeDocument/2006/relationships/hyperlink" Target="https://www.wipo.int/en/web/madrid-system/how_to/file/index" TargetMode="External"/><Relationship Id="rId43" Type="http://schemas.openxmlformats.org/officeDocument/2006/relationships/hyperlink" Target="https://ised-isde.canada.ca/site/canadian-intellectual-property-office/en/corporate-information/canadian-ip-voices-podcast-case-studies-and-blog/stamped-excellence-power-certification-marks" TargetMode="External"/><Relationship Id="rId44" Type="http://schemas.openxmlformats.org/officeDocument/2006/relationships/hyperlink" Target="https://laws.justice.gc.ca/eng/acts/T-13/page-1.html" TargetMode="External"/><Relationship Id="rId45" Type="http://schemas.openxmlformats.org/officeDocument/2006/relationships/hyperlink" Target="https://ised-isde.canada.ca/site/canadian-intellectual-property-office/en/template-certification-mark-used-canada" TargetMode="External"/><Relationship Id="rId46" Type="http://schemas.openxmlformats.org/officeDocument/2006/relationships/hyperlink" Target="https://ised-isde.canada.ca/site/canadian-intellectual-property-office/en/copyright/registration-copyright-filing-online" TargetMode="External"/><Relationship Id="rId47" Type="http://schemas.openxmlformats.org/officeDocument/2006/relationships/hyperlink" Target="https://www.aon.com/en/capabilities/cyber-resilience/carrier-aligned-security-assessment" TargetMode="External"/><Relationship Id="rId48" Type="http://schemas.openxmlformats.org/officeDocument/2006/relationships/hyperlink" Target="https://www.aon.com/en/capabilities/cyber-resilience/cyber-quotient-evalu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Laurelshield Cyber Insurability Assurance — MOAT Research and Implementation Blueprint</dc:title>
  <dc:subject>Verify Once. Demonstrate Everywhere — Competitive Research, Business Process, IP Protection, and Detailed MOAT Implementation</dc:subject>
  <dc:creator>python-docx</dc:creator>
  <cp:keywords>Laurelshield, cyber insurability assurance, cyber risk passport, cyber insurance, moat, underwriting evidence, verification, trademark, patent</cp:keywords>
  <dc:description>Prepared September 2026.</dc:description>
  <cp:lastModifiedBy/>
  <cp:revision>1</cp:revision>
  <dcterms:created xsi:type="dcterms:W3CDTF">2013-12-23T23:15:00Z</dcterms:created>
  <dcterms:modified xsi:type="dcterms:W3CDTF">2013-12-23T23:15:00Z</dcterms:modified>
  <cp:category/>
</cp:coreProperties>
</file>