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i w:val="0"/>
          <w:color w:val="0B2E4F"/>
          <w:sz w:val="60"/>
        </w:rPr>
        <w:t>LAURELSHIELD</w:t>
      </w:r>
    </w:p>
    <w:p>
      <w:pPr>
        <w:jc w:val="center"/>
      </w:pPr>
      <w:r>
        <w:rPr>
          <w:rFonts w:ascii="Segoe UI" w:hAnsi="Segoe UI"/>
          <w:b w:val="0"/>
          <w:i/>
          <w:color w:val="0E7C86"/>
          <w:sz w:val="30"/>
        </w:rPr>
        <w:t>MOAT Validation &amp; Strategic Improvement Memo</w:t>
      </w:r>
    </w:p>
    <w:p>
      <w:pPr>
        <w:jc w:val="center"/>
      </w:pPr>
      <w:r>
        <w:rPr>
          <w:rFonts w:ascii="Segoe UI" w:hAnsi="Segoe UI"/>
          <w:b w:val="0"/>
          <w:i w:val="0"/>
          <w:color w:val="334E68"/>
          <w:sz w:val="22"/>
        </w:rPr>
        <w:t>An independent review of the Cyber Insurability Assurance research, five concrete</w:t>
        <w:br/>
        <w:t>amendments, and a summary of the reference platform built to operationalize it.</w:t>
      </w:r>
    </w:p>
    <w:p>
      <w:pPr>
        <w:spacing w:before="0" w:after="400"/>
      </w:pPr>
    </w:p>
    <w:p>
      <w:pPr>
        <w:jc w:val="center"/>
      </w:pPr>
      <w:r>
        <w:rPr>
          <w:rFonts w:ascii="Segoe UI" w:hAnsi="Segoe UI"/>
          <w:b w:val="0"/>
          <w:i/>
          <w:color w:val="5A5A5A"/>
          <w:sz w:val="19"/>
        </w:rPr>
        <w:t>Prepared as a second-opinion review of the September 2026 Laurelshield MOAT</w:t>
        <w:br/>
        <w:t>research document. Companion documents: Security &amp; Compliance Procedures,</w:t>
        <w:br/>
        <w:t>Platform Architecture &amp; Build Documentation, Operations Runbook, Role Quick-Start Guides.</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r>
        <w:br w:type="page"/>
      </w:r>
    </w:p>
    <w:p>
      <w:pPr>
        <w:pStyle w:val="Heading1"/>
      </w:pPr>
      <w:r>
        <w:t>1. Verdict: Is This a Real Moat?</w:t>
      </w:r>
    </w:p>
    <w:p>
      <w:pPr>
        <w:spacing w:before="0" w:after="120"/>
      </w:pPr>
      <w:r>
        <w:rPr>
          <w:rFonts w:ascii="Segoe UI" w:hAnsi="Segoe UI"/>
          <w:b w:val="0"/>
          <w:i w:val="0"/>
          <w:sz w:val="20"/>
        </w:rPr>
        <w:t>Short answer: no single idea in the original research document is a moat, and the document itself already says so. That self-assessment holds up under independent review. The category — “verify a company's cyber controls and show insurers” — is populated by SPECTRA, HITRUST, CyberCube, Coalition, CFC, and CyberSurance Canada, among others. A questionnaire, a report template, a scoring rubric, or even the phrase “Cyber Insurability Assurance” can be copied in weeks. None of that is defensible on its own.</w:t>
      </w:r>
    </w:p>
    <w:p>
      <w:pPr>
        <w:spacing w:before="0" w:after="120"/>
      </w:pPr>
      <w:r>
        <w:rPr>
          <w:rFonts w:ascii="Segoe UI" w:hAnsi="Segoe UI"/>
          <w:b w:val="0"/>
          <w:i w:val="0"/>
          <w:sz w:val="20"/>
        </w:rPr>
        <w:t>What is defensible is the compounding stack the document lays out in Section 1.3: canonical controls, a disciplined evidence-confidence model, a confidential carrier-mapping graph, a portable signed passport, continuous assurance, embedded distribution, and — the slowest and most valuable layer — years of underwriting-outcome data tied to verified controls. That conclusion is correct. This memo does not change it.</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SHARPENED VERDICT</w:t>
            </w:r>
          </w:p>
          <w:p>
            <w:pPr>
              <w:spacing w:before="0" w:after="40"/>
            </w:pPr>
            <w:r>
              <w:rPr>
                <w:rFonts w:ascii="Segoe UI" w:hAnsi="Segoe UI"/>
                <w:b w:val="0"/>
                <w:i w:val="0"/>
                <w:sz w:val="20"/>
              </w:rPr>
              <w:t xml:space="preserve">The one refinement worth making to the verdict: the scarce asset is not “verification” (a commodity every carrier and rating platform already performs some version of) but </w:t>
            </w:r>
            <w:r>
              <w:rPr>
                <w:rFonts w:ascii="Segoe UI" w:hAnsi="Segoe UI"/>
                <w:b/>
                <w:i w:val="0"/>
                <w:sz w:val="20"/>
              </w:rPr>
              <w:t>independence that a competing carrier will actually trust</w:t>
            </w:r>
            <w:r>
              <w:rPr>
                <w:rFonts w:ascii="Segoe UI" w:hAnsi="Segoe UI"/>
                <w:b w:val="0"/>
                <w:i w:val="0"/>
                <w:sz w:val="20"/>
              </w:rPr>
              <w:t xml:space="preserve"> — a passport is only useful across multiple carriers if none of them believe it was shaped by placement or premium incentives. That neutrality is harder to copy than the technology, because a carrier-owned or broker-owned version of this product structurally cannot offer it.</w:t>
            </w:r>
          </w:p>
        </w:tc>
      </w:tr>
    </w:tbl>
    <w:p>
      <w:pPr>
        <w:spacing w:before="0" w:after="80"/>
      </w:pPr>
    </w:p>
    <w:p>
      <w:r>
        <w:br w:type="page"/>
      </w:r>
    </w:p>
    <w:p>
      <w:pPr>
        <w:pStyle w:val="Heading1"/>
      </w:pPr>
      <w:r>
        <w:t>2. Where the Original Strategy Is Right</w:t>
      </w:r>
    </w:p>
    <w:p>
      <w:pPr>
        <w:spacing w:before="0" w:after="120"/>
      </w:pPr>
      <w:r>
        <w:rPr>
          <w:rFonts w:ascii="Segoe UI" w:hAnsi="Segoe UI"/>
          <w:b w:val="0"/>
          <w:i w:val="0"/>
          <w:sz w:val="20"/>
        </w:rPr>
        <w:t>These elements of the September 2026 document are sound as written and this review found no reason to change them:</w:t>
      </w:r>
    </w:p>
    <w:p>
      <w:pPr>
        <w:pStyle w:val="ListBullet"/>
        <w:spacing w:after="40"/>
        <w:ind w:left="432"/>
      </w:pPr>
      <w:r>
        <w:rPr>
          <w:rFonts w:ascii="Segoe UI" w:hAnsi="Segoe UI"/>
          <w:b w:val="0"/>
          <w:i w:val="0"/>
          <w:sz w:val="20"/>
        </w:rPr>
        <w:t>The ten-layer moat stack (Section 1.3) and its strength ratings (Section 1.2) — realistic, not inflated.</w:t>
      </w:r>
    </w:p>
    <w:p>
      <w:pPr>
        <w:pStyle w:val="ListBullet"/>
        <w:spacing w:after="40"/>
        <w:ind w:left="432"/>
      </w:pPr>
      <w:r>
        <w:rPr>
          <w:rFonts w:ascii="Segoe UI" w:hAnsi="Segoe UI"/>
          <w:b w:val="0"/>
          <w:i w:val="0"/>
          <w:sz w:val="20"/>
        </w:rPr>
        <w:t>Carrier-neutral, broker-neutral positioning (Key Strategic Decision #1) — the correct starting posture given how many carrier-owned competitors already exist (Coalition, CFC, BOXX/Zurich).</w:t>
      </w:r>
    </w:p>
    <w:p>
      <w:pPr>
        <w:pStyle w:val="ListBullet"/>
        <w:spacing w:after="40"/>
        <w:ind w:left="432"/>
      </w:pPr>
      <w:r>
        <w:rPr>
          <w:rFonts w:ascii="Segoe UI" w:hAnsi="Segoe UI"/>
          <w:b w:val="0"/>
          <w:i w:val="0"/>
          <w:sz w:val="20"/>
        </w:rPr>
        <w:t>The Evidence Confidence Level model, ECL-0 through ECL-5 (Section 5.4) — a genuinely useful public standard; publishing it does not weaken the moat because the discipline of applying it consistently is the hard part, not the scale itself.</w:t>
      </w:r>
    </w:p>
    <w:p>
      <w:pPr>
        <w:pStyle w:val="ListBullet"/>
        <w:spacing w:after="40"/>
        <w:ind w:left="432"/>
      </w:pPr>
      <w:r>
        <w:rPr>
          <w:rFonts w:ascii="Segoe UI" w:hAnsi="Segoe UI"/>
          <w:b w:val="0"/>
          <w:i w:val="0"/>
          <w:sz w:val="20"/>
        </w:rPr>
        <w:t>Treating the Carrier Requirements Graph, scoring weights, and outcome data as trade secrets rather than trying to patent or trademark them (Section 11.5) — correct instinct; those are exactly the assets patents and trademarks cannot protect but confidentiality can.</w:t>
      </w:r>
    </w:p>
    <w:p>
      <w:pPr>
        <w:pStyle w:val="ListBullet"/>
        <w:spacing w:after="40"/>
        <w:ind w:left="432"/>
      </w:pPr>
      <w:r>
        <w:rPr>
          <w:rFonts w:ascii="Segoe UI" w:hAnsi="Segoe UI"/>
          <w:b w:val="0"/>
          <w:i w:val="0"/>
          <w:sz w:val="20"/>
        </w:rPr>
        <w:t>The 24-month phased execution sequence (Section 16) — appropriately conservative; it resists the temptation to over-build software before a single broker or carrier has confirmed the evidence is useful.</w:t>
      </w:r>
    </w:p>
    <w:p>
      <w:r>
        <w:br w:type="page"/>
      </w:r>
    </w:p>
    <w:p>
      <w:pPr>
        <w:pStyle w:val="Heading1"/>
      </w:pPr>
      <w:r>
        <w:t>3. Five Concrete Improvements</w:t>
      </w:r>
    </w:p>
    <w:p>
      <w:pPr>
        <w:pStyle w:val="Heading2"/>
      </w:pPr>
      <w:r>
        <w:t>3.1 Adopt an open credential format; keep the value proprietary</w:t>
      </w:r>
    </w:p>
    <w:p>
      <w:pPr>
        <w:spacing w:before="0" w:after="120"/>
      </w:pPr>
      <w:r>
        <w:rPr>
          <w:rFonts w:ascii="Segoe UI" w:hAnsi="Segoe UI"/>
          <w:b w:val="0"/>
          <w:i w:val="0"/>
          <w:sz w:val="20"/>
        </w:rPr>
        <w:t>The passport's cryptographic wrapper (Section 5.7) does not need to be a bespoke Laurelshield format. A carrier or broker asked to trust a signature scheme they cannot inspect will resist adoption regardless of how good the underlying evidence is. Structuring the passport as a W3C Verifiable Credential (or an equivalent open, auditable envelope) removes that objection for free, because the format was never the moat — the confidential mapping and weighting behind it is. This also makes the eventual Madrid-style multi-jurisdiction and multi-carrier expansion (Section 11.1) easier to reason about, since the credential's authenticity no longer depends on trusting Laurelshield's proprietary verifier alone.</w:t>
      </w:r>
    </w:p>
    <w:p>
      <w:pPr>
        <w:pStyle w:val="Heading2"/>
      </w:pPr>
      <w:r>
        <w:t>3.2 Build decision-independence into the system, not just the policy</w:t>
      </w:r>
    </w:p>
    <w:p>
      <w:pPr>
        <w:spacing w:before="0" w:after="120"/>
      </w:pPr>
      <w:r>
        <w:rPr>
          <w:rFonts w:ascii="Segoe UI" w:hAnsi="Segoe UI"/>
          <w:b w:val="0"/>
          <w:i w:val="0"/>
          <w:sz w:val="20"/>
        </w:rPr>
        <w:t>Section 4.1 and 10.1 correctly require that the certification decision be structurally independent of remediation delivery. The original document treats this as a governance policy. It should also be a system control: role-based access control that makes it technically impossible for the same account that proposed an ECL to also finalize the decision, and impossible for the account that closed a customer's remediation item to be the same account that approved the original finding. The reference platform built this session enforces exactly this separation (assessor vs. decision officer) — see Section 5 below.</w:t>
      </w:r>
    </w:p>
    <w:p>
      <w:pPr>
        <w:pStyle w:val="Heading2"/>
      </w:pPr>
      <w:r>
        <w:t>3.3 Bring the broker “readiness score” product forward</w:t>
      </w:r>
    </w:p>
    <w:p>
      <w:pPr>
        <w:spacing w:before="0" w:after="120"/>
      </w:pPr>
      <w:r>
        <w:rPr>
          <w:rFonts w:ascii="Segoe UI" w:hAnsi="Segoe UI"/>
          <w:b w:val="0"/>
          <w:i w:val="0"/>
          <w:sz w:val="20"/>
        </w:rPr>
        <w:t>The product ladder (Section 7.1) sequences the Broker Console after Verified Assessment and Passport Subscription. CyberCube's Prep Module is already validating broker demand for exactly this signal today, before any certification scheme matures (Section 2.3). A narrower, unbundled “readiness snapshot for a known broker relationship” offering should be tested in the Days 31-90 pilot window (Section 12.3) rather than waiting for Months 7-12.</w:t>
      </w:r>
    </w:p>
    <w:p>
      <w:pPr>
        <w:pStyle w:val="Heading2"/>
      </w:pPr>
      <w:r>
        <w:t>3.4 Start the outcome-data rights ledger on day one, not month seven</w:t>
      </w:r>
    </w:p>
    <w:p>
      <w:pPr>
        <w:spacing w:before="0" w:after="120"/>
      </w:pPr>
      <w:r>
        <w:rPr>
          <w:rFonts w:ascii="Segoe UI" w:hAnsi="Segoe UI"/>
          <w:b w:val="0"/>
          <w:i w:val="0"/>
          <w:sz w:val="20"/>
        </w:rPr>
        <w:t>Section 12.12 and 12.5 schedule structured outcome-data collection for Months 7-12. Outcome data is the slowest-compounding layer in the entire stack (Section 1.3, Layer 9) — it needs years, not months, to become defensible. The rights ledger (Section 11.7) and a simple opt-in outcome-sharing clause should be part of the very first design-partner MSA (Section 12.2), even though the data pipeline to use it won't be built for months. Every pilot customer who doesn't sign the opt-in on day one is outcome data Laurelshield can never retroactively collect.</w:t>
      </w:r>
    </w:p>
    <w:p>
      <w:pPr>
        <w:pStyle w:val="Heading2"/>
      </w:pPr>
      <w:r>
        <w:t>3.5 Say the quiet part in every carrier conversation</w:t>
      </w:r>
    </w:p>
    <w:p>
      <w:pPr>
        <w:spacing w:before="0" w:after="120"/>
      </w:pPr>
      <w:r>
        <w:rPr>
          <w:rFonts w:ascii="Segoe UI" w:hAnsi="Segoe UI"/>
          <w:b w:val="0"/>
          <w:i w:val="0"/>
          <w:sz w:val="20"/>
        </w:rPr>
        <w:t>The document's discovery-question list (Section 9.2) asks carriers what evidence they need. It should also, explicitly and early, ask what would make a carrier trust evidence assembled by a vendor who is not their own MGA or panel provider. If the honest answer is “nothing, we only trust our own assessment,” that carrier is not a near-term target regardless of how good the passport is — better to learn this in a Level 0-1 discovery conversation (Section 9.1) than after months of a Level 2 pilot.</w:t>
      </w:r>
    </w:p>
    <w:p>
      <w:r>
        <w:br w:type="page"/>
      </w:r>
    </w:p>
    <w:p>
      <w:pPr>
        <w:pStyle w:val="Heading1"/>
      </w:pPr>
      <w:r>
        <w:t>4. One Risk the Original Document Under-Weights</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REGULATORY CHARACTERIZATION RISK</w:t>
            </w:r>
          </w:p>
          <w:p>
            <w:pPr>
              <w:spacing w:before="0" w:after="40"/>
            </w:pPr>
            <w:r>
              <w:rPr>
                <w:rFonts w:ascii="Segoe UI" w:hAnsi="Segoe UI"/>
                <w:b w:val="0"/>
                <w:i w:val="0"/>
                <w:sz w:val="20"/>
              </w:rPr>
              <w:t>If Laurelshield's assurance output materially shapes underwriting terms across multiple carriers at scale, a regulator could eventually try to characterize that role as adjacent to underwriting support or insurance advice — even though Laurelshield binds no coverage and makes no placement recommendation. The original document's “must never claim” list (Section 3.3) is the right first line of defense. The addition this memo recommends: obtain a coverage-counsel opinion on licensing boundaries before the Months 7-12 carrier-integration push (Section 12.5), not after a regulator asks the question first.</w:t>
            </w:r>
          </w:p>
        </w:tc>
      </w:tr>
    </w:tbl>
    <w:p>
      <w:pPr>
        <w:spacing w:before="0" w:after="80"/>
      </w:pPr>
    </w:p>
    <w:p>
      <w:r>
        <w:br w:type="page"/>
      </w:r>
    </w:p>
    <w:p>
      <w:pPr>
        <w:pStyle w:val="Heading1"/>
      </w:pPr>
      <w:r>
        <w:t>5. The Reference Platform Built This Session</w:t>
      </w:r>
    </w:p>
    <w:p>
      <w:pPr>
        <w:spacing w:before="0" w:after="120"/>
      </w:pPr>
      <w:r>
        <w:rPr>
          <w:rFonts w:ascii="Segoe UI" w:hAnsi="Segoe UI"/>
          <w:b w:val="0"/>
          <w:i w:val="0"/>
          <w:sz w:val="20"/>
        </w:rPr>
        <w:t>To make Sections 12.2-12.3's “sample Passport prototype,” “one-page architecture,” and “lightweight secure portal” deliverables concrete before the next Aon/EVC or design-partner conversation, a working reference implementation now exists: a Node.js/Express API with a SQLite evidence store and four role-separated web portals (Customer, Assurance Operations, Broker, Carrier).</w:t>
      </w:r>
    </w:p>
    <w:p>
      <w:pPr>
        <w:spacing w:before="0" w:after="120"/>
      </w:pPr>
      <w:r>
        <w:rPr>
          <w:rFonts w:ascii="Segoe UI" w:hAnsi="Segoe UI"/>
          <w:b w:val="0"/>
          <w:i w:val="0"/>
          <w:sz w:val="20"/>
        </w:rPr>
        <w:t>It instantiates, end to end, the full Stage 1-12 business process from Section 4: scope registration, simulated evidence connectors mapped to 40 canonical controls across the ten domains in Section 6.1, the ECL-0 through ECL-5 confidence model, a confidential Carrier Requirements Graph with per-partner translation (Section 5.6, 6.3, Appendix B), signed and revocable passport issuance (Section 5.7), customer-controlled selective disclosure with a full access log (Section 5.8), and a continuous-assurance freshness engine that automatically downgrades stale claims (Section 5.9, Stage 11).</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WHAT WAS SIMPLIFIED AND WHY</w:t>
            </w:r>
          </w:p>
          <w:p>
            <w:pPr>
              <w:spacing w:before="0" w:after="40"/>
            </w:pPr>
            <w:r>
              <w:rPr>
                <w:rFonts w:ascii="Segoe UI" w:hAnsi="Segoe UI"/>
                <w:b w:val="0"/>
                <w:i w:val="0"/>
                <w:sz w:val="20"/>
              </w:rPr>
              <w:t>Two simplifications were deliberate and match the original document's own phasing, not oversights: evidence connectors are simulated rather than live Microsoft Graph/CrowdStrike/Veeam integrations (the document's own Days 31-90 plan calls for exactly one live connector first, Section 12.3), and passport signatures use HMAC-SHA256 rather than a KMS/HSM-backed asymmetric keypair (fine for a single-tenant proof of concept; the upgrade path is documented in the Platform Architecture doc). Both are one-file changes when the business is ready to move past pilot.</w:t>
            </w:r>
          </w:p>
        </w:tc>
      </w:tr>
    </w:tbl>
    <w:p>
      <w:pPr>
        <w:spacing w:before="0" w:after="80"/>
      </w:pPr>
    </w:p>
    <w:p>
      <w:pPr>
        <w:spacing w:before="0" w:after="120"/>
      </w:pPr>
      <w:r>
        <w:rPr>
          <w:rFonts w:ascii="Segoe UI" w:hAnsi="Segoe UI"/>
          <w:b w:val="0"/>
          <w:i w:val="0"/>
          <w:sz w:val="20"/>
        </w:rPr>
        <w:t>Full technical detail is in the companion Platform Architecture &amp; Build Documentation. Day-to-day operating procedures for running the business processes the platform supports are in the companion Operations Runbook. Security and privacy control mappings are in the companion Security &amp; Compliance Procedures document.</w:t>
      </w:r>
    </w:p>
    <w:p>
      <w:r>
        <w:br w:type="page"/>
      </w:r>
    </w:p>
    <w:p>
      <w:pPr>
        <w:pStyle w:val="Heading1"/>
      </w:pPr>
      <w:r>
        <w:t>6. Recommendation</w:t>
      </w:r>
    </w:p>
    <w:p>
      <w:pPr>
        <w:spacing w:before="0" w:after="120"/>
      </w:pPr>
      <w:r>
        <w:rPr>
          <w:rFonts w:ascii="Segoe UI" w:hAnsi="Segoe UI"/>
          <w:b w:val="0"/>
          <w:i w:val="0"/>
          <w:sz w:val="20"/>
        </w:rPr>
        <w:t>Proceed with the original 24-month execution sequence (Section 16) essentially as written. Treat the five amendments in Section 3 of this memo as refinements, not a change of direction. Use the reference platform as the tangible artifact for the “immediate deliverables” list in Section 16.1 — it is closer to a working Passport and architecture diagram than a slide deck would be, and it can be demonstrated live in a discovery conversation with a broker or underwriter without exposing the confidential Carrier Requirements Graph itself.</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b w:val="0"/>
        <w:i w:val="0"/>
        <w:color w:val="5A5A5A"/>
        <w:sz w:val="16"/>
      </w:rPr>
      <w:t xml:space="preserve">Laurelshield — MOAT Validation &amp; Improvement Memo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s="Segoe UI" w:eastAsia="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cs="Segoe UI"/>
      <w:b/>
      <w:bCs/>
      <w:i w:val="0"/>
      <w:color w:val="0B2E4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b/>
      <w:bCs/>
      <w:i w:val="0"/>
      <w:color w:val="0E7C8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Segoe UI" w:hAnsi="Segoe UI" w:cs="Segoe UI"/>
      <w:b/>
      <w:bCs/>
      <w:i w:val="0"/>
      <w:color w:val="334E68"/>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Segoe UI" w:hAnsi="Segoe UI" w:cs="Segoe UI"/>
      <w:b/>
      <w:bCs/>
      <w:i/>
      <w:iCs/>
      <w:color w:val="334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Segoe UI" w:hAnsi="Segoe UI" w:cs="Segoe UI"/>
      <w:b/>
      <w:i w:val="0"/>
      <w:color w:val="0B2E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Segoe UI" w:hAnsi="Segoe UI" w:cs="Segoe UI"/>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