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i w:val="0"/>
          <w:color w:val="0B2E4F"/>
          <w:sz w:val="60"/>
        </w:rPr>
        <w:t>LAURELSHIELD</w:t>
      </w:r>
    </w:p>
    <w:p>
      <w:pPr>
        <w:jc w:val="center"/>
      </w:pPr>
      <w:r>
        <w:rPr>
          <w:rFonts w:ascii="Segoe UI" w:hAnsi="Segoe UI"/>
          <w:b w:val="0"/>
          <w:i/>
          <w:color w:val="0E7C86"/>
          <w:sz w:val="30"/>
        </w:rPr>
        <w:t>Operations Runbook</w:t>
      </w:r>
    </w:p>
    <w:p>
      <w:pPr>
        <w:jc w:val="center"/>
      </w:pPr>
      <w:r>
        <w:rPr>
          <w:rFonts w:ascii="Segoe UI" w:hAnsi="Segoe UI"/>
          <w:b w:val="0"/>
          <w:i w:val="0"/>
          <w:color w:val="334E68"/>
          <w:sz w:val="22"/>
        </w:rPr>
        <w:t>Day-to-day procedures for running the Cyber Insurability Assurance</w:t>
        <w:br/>
        <w:t>business process on the reference platform</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 w:fldCharType="end"/>
      </w:r>
    </w:p>
    <w:p>
      <w:r>
        <w:br w:type="page"/>
      </w:r>
    </w:p>
    <w:p>
      <w:pPr>
        <w:pStyle w:val="Heading1"/>
      </w:pPr>
      <w:r>
        <w:t>1. Purpose and Audience</w:t>
      </w:r>
    </w:p>
    <w:p>
      <w:pPr>
        <w:spacing w:before="0" w:after="120"/>
      </w:pPr>
      <w:r>
        <w:rPr>
          <w:rFonts w:ascii="Segoe UI" w:hAnsi="Segoe UI"/>
          <w:b w:val="0"/>
          <w:i w:val="0"/>
          <w:sz w:val="20"/>
        </w:rPr>
        <w:t>This runbook is for the people who operate Laurelshield day to day: Assurance Operations staff (assessors, decision officers, the scheme manager/admin), and anyone onboarding a new customer, broker, or carrier relationship. It describes how to actually perform each of the 12 business-process stages using the reference platform, not just what the stage means in principle.</w:t>
      </w:r>
    </w:p>
    <w:p>
      <w:r>
        <w:br w:type="page"/>
      </w:r>
    </w:p>
    <w:p>
      <w:pPr>
        <w:pStyle w:val="Heading1"/>
      </w:pPr>
      <w:r>
        <w:t>2. Roles and Responsibilities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color="auto" w:fill="0B2E4F"/>
            <w:tcMar>
              <w:top w:w="80" w:type="dxa"/>
              <w:bottom w:w="80" w:type="dxa"/>
              <w:start w:w="120" w:type="dxa"/>
              <w:end w:w="120" w:type="dxa"/>
            </w:tcMar>
          </w:tcPr>
          <w:p>
            <w:pPr>
              <w:spacing w:before="0" w:after="0"/>
            </w:pPr>
            <w:r/>
            <w:r>
              <w:rPr>
                <w:rFonts w:ascii="Segoe UI" w:hAnsi="Segoe UI"/>
                <w:b/>
                <w:i w:val="0"/>
                <w:color w:val="FFFFFF"/>
                <w:sz w:val="18"/>
              </w:rPr>
              <w:t>Role</w:t>
            </w:r>
          </w:p>
        </w:tc>
        <w:tc>
          <w:tcPr>
            <w:tcW w:type="dxa" w:w="1728"/>
            <w:shd w:val="clear" w:color="auto" w:fill="0B2E4F"/>
            <w:tcMar>
              <w:top w:w="80" w:type="dxa"/>
              <w:bottom w:w="80" w:type="dxa"/>
              <w:start w:w="120" w:type="dxa"/>
              <w:end w:w="120" w:type="dxa"/>
            </w:tcMar>
          </w:tcPr>
          <w:p>
            <w:pPr>
              <w:spacing w:before="0" w:after="0"/>
            </w:pPr>
            <w:r/>
            <w:r>
              <w:rPr>
                <w:rFonts w:ascii="Segoe UI" w:hAnsi="Segoe UI"/>
                <w:b/>
                <w:i w:val="0"/>
                <w:color w:val="FFFFFF"/>
                <w:sz w:val="18"/>
              </w:rPr>
              <w:t>Platform Account Type</w:t>
            </w:r>
          </w:p>
        </w:tc>
        <w:tc>
          <w:tcPr>
            <w:tcW w:type="dxa" w:w="3600"/>
            <w:shd w:val="clear" w:color="auto" w:fill="0B2E4F"/>
            <w:tcMar>
              <w:top w:w="80" w:type="dxa"/>
              <w:bottom w:w="80" w:type="dxa"/>
              <w:start w:w="120" w:type="dxa"/>
              <w:end w:w="120" w:type="dxa"/>
            </w:tcMar>
          </w:tcPr>
          <w:p>
            <w:pPr>
              <w:spacing w:before="0" w:after="0"/>
            </w:pPr>
            <w:r/>
            <w:r>
              <w:rPr>
                <w:rFonts w:ascii="Segoe UI" w:hAnsi="Segoe UI"/>
                <w:b/>
                <w:i w:val="0"/>
                <w:color w:val="FFFFFF"/>
                <w:sz w:val="18"/>
              </w:rPr>
              <w:t>Responsibility</w:t>
            </w:r>
          </w:p>
        </w:tc>
        <w:tc>
          <w:tcPr>
            <w:tcW w:type="dxa" w:w="2880"/>
            <w:shd w:val="clear" w:color="auto" w:fill="0B2E4F"/>
            <w:tcMar>
              <w:top w:w="80" w:type="dxa"/>
              <w:bottom w:w="80" w:type="dxa"/>
              <w:start w:w="120" w:type="dxa"/>
              <w:end w:w="120" w:type="dxa"/>
            </w:tcMar>
          </w:tcPr>
          <w:p>
            <w:pPr>
              <w:spacing w:before="0" w:after="0"/>
            </w:pPr>
            <w:r/>
            <w:r>
              <w:rPr>
                <w:rFonts w:ascii="Segoe UI" w:hAnsi="Segoe UI"/>
                <w:b/>
                <w:i w:val="0"/>
                <w:color w:val="FFFFFF"/>
                <w:sz w:val="18"/>
              </w:rPr>
              <w:t>Cannot Do</w:t>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Scheme Manager / Admin</w:t>
            </w:r>
          </w:p>
        </w:tc>
        <w:tc>
          <w:tcPr>
            <w:tcW w:type="dxa" w:w="1728"/>
            <w:tcMar>
              <w:top w:w="80" w:type="dxa"/>
              <w:bottom w:w="80" w:type="dxa"/>
              <w:start w:w="120" w:type="dxa"/>
              <w:end w:w="120" w:type="dxa"/>
            </w:tcMar>
          </w:tcPr>
          <w:p>
            <w:pPr>
              <w:spacing w:before="0" w:after="0"/>
            </w:pPr>
            <w:r>
              <w:rPr>
                <w:sz w:val="18"/>
              </w:rPr>
            </w:r>
            <w:r>
              <w:rPr>
                <w:rFonts w:ascii="Segoe UI" w:hAnsi="Segoe UI"/>
                <w:b w:val="0"/>
                <w:i w:val="0"/>
                <w:sz w:val="18"/>
              </w:rPr>
              <w:t>ls_admin</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Maintains the control catalogue and Carrier Requirements Graph; runs continuous-assurance demo/ops tools; sole holder of full audit-log visibility</w:t>
            </w:r>
          </w:p>
        </w:tc>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Nothing is withheld from this role in the MVP — production should split admin into narrower roles (see Platform Architecture &amp; Build Documentation, Roadmap)</w:t>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Technical Assessor</w:t>
            </w:r>
          </w:p>
        </w:tc>
        <w:tc>
          <w:tcPr>
            <w:tcW w:type="dxa" w:w="172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ls_assessor</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Reviews manual/document evidence in the Verification Queue; proposes ECL, effectiveness, and exceptions</w:t>
            </w:r>
          </w:p>
        </w:tc>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Cannot finalize a verification decision (approve/reject) — structurally blocked by RBAC</w:t>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Assurance Decision Officer</w:t>
            </w:r>
          </w:p>
        </w:tc>
        <w:tc>
          <w:tcPr>
            <w:tcW w:type="dxa" w:w="1728"/>
            <w:tcMar>
              <w:top w:w="80" w:type="dxa"/>
              <w:bottom w:w="80" w:type="dxa"/>
              <w:start w:w="120" w:type="dxa"/>
              <w:end w:w="120" w:type="dxa"/>
            </w:tcMar>
          </w:tcPr>
          <w:p>
            <w:pPr>
              <w:spacing w:before="0" w:after="0"/>
            </w:pPr>
            <w:r>
              <w:rPr>
                <w:sz w:val="18"/>
              </w:rPr>
            </w:r>
            <w:r>
              <w:rPr>
                <w:rFonts w:ascii="Segoe UI" w:hAnsi="Segoe UI"/>
                <w:b w:val="0"/>
                <w:i w:val="0"/>
                <w:sz w:val="18"/>
              </w:rPr>
              <w:t>ls_decision_officer</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Finalizes verification decisions; closes remediation items after independent re-verification; resolves appeals</w:t>
            </w:r>
          </w:p>
        </w:tc>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Cannot self-assess a verification before deciding it in the same action — must review an assessor's proposal or the automatic connector evidence</w:t>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Customer Administrator</w:t>
            </w:r>
          </w:p>
        </w:tc>
        <w:tc>
          <w:tcPr>
            <w:tcW w:type="dxa" w:w="172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customer_admin</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Registers scope, connects evidence sources, runs syncs and operational tests, manages remediation and sharing</w:t>
            </w:r>
          </w:p>
        </w:tc>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Cannot approve their own manual evidence submissions or close their own remediation items — both require an Assurance Operations role</w:t>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Broker</w:t>
            </w:r>
          </w:p>
        </w:tc>
        <w:tc>
          <w:tcPr>
            <w:tcW w:type="dxa" w:w="1728"/>
            <w:tcMar>
              <w:top w:w="80" w:type="dxa"/>
              <w:bottom w:w="80" w:type="dxa"/>
              <w:start w:w="120" w:type="dxa"/>
              <w:end w:w="120" w:type="dxa"/>
            </w:tcMar>
          </w:tcPr>
          <w:p>
            <w:pPr>
              <w:spacing w:before="0" w:after="0"/>
            </w:pPr>
            <w:r>
              <w:rPr>
                <w:sz w:val="18"/>
              </w:rPr>
            </w:r>
            <w:r>
              <w:rPr>
                <w:rFonts w:ascii="Segoe UI" w:hAnsi="Segoe UI"/>
                <w:b w:val="0"/>
                <w:i w:val="0"/>
                <w:sz w:val="18"/>
              </w:rPr>
              <w:t>broker</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Views only passports explicitly shared by the customer; sees referral triggers</w:t>
            </w:r>
          </w:p>
        </w:tc>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Cannot see any passport without an active, non-expired sharing grant</w:t>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Carrier</w:t>
            </w:r>
          </w:p>
        </w:tc>
        <w:tc>
          <w:tcPr>
            <w:tcW w:type="dxa" w:w="172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carrier</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Views only the translated, carrier-specific readiness view for passports shared with them</w:t>
            </w:r>
          </w:p>
        </w:tc>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Cannot see another carrier's requirement weights, another carrier's shared passports, or raw evidence</w:t>
            </w:r>
          </w:p>
        </w:tc>
      </w:tr>
    </w:tbl>
    <w:p>
      <w:pPr>
        <w:spacing w:before="0" w:after="80"/>
      </w:pPr>
    </w:p>
    <w:p>
      <w:r>
        <w:br w:type="page"/>
      </w:r>
    </w:p>
    <w:p>
      <w:pPr>
        <w:pStyle w:val="Heading1"/>
      </w:pPr>
      <w:r>
        <w:t>3. Operating Cadence</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color="auto" w:fill="0B2E4F"/>
            <w:tcMar>
              <w:top w:w="80" w:type="dxa"/>
              <w:bottom w:w="80" w:type="dxa"/>
              <w:start w:w="120" w:type="dxa"/>
              <w:end w:w="120" w:type="dxa"/>
            </w:tcMar>
          </w:tcPr>
          <w:p>
            <w:pPr>
              <w:spacing w:before="0" w:after="0"/>
            </w:pPr>
            <w:r/>
            <w:r>
              <w:rPr>
                <w:rFonts w:ascii="Segoe UI" w:hAnsi="Segoe UI"/>
                <w:b/>
                <w:i w:val="0"/>
                <w:color w:val="FFFFFF"/>
                <w:sz w:val="18"/>
              </w:rPr>
              <w:t>Cadence</w:t>
            </w:r>
          </w:p>
        </w:tc>
        <w:tc>
          <w:tcPr>
            <w:tcW w:type="dxa" w:w="5904"/>
            <w:shd w:val="clear" w:color="auto" w:fill="0B2E4F"/>
            <w:tcMar>
              <w:top w:w="80" w:type="dxa"/>
              <w:bottom w:w="80" w:type="dxa"/>
              <w:start w:w="120" w:type="dxa"/>
              <w:end w:w="120" w:type="dxa"/>
            </w:tcMar>
          </w:tcPr>
          <w:p>
            <w:pPr>
              <w:spacing w:before="0" w:after="0"/>
            </w:pPr>
            <w:r/>
            <w:r>
              <w:rPr>
                <w:rFonts w:ascii="Segoe UI" w:hAnsi="Segoe UI"/>
                <w:b/>
                <w:i w:val="0"/>
                <w:color w:val="FFFFFF"/>
                <w:sz w:val="18"/>
              </w:rPr>
              <w:t>Activity</w:t>
            </w:r>
          </w:p>
        </w:tc>
        <w:tc>
          <w:tcPr>
            <w:tcW w:type="dxa" w:w="2736"/>
            <w:shd w:val="clear" w:color="auto" w:fill="0B2E4F"/>
            <w:tcMar>
              <w:top w:w="80" w:type="dxa"/>
              <w:bottom w:w="80" w:type="dxa"/>
              <w:start w:w="120" w:type="dxa"/>
              <w:end w:w="120" w:type="dxa"/>
            </w:tcMar>
          </w:tcPr>
          <w:p>
            <w:pPr>
              <w:spacing w:before="0" w:after="0"/>
            </w:pPr>
            <w:r/>
            <w:r>
              <w:rPr>
                <w:rFonts w:ascii="Segoe UI" w:hAnsi="Segoe UI"/>
                <w:b/>
                <w:i w:val="0"/>
                <w:color w:val="FFFFFF"/>
                <w:sz w:val="18"/>
              </w:rPr>
              <w:t>Owner</w:t>
            </w:r>
          </w:p>
        </w:tc>
      </w:tr>
      <w:tr>
        <w:tc>
          <w:tcPr>
            <w:tcW w:type="dxa" w:w="1728"/>
            <w:tcMar>
              <w:top w:w="80" w:type="dxa"/>
              <w:bottom w:w="80" w:type="dxa"/>
              <w:start w:w="120" w:type="dxa"/>
              <w:end w:w="120" w:type="dxa"/>
            </w:tcMar>
          </w:tcPr>
          <w:p>
            <w:pPr>
              <w:spacing w:before="0" w:after="0"/>
            </w:pPr>
            <w:r>
              <w:rPr>
                <w:sz w:val="18"/>
              </w:rPr>
            </w:r>
            <w:r>
              <w:rPr>
                <w:rFonts w:ascii="Segoe UI" w:hAnsi="Segoe UI"/>
                <w:b w:val="0"/>
                <w:i w:val="0"/>
                <w:sz w:val="18"/>
              </w:rPr>
              <w:t>Continuous</w:t>
            </w:r>
          </w:p>
        </w:tc>
        <w:tc>
          <w:tcPr>
            <w:tcW w:type="dxa" w:w="5904"/>
            <w:tcMar>
              <w:top w:w="80" w:type="dxa"/>
              <w:bottom w:w="80" w:type="dxa"/>
              <w:start w:w="120" w:type="dxa"/>
              <w:end w:w="120" w:type="dxa"/>
            </w:tcMar>
          </w:tcPr>
          <w:p>
            <w:pPr>
              <w:spacing w:before="0" w:after="0"/>
            </w:pPr>
            <w:r>
              <w:rPr>
                <w:sz w:val="18"/>
              </w:rPr>
            </w:r>
            <w:r>
              <w:rPr>
                <w:rFonts w:ascii="Segoe UI" w:hAnsi="Segoe UI"/>
                <w:b w:val="0"/>
                <w:i w:val="0"/>
                <w:sz w:val="18"/>
              </w:rPr>
              <w:t>Freshness engine evaluates evidence age against each control's freshness threshold</w:t>
            </w:r>
          </w:p>
        </w:tc>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System (customer-triggered check or scheduled sweep)</w:t>
            </w:r>
          </w:p>
        </w:tc>
      </w:tr>
      <w:tr>
        <w:tc>
          <w:tcPr>
            <w:tcW w:type="dxa" w:w="172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Daily</w:t>
            </w:r>
          </w:p>
        </w:tc>
        <w:tc>
          <w:tcPr>
            <w:tcW w:type="dxa" w:w="590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Clear the Verification Queue (Section 6); clear the Re-verification Queue (Section 7)</w:t>
            </w:r>
          </w:p>
        </w:tc>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Assessor / Decision Officer</w:t>
            </w:r>
          </w:p>
        </w:tc>
      </w:tr>
      <w:tr>
        <w:tc>
          <w:tcPr>
            <w:tcW w:type="dxa" w:w="1728"/>
            <w:tcMar>
              <w:top w:w="80" w:type="dxa"/>
              <w:bottom w:w="80" w:type="dxa"/>
              <w:start w:w="120" w:type="dxa"/>
              <w:end w:w="120" w:type="dxa"/>
            </w:tcMar>
          </w:tcPr>
          <w:p>
            <w:pPr>
              <w:spacing w:before="0" w:after="0"/>
            </w:pPr>
            <w:r>
              <w:rPr>
                <w:sz w:val="18"/>
              </w:rPr>
            </w:r>
            <w:r>
              <w:rPr>
                <w:rFonts w:ascii="Segoe UI" w:hAnsi="Segoe UI"/>
                <w:b w:val="0"/>
                <w:i w:val="0"/>
                <w:sz w:val="18"/>
              </w:rPr>
              <w:t>Weekly</w:t>
            </w:r>
          </w:p>
        </w:tc>
        <w:tc>
          <w:tcPr>
            <w:tcW w:type="dxa" w:w="5904"/>
            <w:tcMar>
              <w:top w:w="80" w:type="dxa"/>
              <w:bottom w:w="80" w:type="dxa"/>
              <w:start w:w="120" w:type="dxa"/>
              <w:end w:w="120" w:type="dxa"/>
            </w:tcMar>
          </w:tcPr>
          <w:p>
            <w:pPr>
              <w:spacing w:before="0" w:after="0"/>
            </w:pPr>
            <w:r>
              <w:rPr>
                <w:sz w:val="18"/>
              </w:rPr>
            </w:r>
            <w:r>
              <w:rPr>
                <w:rFonts w:ascii="Segoe UI" w:hAnsi="Segoe UI"/>
                <w:b w:val="0"/>
                <w:i w:val="0"/>
                <w:sz w:val="18"/>
              </w:rPr>
              <w:t>Review open appeals; review the full audit log for anomalous access patterns</w:t>
            </w:r>
          </w:p>
        </w:tc>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Decision Officer / Admin</w:t>
            </w:r>
          </w:p>
        </w:tc>
      </w:tr>
      <w:tr>
        <w:tc>
          <w:tcPr>
            <w:tcW w:type="dxa" w:w="172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Monthly</w:t>
            </w:r>
          </w:p>
        </w:tc>
        <w:tc>
          <w:tcPr>
            <w:tcW w:type="dxa" w:w="590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Review Carrier Requirements Graph entries approaching their review_date; confirm each mapping's source_classification is still accurate</w:t>
            </w:r>
          </w:p>
        </w:tc>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Admin</w:t>
            </w:r>
          </w:p>
        </w:tc>
      </w:tr>
      <w:tr>
        <w:tc>
          <w:tcPr>
            <w:tcW w:type="dxa" w:w="1728"/>
            <w:tcMar>
              <w:top w:w="80" w:type="dxa"/>
              <w:bottom w:w="80" w:type="dxa"/>
              <w:start w:w="120" w:type="dxa"/>
              <w:end w:w="120" w:type="dxa"/>
            </w:tcMar>
          </w:tcPr>
          <w:p>
            <w:pPr>
              <w:spacing w:before="0" w:after="0"/>
            </w:pPr>
            <w:r>
              <w:rPr>
                <w:sz w:val="18"/>
              </w:rPr>
            </w:r>
            <w:r>
              <w:rPr>
                <w:rFonts w:ascii="Segoe UI" w:hAnsi="Segoe UI"/>
                <w:b w:val="0"/>
                <w:i w:val="0"/>
                <w:sz w:val="18"/>
              </w:rPr>
              <w:t>Quarterly</w:t>
            </w:r>
          </w:p>
        </w:tc>
        <w:tc>
          <w:tcPr>
            <w:tcW w:type="dxa" w:w="5904"/>
            <w:tcMar>
              <w:top w:w="80" w:type="dxa"/>
              <w:bottom w:w="80" w:type="dxa"/>
              <w:start w:w="120" w:type="dxa"/>
              <w:end w:w="120" w:type="dxa"/>
            </w:tcMar>
          </w:tcPr>
          <w:p>
            <w:pPr>
              <w:spacing w:before="0" w:after="0"/>
            </w:pPr>
            <w:r>
              <w:rPr>
                <w:sz w:val="18"/>
              </w:rPr>
            </w:r>
            <w:r>
              <w:rPr>
                <w:rFonts w:ascii="Segoe UI" w:hAnsi="Segoe UI"/>
                <w:b w:val="0"/>
                <w:i w:val="0"/>
                <w:sz w:val="18"/>
              </w:rPr>
              <w:t>Assessor competence review; scheme-document version review (CIA Standard, Assurance Method Manual)</w:t>
            </w:r>
          </w:p>
        </w:tc>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Scheme Manager</w:t>
            </w:r>
          </w:p>
        </w:tc>
      </w:tr>
      <w:tr>
        <w:tc>
          <w:tcPr>
            <w:tcW w:type="dxa" w:w="172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Annually</w:t>
            </w:r>
          </w:p>
        </w:tc>
        <w:tc>
          <w:tcPr>
            <w:tcW w:type="dxa" w:w="590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Full re-verification cycle for controls with 12-month freshness windows (tabletop exercises, policy approvals)</w:t>
            </w:r>
          </w:p>
        </w:tc>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Assessor</w:t>
            </w:r>
          </w:p>
        </w:tc>
      </w:tr>
    </w:tbl>
    <w:p>
      <w:pPr>
        <w:spacing w:before="0" w:after="80"/>
      </w:pPr>
    </w:p>
    <w:p>
      <w:r>
        <w:br w:type="page"/>
      </w:r>
    </w:p>
    <w:p>
      <w:pPr>
        <w:pStyle w:val="Heading1"/>
      </w:pPr>
      <w:r>
        <w:t>4. Procedure: Onboarding a New Customer (Stages 1-2)</w:t>
      </w:r>
    </w:p>
    <w:p>
      <w:pPr>
        <w:pStyle w:val="ListNumber"/>
        <w:spacing w:after="40"/>
        <w:ind w:left="432"/>
      </w:pPr>
      <w:r>
        <w:rPr>
          <w:rFonts w:ascii="Segoe UI" w:hAnsi="Segoe UI"/>
          <w:b w:val="0"/>
          <w:i w:val="0"/>
          <w:sz w:val="20"/>
        </w:rPr>
        <w:t>Execute the MSA/SOW, confidentiality terms, and evidence-collection consent outside the platform (contract templates: Section 11.6 of the original research document).</w:t>
      </w:r>
    </w:p>
    <w:p>
      <w:pPr>
        <w:pStyle w:val="ListNumber"/>
        <w:spacing w:after="40"/>
        <w:ind w:left="432"/>
      </w:pPr>
      <w:r>
        <w:rPr>
          <w:rFonts w:ascii="Segoe UI" w:hAnsi="Segoe UI"/>
          <w:b w:val="0"/>
          <w:i w:val="0"/>
          <w:sz w:val="20"/>
        </w:rPr>
        <w:t>Create the customer_admin user account (currently a direct database insert via seed.js pattern in the MVP; production requires a self-service signup flow — see Roadmap).</w:t>
      </w:r>
    </w:p>
    <w:p>
      <w:pPr>
        <w:pStyle w:val="ListNumber"/>
        <w:spacing w:after="40"/>
        <w:ind w:left="432"/>
      </w:pPr>
      <w:r>
        <w:rPr>
          <w:rFonts w:ascii="Segoe UI" w:hAnsi="Segoe UI"/>
          <w:b w:val="0"/>
          <w:i w:val="0"/>
          <w:sz w:val="20"/>
        </w:rPr>
        <w:t>Customer logs in and creates a Scope under Scope &amp; Assets: name, description. The platform assigns a persistent LS-SCOPE-###### code automatically.</w:t>
      </w:r>
    </w:p>
    <w:p>
      <w:pPr>
        <w:pStyle w:val="ListNumber"/>
        <w:spacing w:after="40"/>
        <w:ind w:left="432"/>
      </w:pPr>
      <w:r>
        <w:rPr>
          <w:rFonts w:ascii="Segoe UI" w:hAnsi="Segoe UI"/>
          <w:b w:val="0"/>
          <w:i w:val="0"/>
          <w:sz w:val="20"/>
        </w:rPr>
        <w:t>Customer registers assets (applications, cloud subscriptions, networks) under that scope.</w:t>
      </w:r>
    </w:p>
    <w:p>
      <w:pPr>
        <w:pStyle w:val="ListNumber"/>
        <w:spacing w:after="40"/>
        <w:ind w:left="432"/>
      </w:pPr>
      <w:r>
        <w:rPr>
          <w:rFonts w:ascii="Segoe UI" w:hAnsi="Segoe UI"/>
          <w:b w:val="0"/>
          <w:i w:val="0"/>
          <w:sz w:val="20"/>
        </w:rPr>
        <w:t>Customer (or Assurance Operations, on the customer's behalf) clicks Approve Scope once the boundary is agreed — this moves the scope from draft to approved status.</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SCOPE DISCIPLINE</w:t>
            </w:r>
          </w:p>
          <w:p>
            <w:pPr>
              <w:spacing w:before="0" w:after="40"/>
            </w:pPr>
            <w:r>
              <w:rPr>
                <w:rFonts w:ascii="Segoe UI" w:hAnsi="Segoe UI"/>
                <w:b w:val="0"/>
                <w:i w:val="0"/>
                <w:sz w:val="20"/>
              </w:rPr>
              <w:t>Do not approve a scope with material exclusions unresolved. An approved scope is the boundary every subsequent claim and passport will reference — changing it later requires a new scope version and re-verification of affected controls.</w:t>
            </w:r>
          </w:p>
        </w:tc>
      </w:tr>
    </w:tbl>
    <w:p>
      <w:pPr>
        <w:spacing w:before="0" w:after="80"/>
      </w:pPr>
    </w:p>
    <w:p>
      <w:r>
        <w:br w:type="page"/>
      </w:r>
    </w:p>
    <w:p>
      <w:pPr>
        <w:pStyle w:val="Heading1"/>
      </w:pPr>
      <w:r>
        <w:t>5. Procedure: Connecting a Live Microsoft Graph Connector (Stage 3)</w:t>
      </w:r>
    </w:p>
    <w:p>
      <w:pPr>
        <w:spacing w:before="0" w:after="120"/>
      </w:pPr>
      <w:r>
        <w:rPr>
          <w:rFonts w:ascii="Segoe UI" w:hAnsi="Segoe UI"/>
          <w:b w:val="0"/>
          <w:i w:val="0"/>
          <w:sz w:val="20"/>
        </w:rPr>
        <w:t>Optional, per customer, alongside the zero-setup simulated connector. Full Azure-side setup steps and the exact Graph permissions required are in the Platform Architecture &amp; Build Documentation, Section 7. This is the operational sequence for actually turning it on.</w:t>
      </w:r>
    </w:p>
    <w:p>
      <w:pPr>
        <w:pStyle w:val="ListNumber"/>
        <w:spacing w:after="40"/>
        <w:ind w:left="432"/>
      </w:pPr>
      <w:r>
        <w:rPr>
          <w:rFonts w:ascii="Segoe UI" w:hAnsi="Segoe UI"/>
          <w:b w:val="0"/>
          <w:i w:val="0"/>
          <w:sz w:val="20"/>
        </w:rPr>
        <w:t>Confirm the customer's Azure AD administrator has completed the app registration, created a client secret, added the four required Application permissions, and clicked Grant admin consent. Laurelshield cannot do this step — it requires the customer's own tenant administrator.</w:t>
      </w:r>
    </w:p>
    <w:p>
      <w:pPr>
        <w:pStyle w:val="ListNumber"/>
        <w:spacing w:after="40"/>
        <w:ind w:left="432"/>
      </w:pPr>
      <w:r>
        <w:rPr>
          <w:rFonts w:ascii="Segoe UI" w:hAnsi="Segoe UI"/>
          <w:b w:val="0"/>
          <w:i w:val="0"/>
          <w:sz w:val="20"/>
        </w:rPr>
        <w:t>In Evidence &amp; Connectors, add the Identity Provider connector and choose Live (Microsoft Graph) instead of Simulated. Enter the Tenant ID, Client ID, and Client Secret the customer's administrator provided.</w:t>
      </w:r>
    </w:p>
    <w:p>
      <w:pPr>
        <w:pStyle w:val="ListNumber"/>
        <w:spacing w:after="40"/>
        <w:ind w:left="432"/>
      </w:pPr>
      <w:r>
        <w:rPr>
          <w:rFonts w:ascii="Segoe UI" w:hAnsi="Segoe UI"/>
          <w:b w:val="0"/>
          <w:i w:val="0"/>
          <w:sz w:val="20"/>
        </w:rPr>
        <w:t>Click Test Connection before the first sync. A successful test returns the tenant's display name — confirm this matches the customer you expect before proceeding, to catch a copy-paste error pointing at the wrong tenant.</w:t>
      </w:r>
    </w:p>
    <w:p>
      <w:pPr>
        <w:pStyle w:val="ListNumber"/>
        <w:spacing w:after="40"/>
        <w:ind w:left="432"/>
      </w:pPr>
      <w:r>
        <w:rPr>
          <w:rFonts w:ascii="Segoe UI" w:hAnsi="Segoe UI"/>
          <w:b w:val="0"/>
          <w:i w:val="0"/>
          <w:sz w:val="20"/>
        </w:rPr>
        <w:t>Click Sync Now. Evidence for LS-ID-101 through LS-ID-104 is now collected from the customer's real Conditional Access policies, directory roles, and sign-in activity instead of the simulator.</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READ THE AZURE ERROR MESSAGE FIRST</w:t>
            </w:r>
          </w:p>
          <w:p>
            <w:pPr>
              <w:spacing w:before="0" w:after="40"/>
            </w:pPr>
            <w:r>
              <w:rPr>
                <w:rFonts w:ascii="Segoe UI" w:hAnsi="Segoe UI"/>
                <w:b w:val="0"/>
                <w:i w:val="0"/>
                <w:sz w:val="20"/>
              </w:rPr>
              <w:t>If Test Connection or Sync fails, the error message returned is Microsoft's own Azure AD/Graph error text (e.g., AADSTS900021 for an invalid tenant ID, 403 for missing admin consent). Read it literally before escalating — most failures are a missing admin-consent step or a copy-paste error in the Tenant/Client ID, not a platform defect.</w:t>
            </w:r>
          </w:p>
        </w:tc>
      </w:tr>
    </w:tbl>
    <w:p>
      <w:pPr>
        <w:spacing w:before="0" w:after="80"/>
      </w:pPr>
    </w:p>
    <w:p>
      <w:pPr>
        <w:spacing w:before="0" w:after="120"/>
      </w:pPr>
      <w:r>
        <w:rPr>
          <w:rFonts w:ascii="Segoe UI" w:hAnsi="Segoe UI"/>
          <w:b w:val="0"/>
          <w:i w:val="0"/>
          <w:sz w:val="20"/>
        </w:rPr>
        <w:t>A failed live connector is marked error and does not affect any other connector or control on the scope. Evidence already collected before the failure remains valid until its freshness window expires normally.</w:t>
      </w:r>
    </w:p>
    <w:p>
      <w:r>
        <w:br w:type="page"/>
      </w:r>
    </w:p>
    <w:p>
      <w:pPr>
        <w:pStyle w:val="Heading1"/>
      </w:pPr>
      <w:r>
        <w:t>6. Procedure: Verification Queue (Stage 5)</w:t>
      </w:r>
    </w:p>
    <w:p>
      <w:pPr>
        <w:spacing w:before="0" w:after="120"/>
      </w:pPr>
      <w:r>
        <w:rPr>
          <w:rFonts w:ascii="Segoe UI" w:hAnsi="Segoe UI"/>
          <w:b w:val="0"/>
          <w:i w:val="0"/>
          <w:sz w:val="20"/>
        </w:rPr>
        <w:t>Populated by manual/document evidence submissions (governance and data-security controls without a live connector). Connector-sourced evidence bypasses this queue and computes ECL/status automatically, because it is machine-verified, not self-attested.</w:t>
      </w:r>
    </w:p>
    <w:p>
      <w:pPr>
        <w:pStyle w:val="ListNumber"/>
        <w:spacing w:after="40"/>
        <w:ind w:left="432"/>
      </w:pPr>
      <w:r>
        <w:rPr>
          <w:rFonts w:ascii="Segoe UI" w:hAnsi="Segoe UI"/>
          <w:b w:val="0"/>
          <w:i w:val="0"/>
          <w:sz w:val="20"/>
        </w:rPr>
        <w:t>Assessor opens Verification Queue, selects a pending item, reviews the submitted evidence note.</w:t>
      </w:r>
    </w:p>
    <w:p>
      <w:pPr>
        <w:pStyle w:val="ListNumber"/>
        <w:spacing w:after="40"/>
        <w:ind w:left="432"/>
      </w:pPr>
      <w:r>
        <w:rPr>
          <w:rFonts w:ascii="Segoe UI" w:hAnsi="Segoe UI"/>
          <w:b w:val="0"/>
          <w:i w:val="0"/>
          <w:sz w:val="20"/>
        </w:rPr>
        <w:t>Assessor clicks Assess, sets the ECL (0-5) per the published scale, and records notes.</w:t>
      </w:r>
    </w:p>
    <w:p>
      <w:pPr>
        <w:pStyle w:val="ListNumber"/>
        <w:spacing w:after="40"/>
        <w:ind w:left="432"/>
      </w:pPr>
      <w:r>
        <w:rPr>
          <w:rFonts w:ascii="Segoe UI" w:hAnsi="Segoe UI"/>
          <w:b w:val="0"/>
          <w:i w:val="0"/>
          <w:sz w:val="20"/>
        </w:rPr>
        <w:t>Decision Officer (a different account) reviews the assessed item and clicks Approve or Reject. Approval immediately creates or updates the signed assurance_claims row for that control; rejection leaves the control unverified and logs the rejection.</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OPERATIONAL DISCIPLINE REQUIRED BEYOND THE SOFTWARE</w:t>
            </w:r>
          </w:p>
          <w:p>
            <w:pPr>
              <w:spacing w:before="0" w:after="40"/>
            </w:pPr>
            <w:r>
              <w:rPr>
                <w:rFonts w:ascii="Segoe UI" w:hAnsi="Segoe UI"/>
                <w:b w:val="0"/>
                <w:i w:val="0"/>
                <w:sz w:val="20"/>
              </w:rPr>
              <w:t>If the same person holds both ls_assessor and ls_decision_officer credentials in a production deployment, the independence principle (Section 4.1 of the original research document) is defeated even though the software allowed it for ls_admin in the MVP. Production account provisioning must assign these as mutually exclusive roles per person.</w:t>
            </w:r>
          </w:p>
        </w:tc>
      </w:tr>
    </w:tbl>
    <w:p>
      <w:pPr>
        <w:spacing w:before="0" w:after="80"/>
      </w:pPr>
    </w:p>
    <w:p>
      <w:r>
        <w:br w:type="page"/>
      </w:r>
    </w:p>
    <w:p>
      <w:pPr>
        <w:pStyle w:val="Heading1"/>
      </w:pPr>
      <w:r>
        <w:t>7. Procedure: Independent Re-verification of Remediation (Stage 8)</w:t>
      </w:r>
    </w:p>
    <w:p>
      <w:pPr>
        <w:pStyle w:val="ListNumber"/>
        <w:spacing w:after="40"/>
        <w:ind w:left="432"/>
      </w:pPr>
      <w:r>
        <w:rPr>
          <w:rFonts w:ascii="Segoe UI" w:hAnsi="Segoe UI"/>
          <w:b w:val="0"/>
          <w:i w:val="0"/>
          <w:sz w:val="20"/>
        </w:rPr>
        <w:t>Customer marks a remediation item as remediated in their Remediation tab — this moves the item to reverification_pending and does not, by itself, close the finding or restore the assurance claim.</w:t>
      </w:r>
    </w:p>
    <w:p>
      <w:pPr>
        <w:pStyle w:val="ListNumber"/>
        <w:spacing w:after="40"/>
        <w:ind w:left="432"/>
      </w:pPr>
      <w:r>
        <w:rPr>
          <w:rFonts w:ascii="Segoe UI" w:hAnsi="Segoe UI"/>
          <w:b w:val="0"/>
          <w:i w:val="0"/>
          <w:sz w:val="20"/>
        </w:rPr>
        <w:t>Assurance Operations (assessor, decision officer, or admin) opens the Re-verification Queue.</w:t>
      </w:r>
    </w:p>
    <w:p>
      <w:pPr>
        <w:pStyle w:val="ListNumber"/>
        <w:spacing w:after="40"/>
        <w:ind w:left="432"/>
      </w:pPr>
      <w:r>
        <w:rPr>
          <w:rFonts w:ascii="Segoe UI" w:hAnsi="Segoe UI"/>
          <w:b w:val="0"/>
          <w:i w:val="0"/>
          <w:sz w:val="20"/>
        </w:rPr>
        <w:t>For a connector-covered control, ask the customer to re-sync the relevant connector first (the automatic sync is itself the independent, machine-verified re-check). For a manual/governance control, confirm the corrective evidence directly.</w:t>
      </w:r>
    </w:p>
    <w:p>
      <w:pPr>
        <w:pStyle w:val="ListNumber"/>
        <w:spacing w:after="40"/>
        <w:ind w:left="432"/>
      </w:pPr>
      <w:r>
        <w:rPr>
          <w:rFonts w:ascii="Segoe UI" w:hAnsi="Segoe UI"/>
          <w:b w:val="0"/>
          <w:i w:val="0"/>
          <w:sz w:val="20"/>
        </w:rPr>
        <w:t>Click Confirm Closure. This records an ECL-2 (observed) verification, re-issues the assurance claim as verified, and closes the remediation item with the reviewer's identity attached — never the same identity that implemented the fix.</w:t>
      </w:r>
    </w:p>
    <w:p>
      <w:r>
        <w:br w:type="page"/>
      </w:r>
    </w:p>
    <w:p>
      <w:pPr>
        <w:pStyle w:val="Heading1"/>
      </w:pPr>
      <w:r>
        <w:t>8. Procedure: Passport Issuance and Revocation (Stage 9)</w:t>
      </w:r>
    </w:p>
    <w:p>
      <w:pPr>
        <w:pStyle w:val="ListNumber"/>
        <w:spacing w:after="40"/>
        <w:ind w:left="432"/>
      </w:pPr>
      <w:r>
        <w:rPr>
          <w:rFonts w:ascii="Segoe UI" w:hAnsi="Segoe UI"/>
          <w:b w:val="0"/>
          <w:i w:val="0"/>
          <w:sz w:val="20"/>
        </w:rPr>
        <w:t>Confirm all material findings are either closed or accepted as documented compensating-control exceptions (Section 5.7 of the original research: “Significant Exceptions” field).</w:t>
      </w:r>
    </w:p>
    <w:p>
      <w:pPr>
        <w:pStyle w:val="ListNumber"/>
        <w:spacing w:after="40"/>
        <w:ind w:left="432"/>
      </w:pPr>
      <w:r>
        <w:rPr>
          <w:rFonts w:ascii="Segoe UI" w:hAnsi="Segoe UI"/>
          <w:b w:val="0"/>
          <w:i w:val="0"/>
          <w:sz w:val="20"/>
        </w:rPr>
        <w:t>Customer clicks Issue New Passport for Current Scope. The platform computes overall status (verified if zero material_gap claims exist, otherwise conditional), assigns a passport code, and signs the result.</w:t>
      </w:r>
    </w:p>
    <w:p>
      <w:pPr>
        <w:pStyle w:val="ListNumber"/>
        <w:spacing w:after="40"/>
        <w:ind w:left="432"/>
      </w:pPr>
      <w:r>
        <w:rPr>
          <w:rFonts w:ascii="Segoe UI" w:hAnsi="Segoe UI"/>
          <w:b w:val="0"/>
          <w:i w:val="0"/>
          <w:sz w:val="20"/>
        </w:rPr>
        <w:t>Verify the passport's signature indicator reads “Signature verified — evidence lineage intact” before sharing it with any counterparty. A failed signature check must never be shared — treat it as a Section 9 (Security &amp; Compliance doc) incident.</w:t>
      </w:r>
    </w:p>
    <w:p>
      <w:pPr>
        <w:pStyle w:val="ListNumber"/>
        <w:spacing w:after="40"/>
        <w:ind w:left="432"/>
      </w:pPr>
      <w:r>
        <w:rPr>
          <w:rFonts w:ascii="Segoe UI" w:hAnsi="Segoe UI"/>
          <w:b w:val="0"/>
          <w:i w:val="0"/>
          <w:sz w:val="20"/>
        </w:rPr>
        <w:t>To revoke: customer (or admin, on request) clicks Revoke on the passport card. This is irreversible in the MVP — a revoked passport must be re-issued from scratch, not un-revoked.</w:t>
      </w:r>
    </w:p>
    <w:p>
      <w:r>
        <w:br w:type="page"/>
      </w:r>
    </w:p>
    <w:p>
      <w:pPr>
        <w:pStyle w:val="Heading1"/>
      </w:pPr>
      <w:r>
        <w:t>9. Procedure: Sharing, Consent, and Revocation (Stage 10)</w:t>
      </w:r>
    </w:p>
    <w:p>
      <w:pPr>
        <w:pStyle w:val="ListNumber"/>
        <w:spacing w:after="40"/>
        <w:ind w:left="432"/>
      </w:pPr>
      <w:r>
        <w:rPr>
          <w:rFonts w:ascii="Segoe UI" w:hAnsi="Segoe UI"/>
          <w:b w:val="0"/>
          <w:i w:val="0"/>
          <w:sz w:val="20"/>
        </w:rPr>
        <w:t>Customer selects a passport, a recipient (broker or carrier partner), a purpose string, and an expiry window (hours) under Sharing &amp; Consent.</w:t>
      </w:r>
    </w:p>
    <w:p>
      <w:pPr>
        <w:pStyle w:val="ListNumber"/>
        <w:spacing w:after="40"/>
        <w:ind w:left="432"/>
      </w:pPr>
      <w:r>
        <w:rPr>
          <w:rFonts w:ascii="Segoe UI" w:hAnsi="Segoe UI"/>
          <w:b w:val="0"/>
          <w:i w:val="0"/>
          <w:sz w:val="20"/>
        </w:rPr>
        <w:t>Grant Access creates a time-limited sharing_grants row. The recipient can now see the passport the next time they log in — no separate token exchange is required in the MVP because recipients authenticate as their own organization's user.</w:t>
      </w:r>
    </w:p>
    <w:p>
      <w:pPr>
        <w:pStyle w:val="ListNumber"/>
        <w:spacing w:after="40"/>
        <w:ind w:left="432"/>
      </w:pPr>
      <w:r>
        <w:rPr>
          <w:rFonts w:ascii="Segoe UI" w:hAnsi="Segoe UI"/>
          <w:b w:val="0"/>
          <w:i w:val="0"/>
          <w:sz w:val="20"/>
        </w:rPr>
        <w:t>The customer's Audit Trail tab shows every grant and every subsequent view by that recipient. Review this before renewing a relationship with a broker or carrier.</w:t>
      </w:r>
    </w:p>
    <w:p>
      <w:pPr>
        <w:pStyle w:val="ListNumber"/>
        <w:spacing w:after="40"/>
        <w:ind w:left="432"/>
      </w:pPr>
      <w:r>
        <w:rPr>
          <w:rFonts w:ascii="Segoe UI" w:hAnsi="Segoe UI"/>
          <w:b w:val="0"/>
          <w:i w:val="0"/>
          <w:sz w:val="20"/>
        </w:rPr>
        <w:t>Revoke Access immediately blocks further viewing; it does not retroactively un-disclose information already viewed, and this should be stated plainly to customers who ask.</w:t>
      </w:r>
    </w:p>
    <w:p>
      <w:r>
        <w:br w:type="page"/>
      </w:r>
    </w:p>
    <w:p>
      <w:pPr>
        <w:pStyle w:val="Heading1"/>
      </w:pPr>
      <w:r>
        <w:t>10. Procedure: Continuous Assurance Monitoring (Stage 11)</w:t>
      </w:r>
    </w:p>
    <w:p>
      <w:pPr>
        <w:spacing w:before="0" w:after="120"/>
      </w:pPr>
      <w:r>
        <w:rPr>
          <w:rFonts w:ascii="Segoe UI" w:hAnsi="Segoe UI"/>
          <w:b w:val="0"/>
          <w:i w:val="0"/>
          <w:sz w:val="20"/>
        </w:rPr>
        <w:t>In production, the freshness sweep should run on a schedule (e.g., hourly) rather than only on demand. The MVP exposes it as a button for demonstration purposes.</w:t>
      </w:r>
    </w:p>
    <w:p>
      <w:pPr>
        <w:pStyle w:val="ListNumber"/>
        <w:spacing w:after="40"/>
        <w:ind w:left="432"/>
      </w:pPr>
      <w:r>
        <w:rPr>
          <w:rFonts w:ascii="Segoe UI" w:hAnsi="Segoe UI"/>
          <w:b w:val="0"/>
          <w:i w:val="0"/>
          <w:sz w:val="20"/>
        </w:rPr>
        <w:t>Customer or admin triggers a freshness check (per-scope from the Customer Portal, or globally from the Ops Console's Continuous Assurance Tools).</w:t>
      </w:r>
    </w:p>
    <w:p>
      <w:pPr>
        <w:pStyle w:val="ListNumber"/>
        <w:spacing w:after="40"/>
        <w:ind w:left="432"/>
      </w:pPr>
      <w:r>
        <w:rPr>
          <w:rFonts w:ascii="Segoe UI" w:hAnsi="Segoe UI"/>
          <w:b w:val="0"/>
          <w:i w:val="0"/>
          <w:sz w:val="20"/>
        </w:rPr>
        <w:t>Any claim whose valid_until has passed is marked expired and a new remediation item is opened automatically, prompting the customer to re-sync or re-verify.</w:t>
      </w:r>
    </w:p>
    <w:p>
      <w:pPr>
        <w:pStyle w:val="ListNumber"/>
        <w:spacing w:after="40"/>
        <w:ind w:left="432"/>
      </w:pPr>
      <w:r>
        <w:rPr>
          <w:rFonts w:ascii="Segoe UI" w:hAnsi="Segoe UI"/>
          <w:b w:val="0"/>
          <w:i w:val="0"/>
          <w:sz w:val="20"/>
        </w:rPr>
        <w:t>Use Simulate Evidence Drift in the Ops Console only in demo/testing contexts — it backdates real evidence timestamps and is destructive to the demo dataset's “freshly issued” state.</w:t>
      </w:r>
    </w:p>
    <w:p>
      <w:r>
        <w:br w:type="page"/>
      </w:r>
    </w:p>
    <w:p>
      <w:pPr>
        <w:pStyle w:val="Heading1"/>
      </w:pPr>
      <w:r>
        <w:t>11. Procedure: Carrier Requirements Graph Change Management</w:t>
      </w:r>
    </w:p>
    <w:p>
      <w:pPr>
        <w:spacing w:before="0" w:after="120"/>
      </w:pPr>
      <w:r>
        <w:rPr>
          <w:rFonts w:ascii="Segoe UI" w:hAnsi="Segoe UI"/>
          <w:b w:val="0"/>
          <w:i w:val="0"/>
          <w:sz w:val="20"/>
        </w:rPr>
        <w:t>This confidential graph (ls_admin only) should never be edited casually — every change alters how existing passports translate for that partner.</w:t>
      </w:r>
    </w:p>
    <w:p>
      <w:pPr>
        <w:pStyle w:val="ListNumber"/>
        <w:spacing w:after="40"/>
        <w:ind w:left="432"/>
      </w:pPr>
      <w:r>
        <w:rPr>
          <w:rFonts w:ascii="Segoe UI" w:hAnsi="Segoe UI"/>
          <w:b w:val="0"/>
          <w:i w:val="0"/>
          <w:sz w:val="20"/>
        </w:rPr>
        <w:t>Record the source of the new or changed requirement: public application language, customer-provided document, broker-provided confidential rule, carrier-provided confidential rule, or inferred/unvalidated — never mark an inferred mapping as carrier-approved.</w:t>
      </w:r>
    </w:p>
    <w:p>
      <w:pPr>
        <w:pStyle w:val="ListNumber"/>
        <w:spacing w:after="40"/>
        <w:ind w:left="432"/>
      </w:pPr>
      <w:r>
        <w:rPr>
          <w:rFonts w:ascii="Segoe UI" w:hAnsi="Segoe UI"/>
          <w:b w:val="0"/>
          <w:i w:val="0"/>
          <w:sz w:val="20"/>
        </w:rPr>
        <w:t>Set an effective_date and a review_date; nothing should sit unreviewed indefinitely.</w:t>
      </w:r>
    </w:p>
    <w:p>
      <w:pPr>
        <w:pStyle w:val="ListNumber"/>
        <w:spacing w:after="40"/>
        <w:ind w:left="432"/>
      </w:pPr>
      <w:r>
        <w:rPr>
          <w:rFonts w:ascii="Segoe UI" w:hAnsi="Segoe UI"/>
          <w:b w:val="0"/>
          <w:i w:val="0"/>
          <w:sz w:val="20"/>
        </w:rPr>
        <w:t>After saving, manually spot-check at least one existing shared passport's translated view for that partner to confirm the change produced the intended Pass/Conditional/Material Gap distribution (the original research document's Section 12.11 calls this a “regression analysis against existing passports” — the MVP performs this as a manual spot-check; production should automate it).</w:t>
      </w:r>
    </w:p>
    <w:p>
      <w:pPr>
        <w:pStyle w:val="ListNumber"/>
        <w:spacing w:after="40"/>
        <w:ind w:left="432"/>
      </w:pPr>
      <w:r>
        <w:rPr>
          <w:rFonts w:ascii="Segoe UI" w:hAnsi="Segoe UI"/>
          <w:b w:val="0"/>
          <w:i w:val="0"/>
          <w:sz w:val="20"/>
        </w:rPr>
        <w:t>Confirm no field from this table (weight, min_ecl, max_evidence_age_hours, source_classification, confidential_notes) has been pasted into any customer-, broker-, or cross-carrier-facing document, email, or support ticket.</w:t>
      </w:r>
    </w:p>
    <w:p>
      <w:r>
        <w:br w:type="page"/>
      </w:r>
    </w:p>
    <w:p>
      <w:pPr>
        <w:pStyle w:val="Heading1"/>
      </w:pPr>
      <w:r>
        <w:t>12. Procedure: Appeals and Complaints (Section 10.2)</w:t>
      </w:r>
    </w:p>
    <w:p>
      <w:pPr>
        <w:pStyle w:val="ListNumber"/>
        <w:spacing w:after="40"/>
        <w:ind w:left="432"/>
      </w:pPr>
      <w:r>
        <w:rPr>
          <w:rFonts w:ascii="Segoe UI" w:hAnsi="Segoe UI"/>
          <w:b w:val="0"/>
          <w:i w:val="0"/>
          <w:sz w:val="20"/>
        </w:rPr>
        <w:t>Customer files an appeal from their Appeals tab, referencing the contested verification if known.</w:t>
      </w:r>
    </w:p>
    <w:p>
      <w:pPr>
        <w:pStyle w:val="ListNumber"/>
        <w:spacing w:after="40"/>
        <w:ind w:left="432"/>
      </w:pPr>
      <w:r>
        <w:rPr>
          <w:rFonts w:ascii="Segoe UI" w:hAnsi="Segoe UI"/>
          <w:b w:val="0"/>
          <w:i w:val="0"/>
          <w:sz w:val="20"/>
        </w:rPr>
        <w:t>A Decision Officer other than the one who made the original decision reviews the appeal — in a two-person Assurance Operations team, this may require the Admin to review instead; document who reviewed in the resolution notes regardless.</w:t>
      </w:r>
    </w:p>
    <w:p>
      <w:pPr>
        <w:pStyle w:val="ListNumber"/>
        <w:spacing w:after="40"/>
        <w:ind w:left="432"/>
      </w:pPr>
      <w:r>
        <w:rPr>
          <w:rFonts w:ascii="Segoe UI" w:hAnsi="Segoe UI"/>
          <w:b w:val="0"/>
          <w:i w:val="0"/>
          <w:sz w:val="20"/>
        </w:rPr>
        <w:t>Resolve as Uphold (original decision stands) or Overturn (decision reversed — manually re-run the verification decision workflow to correct the assurance claim).</w:t>
      </w:r>
    </w:p>
    <w:p>
      <w:pPr>
        <w:pStyle w:val="ListNumber"/>
        <w:spacing w:after="40"/>
        <w:ind w:left="432"/>
      </w:pPr>
      <w:r>
        <w:rPr>
          <w:rFonts w:ascii="Segoe UI" w:hAnsi="Segoe UI"/>
          <w:b w:val="0"/>
          <w:i w:val="0"/>
          <w:sz w:val="20"/>
        </w:rPr>
        <w:t>All appeal outcomes are permanent audit-log entries; there is no “delete appeal” action by design.</w:t>
      </w:r>
    </w:p>
    <w:p>
      <w:r>
        <w:br w:type="page"/>
      </w:r>
    </w:p>
    <w:p>
      <w:pPr>
        <w:pStyle w:val="Heading1"/>
      </w:pPr>
      <w:r>
        <w:t>13. Incident Response (Operational Steps)</w:t>
      </w:r>
    </w:p>
    <w:p>
      <w:pPr>
        <w:spacing w:before="0" w:after="120"/>
      </w:pPr>
      <w:r>
        <w:rPr>
          <w:rFonts w:ascii="Segoe UI" w:hAnsi="Segoe UI"/>
          <w:b w:val="0"/>
          <w:i w:val="0"/>
          <w:sz w:val="20"/>
        </w:rPr>
        <w:t>This section operationalizes the Security &amp; Compliance Procedures document's Section 9 for the people actually on call.</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color="auto" w:fill="0B2E4F"/>
            <w:tcMar>
              <w:top w:w="80" w:type="dxa"/>
              <w:bottom w:w="80" w:type="dxa"/>
              <w:start w:w="120" w:type="dxa"/>
              <w:end w:w="120" w:type="dxa"/>
            </w:tcMar>
          </w:tcPr>
          <w:p>
            <w:pPr>
              <w:spacing w:before="0" w:after="0"/>
            </w:pPr>
            <w:r/>
            <w:r>
              <w:rPr>
                <w:rFonts w:ascii="Segoe UI" w:hAnsi="Segoe UI"/>
                <w:b/>
                <w:i w:val="0"/>
                <w:color w:val="FFFFFF"/>
                <w:sz w:val="18"/>
              </w:rPr>
              <w:t>Step</w:t>
            </w:r>
          </w:p>
        </w:tc>
        <w:tc>
          <w:tcPr>
            <w:tcW w:type="dxa" w:w="6336"/>
            <w:shd w:val="clear" w:color="auto" w:fill="0B2E4F"/>
            <w:tcMar>
              <w:top w:w="80" w:type="dxa"/>
              <w:bottom w:w="80" w:type="dxa"/>
              <w:start w:w="120" w:type="dxa"/>
              <w:end w:w="120" w:type="dxa"/>
            </w:tcMar>
          </w:tcPr>
          <w:p>
            <w:pPr>
              <w:spacing w:before="0" w:after="0"/>
            </w:pPr>
            <w:r/>
            <w:r>
              <w:rPr>
                <w:rFonts w:ascii="Segoe UI" w:hAnsi="Segoe UI"/>
                <w:b/>
                <w:i w:val="0"/>
                <w:color w:val="FFFFFF"/>
                <w:sz w:val="18"/>
              </w:rPr>
              <w:t>Action</w:t>
            </w:r>
          </w:p>
        </w:tc>
        <w:tc>
          <w:tcPr>
            <w:tcW w:type="dxa" w:w="2448"/>
            <w:shd w:val="clear" w:color="auto" w:fill="0B2E4F"/>
            <w:tcMar>
              <w:top w:w="80" w:type="dxa"/>
              <w:bottom w:w="80" w:type="dxa"/>
              <w:start w:w="120" w:type="dxa"/>
              <w:end w:w="120" w:type="dxa"/>
            </w:tcMar>
          </w:tcPr>
          <w:p>
            <w:pPr>
              <w:spacing w:before="0" w:after="0"/>
            </w:pPr>
            <w:r/>
            <w:r>
              <w:rPr>
                <w:rFonts w:ascii="Segoe UI" w:hAnsi="Segoe UI"/>
                <w:b/>
                <w:i w:val="0"/>
                <w:color w:val="FFFFFF"/>
                <w:sz w:val="18"/>
              </w:rPr>
              <w:t>Owner</w:t>
            </w:r>
          </w:p>
        </w:tc>
      </w:tr>
      <w:tr>
        <w:tc>
          <w:tcPr>
            <w:tcW w:type="dxa" w:w="1584"/>
            <w:tcMar>
              <w:top w:w="80" w:type="dxa"/>
              <w:bottom w:w="80" w:type="dxa"/>
              <w:start w:w="120" w:type="dxa"/>
              <w:end w:w="120" w:type="dxa"/>
            </w:tcMar>
          </w:tcPr>
          <w:p>
            <w:pPr>
              <w:spacing w:before="0" w:after="0"/>
            </w:pPr>
            <w:r>
              <w:rPr>
                <w:sz w:val="18"/>
              </w:rPr>
            </w:r>
            <w:r>
              <w:rPr>
                <w:rFonts w:ascii="Segoe UI" w:hAnsi="Segoe UI"/>
                <w:b w:val="0"/>
                <w:i w:val="0"/>
                <w:sz w:val="18"/>
              </w:rPr>
              <w:t>1. Detect</w:t>
            </w:r>
          </w:p>
        </w:tc>
        <w:tc>
          <w:tcPr>
            <w:tcW w:type="dxa" w:w="6336"/>
            <w:tcMar>
              <w:top w:w="80" w:type="dxa"/>
              <w:bottom w:w="80" w:type="dxa"/>
              <w:start w:w="120" w:type="dxa"/>
              <w:end w:w="120" w:type="dxa"/>
            </w:tcMar>
          </w:tcPr>
          <w:p>
            <w:pPr>
              <w:spacing w:before="0" w:after="0"/>
            </w:pPr>
            <w:r>
              <w:rPr>
                <w:sz w:val="18"/>
              </w:rPr>
            </w:r>
            <w:r>
              <w:rPr>
                <w:rFonts w:ascii="Segoe UI" w:hAnsi="Segoe UI"/>
                <w:b w:val="0"/>
                <w:i w:val="0"/>
                <w:sz w:val="18"/>
              </w:rPr>
              <w:t>Freshness alert, anomalous audit-log pattern, or direct report</w:t>
            </w:r>
          </w:p>
        </w:tc>
        <w:tc>
          <w:tcPr>
            <w:tcW w:type="dxa" w:w="2448"/>
            <w:tcMar>
              <w:top w:w="80" w:type="dxa"/>
              <w:bottom w:w="80" w:type="dxa"/>
              <w:start w:w="120" w:type="dxa"/>
              <w:end w:w="120" w:type="dxa"/>
            </w:tcMar>
          </w:tcPr>
          <w:p>
            <w:pPr>
              <w:spacing w:before="0" w:after="0"/>
            </w:pPr>
            <w:r>
              <w:rPr>
                <w:sz w:val="18"/>
              </w:rPr>
            </w:r>
            <w:r>
              <w:rPr>
                <w:rFonts w:ascii="Segoe UI" w:hAnsi="Segoe UI"/>
                <w:b w:val="0"/>
                <w:i w:val="0"/>
                <w:sz w:val="18"/>
              </w:rPr>
              <w:t>Any Assurance Operations role</w:t>
            </w:r>
          </w:p>
        </w:tc>
      </w:tr>
      <w:tr>
        <w:tc>
          <w:tcPr>
            <w:tcW w:type="dxa" w:w="158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2. Triage</w:t>
            </w:r>
          </w:p>
        </w:tc>
        <w:tc>
          <w:tcPr>
            <w:tcW w:type="dxa" w:w="63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Confirm scope of exposure using the Full Audit Log (ls_admin) filtered by resource and time window</w:t>
            </w:r>
          </w:p>
        </w:tc>
        <w:tc>
          <w:tcPr>
            <w:tcW w:type="dxa" w:w="244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Admin</w:t>
            </w:r>
          </w:p>
        </w:tc>
      </w:tr>
      <w:tr>
        <w:tc>
          <w:tcPr>
            <w:tcW w:type="dxa" w:w="1584"/>
            <w:tcMar>
              <w:top w:w="80" w:type="dxa"/>
              <w:bottom w:w="80" w:type="dxa"/>
              <w:start w:w="120" w:type="dxa"/>
              <w:end w:w="120" w:type="dxa"/>
            </w:tcMar>
          </w:tcPr>
          <w:p>
            <w:pPr>
              <w:spacing w:before="0" w:after="0"/>
            </w:pPr>
            <w:r>
              <w:rPr>
                <w:sz w:val="18"/>
              </w:rPr>
            </w:r>
            <w:r>
              <w:rPr>
                <w:rFonts w:ascii="Segoe UI" w:hAnsi="Segoe UI"/>
                <w:b w:val="0"/>
                <w:i w:val="0"/>
                <w:sz w:val="18"/>
              </w:rPr>
              <w:t>3. Contain</w:t>
            </w:r>
          </w:p>
        </w:tc>
        <w:tc>
          <w:tcPr>
            <w:tcW w:type="dxa" w:w="6336"/>
            <w:tcMar>
              <w:top w:w="80" w:type="dxa"/>
              <w:bottom w:w="80" w:type="dxa"/>
              <w:start w:w="120" w:type="dxa"/>
              <w:end w:w="120" w:type="dxa"/>
            </w:tcMar>
          </w:tcPr>
          <w:p>
            <w:pPr>
              <w:spacing w:before="0" w:after="0"/>
            </w:pPr>
            <w:r>
              <w:rPr>
                <w:sz w:val="18"/>
              </w:rPr>
            </w:r>
            <w:r>
              <w:rPr>
                <w:rFonts w:ascii="Segoe UI" w:hAnsi="Segoe UI"/>
                <w:b w:val="0"/>
                <w:i w:val="0"/>
                <w:sz w:val="18"/>
              </w:rPr>
              <w:t>Revoke affected sharing grants and/or passports; if signing-key compromise is suspected, rotate PASSPORT_SIGNING_SECRET in .env and restart the server (this invalidates every outstanding signature); if a live connector's Azure client secret is suspected compromised, have the customer's Azure AD administrator revoke it immediately in the Azure Portal (Certificates &amp; secrets) and issue a new one</w:t>
            </w:r>
          </w:p>
        </w:tc>
        <w:tc>
          <w:tcPr>
            <w:tcW w:type="dxa" w:w="2448"/>
            <w:tcMar>
              <w:top w:w="80" w:type="dxa"/>
              <w:bottom w:w="80" w:type="dxa"/>
              <w:start w:w="120" w:type="dxa"/>
              <w:end w:w="120" w:type="dxa"/>
            </w:tcMar>
          </w:tcPr>
          <w:p>
            <w:pPr>
              <w:spacing w:before="0" w:after="0"/>
            </w:pPr>
            <w:r>
              <w:rPr>
                <w:sz w:val="18"/>
              </w:rPr>
            </w:r>
            <w:r>
              <w:rPr>
                <w:rFonts w:ascii="Segoe UI" w:hAnsi="Segoe UI"/>
                <w:b w:val="0"/>
                <w:i w:val="0"/>
                <w:sz w:val="18"/>
              </w:rPr>
              <w:t>Admin</w:t>
            </w:r>
          </w:p>
        </w:tc>
      </w:tr>
      <w:tr>
        <w:tc>
          <w:tcPr>
            <w:tcW w:type="dxa" w:w="158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4. Notify</w:t>
            </w:r>
          </w:p>
        </w:tc>
        <w:tc>
          <w:tcPr>
            <w:tcW w:type="dxa" w:w="63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Customer per MSA/DPA breach clause; affected brokers/carriers per partner agreement; regulatory assessment with privacy counsel</w:t>
            </w:r>
          </w:p>
        </w:tc>
        <w:tc>
          <w:tcPr>
            <w:tcW w:type="dxa" w:w="244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Scheme Manager</w:t>
            </w:r>
          </w:p>
        </w:tc>
      </w:tr>
      <w:tr>
        <w:tc>
          <w:tcPr>
            <w:tcW w:type="dxa" w:w="1584"/>
            <w:tcMar>
              <w:top w:w="80" w:type="dxa"/>
              <w:bottom w:w="80" w:type="dxa"/>
              <w:start w:w="120" w:type="dxa"/>
              <w:end w:w="120" w:type="dxa"/>
            </w:tcMar>
          </w:tcPr>
          <w:p>
            <w:pPr>
              <w:spacing w:before="0" w:after="0"/>
            </w:pPr>
            <w:r>
              <w:rPr>
                <w:sz w:val="18"/>
              </w:rPr>
            </w:r>
            <w:r>
              <w:rPr>
                <w:rFonts w:ascii="Segoe UI" w:hAnsi="Segoe UI"/>
                <w:b w:val="0"/>
                <w:i w:val="0"/>
                <w:sz w:val="18"/>
              </w:rPr>
              <w:t>5. Recover</w:t>
            </w:r>
          </w:p>
        </w:tc>
        <w:tc>
          <w:tcPr>
            <w:tcW w:type="dxa" w:w="6336"/>
            <w:tcMar>
              <w:top w:w="80" w:type="dxa"/>
              <w:bottom w:w="80" w:type="dxa"/>
              <w:start w:w="120" w:type="dxa"/>
              <w:end w:w="120" w:type="dxa"/>
            </w:tcMar>
          </w:tcPr>
          <w:p>
            <w:pPr>
              <w:spacing w:before="0" w:after="0"/>
            </w:pPr>
            <w:r>
              <w:rPr>
                <w:sz w:val="18"/>
              </w:rPr>
            </w:r>
            <w:r>
              <w:rPr>
                <w:rFonts w:ascii="Segoe UI" w:hAnsi="Segoe UI"/>
                <w:b w:val="0"/>
                <w:i w:val="0"/>
                <w:sz w:val="18"/>
              </w:rPr>
              <w:t>Re-verify affected controls; re-issue passports; record root cause in the audit trail</w:t>
            </w:r>
          </w:p>
        </w:tc>
        <w:tc>
          <w:tcPr>
            <w:tcW w:type="dxa" w:w="2448"/>
            <w:tcMar>
              <w:top w:w="80" w:type="dxa"/>
              <w:bottom w:w="80" w:type="dxa"/>
              <w:start w:w="120" w:type="dxa"/>
              <w:end w:w="120" w:type="dxa"/>
            </w:tcMar>
          </w:tcPr>
          <w:p>
            <w:pPr>
              <w:spacing w:before="0" w:after="0"/>
            </w:pPr>
            <w:r>
              <w:rPr>
                <w:sz w:val="18"/>
              </w:rPr>
            </w:r>
            <w:r>
              <w:rPr>
                <w:rFonts w:ascii="Segoe UI" w:hAnsi="Segoe UI"/>
                <w:b w:val="0"/>
                <w:i w:val="0"/>
                <w:sz w:val="18"/>
              </w:rPr>
              <w:t>Assessor / Decision Officer</w:t>
            </w:r>
          </w:p>
        </w:tc>
      </w:tr>
    </w:tbl>
    <w:p>
      <w:pPr>
        <w:spacing w:before="0" w:after="80"/>
      </w:pPr>
    </w:p>
    <w:p>
      <w:r>
        <w:br w:type="page"/>
      </w:r>
    </w:p>
    <w:p>
      <w:pPr>
        <w:pStyle w:val="Heading1"/>
      </w:pPr>
      <w:r>
        <w:t>14. Backup and Disaster Recovery (Current State)</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NO PRODUCTION BACKUP YET — DO NOT SKIP THIS</w:t>
            </w:r>
          </w:p>
          <w:p>
            <w:pPr>
              <w:spacing w:before="0" w:after="40"/>
            </w:pPr>
            <w:r>
              <w:rPr>
                <w:rFonts w:ascii="Segoe UI" w:hAnsi="Segoe UI"/>
                <w:b w:val="0"/>
                <w:i w:val="0"/>
                <w:sz w:val="20"/>
              </w:rPr>
              <w:t>The MVP has no automated backup. The entire platform state lives in app/data/laurelshield.db. Until the production upgrade path (Security &amp; Compliance Procedures, Control Gap Register) is implemented, the operational workaround is: (1) stop the server, (2) copy laurelshield.db, laurelshield.db-shm, and laurelshield.db-wal to a separate backup location before any risky change (e.g., a Carrier Requirements Graph migration), and (3) keep the seed script as a known-good fallback for demo/training environments. This is not an acceptable production DR posture — do not onboard real customer evidence against this database without first completing the managed-Postgres migration.</w:t>
            </w:r>
          </w:p>
        </w:tc>
      </w:tr>
    </w:tbl>
    <w:p>
      <w:pPr>
        <w:spacing w:before="0" w:after="80"/>
      </w:pPr>
    </w:p>
    <w:p>
      <w:r>
        <w:br w:type="page"/>
      </w:r>
    </w:p>
    <w:p>
      <w:pPr>
        <w:pStyle w:val="Heading1"/>
      </w:pPr>
      <w:r>
        <w:t>15. Certification &amp; Assurance Governance Calendar</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0B2E4F"/>
            <w:tcMar>
              <w:top w:w="80" w:type="dxa"/>
              <w:bottom w:w="80" w:type="dxa"/>
              <w:start w:w="120" w:type="dxa"/>
              <w:end w:w="120" w:type="dxa"/>
            </w:tcMar>
          </w:tcPr>
          <w:p>
            <w:pPr>
              <w:spacing w:before="0" w:after="0"/>
            </w:pPr>
            <w:r/>
            <w:r>
              <w:rPr>
                <w:rFonts w:ascii="Segoe UI" w:hAnsi="Segoe UI"/>
                <w:b/>
                <w:i w:val="0"/>
                <w:color w:val="FFFFFF"/>
                <w:sz w:val="18"/>
              </w:rPr>
              <w:t>Item</w:t>
            </w:r>
          </w:p>
        </w:tc>
        <w:tc>
          <w:tcPr>
            <w:tcW w:type="dxa" w:w="2592"/>
            <w:shd w:val="clear" w:color="auto" w:fill="0B2E4F"/>
            <w:tcMar>
              <w:top w:w="80" w:type="dxa"/>
              <w:bottom w:w="80" w:type="dxa"/>
              <w:start w:w="120" w:type="dxa"/>
              <w:end w:w="120" w:type="dxa"/>
            </w:tcMar>
          </w:tcPr>
          <w:p>
            <w:pPr>
              <w:spacing w:before="0" w:after="0"/>
            </w:pPr>
            <w:r/>
            <w:r>
              <w:rPr>
                <w:rFonts w:ascii="Segoe UI" w:hAnsi="Segoe UI"/>
                <w:b/>
                <w:i w:val="0"/>
                <w:color w:val="FFFFFF"/>
                <w:sz w:val="18"/>
              </w:rPr>
              <w:t>Frequency</w:t>
            </w:r>
          </w:p>
        </w:tc>
        <w:tc>
          <w:tcPr>
            <w:tcW w:type="dxa" w:w="3600"/>
            <w:shd w:val="clear" w:color="auto" w:fill="0B2E4F"/>
            <w:tcMar>
              <w:top w:w="80" w:type="dxa"/>
              <w:bottom w:w="80" w:type="dxa"/>
              <w:start w:w="120" w:type="dxa"/>
              <w:end w:w="120" w:type="dxa"/>
            </w:tcMar>
          </w:tcPr>
          <w:p>
            <w:pPr>
              <w:spacing w:before="0" w:after="0"/>
            </w:pPr>
            <w:r/>
            <w:r>
              <w:rPr>
                <w:rFonts w:ascii="Segoe UI" w:hAnsi="Segoe UI"/>
                <w:b/>
                <w:i w:val="0"/>
                <w:color w:val="FFFFFF"/>
                <w:sz w:val="18"/>
              </w:rPr>
              <w:t>Reference</w:t>
            </w:r>
          </w:p>
        </w:tc>
      </w:tr>
      <w:tr>
        <w:tc>
          <w:tcPr>
            <w:tcW w:type="dxa" w:w="3744"/>
            <w:tcMar>
              <w:top w:w="80" w:type="dxa"/>
              <w:bottom w:w="80" w:type="dxa"/>
              <w:start w:w="120" w:type="dxa"/>
              <w:end w:w="120" w:type="dxa"/>
            </w:tcMar>
          </w:tcPr>
          <w:p>
            <w:pPr>
              <w:spacing w:before="0" w:after="0"/>
            </w:pPr>
            <w:r>
              <w:rPr>
                <w:sz w:val="18"/>
              </w:rPr>
            </w:r>
            <w:r>
              <w:rPr>
                <w:rFonts w:ascii="Segoe UI" w:hAnsi="Segoe UI"/>
                <w:b w:val="0"/>
                <w:i w:val="0"/>
                <w:sz w:val="18"/>
              </w:rPr>
              <w:t>CIA Standard version review</w:t>
            </w:r>
          </w:p>
        </w:tc>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Semi-annual, or on any control-catalogue change</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Original research Section 10.2</w:t>
            </w:r>
          </w:p>
        </w:tc>
      </w:tr>
      <w:tr>
        <w:tc>
          <w:tcPr>
            <w:tcW w:type="dxa" w:w="37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Assessor competence review</w:t>
            </w:r>
          </w:p>
        </w:tc>
        <w:tc>
          <w:tcPr>
            <w:tcW w:type="dxa" w:w="25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Quarterly</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Original research Section 10.2, 12.10</w:t>
            </w:r>
          </w:p>
        </w:tc>
      </w:tr>
      <w:tr>
        <w:tc>
          <w:tcPr>
            <w:tcW w:type="dxa" w:w="3744"/>
            <w:tcMar>
              <w:top w:w="80" w:type="dxa"/>
              <w:bottom w:w="80" w:type="dxa"/>
              <w:start w:w="120" w:type="dxa"/>
              <w:end w:w="120" w:type="dxa"/>
            </w:tcMar>
          </w:tcPr>
          <w:p>
            <w:pPr>
              <w:spacing w:before="0" w:after="0"/>
            </w:pPr>
            <w:r>
              <w:rPr>
                <w:sz w:val="18"/>
              </w:rPr>
            </w:r>
            <w:r>
              <w:rPr>
                <w:rFonts w:ascii="Segoe UI" w:hAnsi="Segoe UI"/>
                <w:b w:val="0"/>
                <w:i w:val="0"/>
                <w:sz w:val="18"/>
              </w:rPr>
              <w:t>Impartiality &amp; conflict-of-interest attestation</w:t>
            </w:r>
          </w:p>
        </w:tc>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Annual, per Assurance Operations staff member</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Original research Section 4.1, 10.1</w:t>
            </w:r>
          </w:p>
        </w:tc>
      </w:tr>
      <w:tr>
        <w:tc>
          <w:tcPr>
            <w:tcW w:type="dxa" w:w="37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Carrier Requirements Graph full audit</w:t>
            </w:r>
          </w:p>
        </w:tc>
        <w:tc>
          <w:tcPr>
            <w:tcW w:type="dxa" w:w="25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Quarterly</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Section 10 of this runbook</w:t>
            </w:r>
          </w:p>
        </w:tc>
      </w:tr>
      <w:tr>
        <w:tc>
          <w:tcPr>
            <w:tcW w:type="dxa" w:w="3744"/>
            <w:tcMar>
              <w:top w:w="80" w:type="dxa"/>
              <w:bottom w:w="80" w:type="dxa"/>
              <w:start w:w="120" w:type="dxa"/>
              <w:end w:w="120" w:type="dxa"/>
            </w:tcMar>
          </w:tcPr>
          <w:p>
            <w:pPr>
              <w:spacing w:before="0" w:after="0"/>
            </w:pPr>
            <w:r>
              <w:rPr>
                <w:sz w:val="18"/>
              </w:rPr>
            </w:r>
            <w:r>
              <w:rPr>
                <w:rFonts w:ascii="Segoe UI" w:hAnsi="Segoe UI"/>
                <w:b w:val="0"/>
                <w:i w:val="0"/>
                <w:sz w:val="18"/>
              </w:rPr>
              <w:t>Appeals process effectiveness review</w:t>
            </w:r>
          </w:p>
        </w:tc>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Annual</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Original research Section 10.2</w:t>
            </w:r>
          </w:p>
        </w:tc>
      </w:tr>
    </w:tbl>
    <w:p>
      <w:pPr>
        <w:spacing w:before="0" w:after="8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b w:val="0"/>
        <w:i w:val="0"/>
        <w:color w:val="5A5A5A"/>
        <w:sz w:val="16"/>
      </w:rPr>
      <w:t xml:space="preserve">Laurelshield — Operations Runbook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s="Segoe UI" w:eastAsia="Segoe U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Segoe UI" w:hAnsi="Segoe UI" w:cs="Segoe UI"/>
      <w:b/>
      <w:bCs/>
      <w:i w:val="0"/>
      <w:color w:val="0B2E4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b/>
      <w:bCs/>
      <w:i w:val="0"/>
      <w:color w:val="0E7C86"/>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Segoe UI" w:hAnsi="Segoe UI" w:cs="Segoe UI"/>
      <w:b/>
      <w:bCs/>
      <w:i w:val="0"/>
      <w:color w:val="334E68"/>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Segoe UI" w:hAnsi="Segoe UI" w:cs="Segoe UI"/>
      <w:b/>
      <w:bCs/>
      <w:i/>
      <w:iCs/>
      <w:color w:val="334E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Segoe UI" w:hAnsi="Segoe UI" w:cs="Segoe UI"/>
      <w:b/>
      <w:i w:val="0"/>
      <w:color w:val="0B2E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Segoe UI" w:hAnsi="Segoe UI" w:cs="Segoe UI"/>
      <w:b w:val="0"/>
      <w:i/>
      <w:iCs/>
      <w:color w:val="0E7C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