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i w:val="0"/>
          <w:color w:val="0B2E4F"/>
          <w:sz w:val="60"/>
        </w:rPr>
        <w:t>LAURELSHIELD</w:t>
      </w:r>
    </w:p>
    <w:p>
      <w:pPr>
        <w:jc w:val="center"/>
      </w:pPr>
      <w:r>
        <w:rPr>
          <w:rFonts w:ascii="Segoe UI" w:hAnsi="Segoe UI"/>
          <w:b w:val="0"/>
          <w:i/>
          <w:color w:val="0E7C86"/>
          <w:sz w:val="30"/>
        </w:rPr>
        <w:t>Platform Architecture &amp; Build Documentation</w:t>
      </w:r>
    </w:p>
    <w:p>
      <w:pPr>
        <w:jc w:val="center"/>
      </w:pPr>
      <w:r>
        <w:rPr>
          <w:rFonts w:ascii="Segoe UI" w:hAnsi="Segoe UI"/>
          <w:b w:val="0"/>
          <w:i w:val="0"/>
          <w:color w:val="334E68"/>
          <w:sz w:val="22"/>
        </w:rPr>
        <w:t>Reference implementation of the Cyber Risk Passport platform:</w:t>
        <w:br/>
        <w:t>system design, data model, API surface, and how to run it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>
          <w:t>Right-click and choose 'Update Field' to build the table of contents.</w:t>
        </w:fldChar>
        <w:fldChar w:fldCharType="end"/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The reference platform is a single Node.js/Express application backed by SQLite, serving a JSON API under /api/* and four static, vanilla-JavaScript web portals — one per counterparty role. There is no build step and no frontend framework: each portal is a set of plain HTML/CSS/JS files that call the API directly with fetch(). This keeps the trade-secret logic (evidence scoring, carrier translation) entirely server-side; the browser never receives anything beyond the derived, role-appropriate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Borders>
              <w:top w:val="single" w:sz="6" w:space="0" w:color="9AA7B4"/>
              <w:left w:val="single" w:sz="6" w:space="0" w:color="9AA7B4"/>
              <w:bottom w:val="single" w:sz="6" w:space="0" w:color="9AA7B4"/>
              <w:right w:val="single" w:sz="6" w:space="0" w:color="9AA7B4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+---------------------------------------------------------------------+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|                        BROWSER (4 portals)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|  /customer   /ops   /broker   /carrier      (vanilla HTML/CSS/JS)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+-------------------------------+---------------------------------------+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            | fetch() JSON over HTTPS, session cookie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+-------------------------------v---------------------------------------+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|                       EXPRESS API  (src/server.js)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|  helmet | express-session | rate limiting | RBAC | tenant isolation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|  routes: /api/auth  /api/customer  /api/ops  /api/broker  /api/carrier|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+---+-----------+------------+-------------+------------+--------------+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|           |            |             |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v           v            v             v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signing.js  eclEngine.js mappingEngine.js freshnessEngine.js translationEngine.js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(HMAC sign/  (evidence-&gt;  (connector -&gt;   (expiry/downgrade  (CONFIDENTIAL: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verify,      ECL 0-5,     control map)    of stale claims)   carrier graph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sha256)      claim calc)                                     partner scoring)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|           |            |             |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+-----------+------------+-------------+------------+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+---------------------------+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 SQLite (better-sqlite3)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orgs/users/scopes/assets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evidence/verifications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assurance_claims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carrier_requirements(*)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passports/sharing_grants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|  access_log (audit)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+---------------------------+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 xml:space="preserve">                    (*) confidential - ls_admin only</w:t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b w:val="0"/>
          <w:i/>
          <w:color w:val="5A5A5A"/>
          <w:sz w:val="17"/>
        </w:rPr>
        <w:t>Figure 1: Reference platform component diagram</w:t>
      </w:r>
    </w:p>
    <w:p>
      <w:r>
        <w:br w:type="page"/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446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Runtime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Node.js 24, CommonJS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Matches the team's existing stack; no build tooling required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Web framework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Express 4</w:t>
            </w:r>
          </w:p>
        </w:tc>
        <w:tc>
          <w:tcPr>
            <w:tcW w:type="dxa" w:w="446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Minimal, well-understood, easy to harden with Helmet/rate-limit middleware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SQLite via better-sqlite3 (synchronous)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Zero-setup for a demo/pilot; swap for managed Postgres at production scale (Section 8)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express-session + bcryptjs</w:t>
            </w:r>
          </w:p>
        </w:tc>
        <w:tc>
          <w:tcPr>
            <w:tcW w:type="dxa" w:w="446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Cookie-based session auth is sufficient for a role-separated portal; no need for OAuth complexity in the MVP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Vanilla HTML/CSS/JS, no framework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 build step; keeps all scoring/translation logic server-side by construction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Security headers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helmet</w:t>
            </w:r>
          </w:p>
        </w:tc>
        <w:tc>
          <w:tcPr>
            <w:tcW w:type="dxa" w:w="446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Content-Security-Policy, COOP, and related headers with sane defaults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Signing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Node crypto (HMAC-SHA256, SHA-256)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Sufficient to demonstrate tamper-evidence; production upgrade path in Section 8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Live evidence integration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@azure/msal-node (Microsoft's official MSAL library)</w:t>
            </w:r>
          </w:p>
        </w:tc>
        <w:tc>
          <w:tcPr>
            <w:tcW w:type="dxa" w:w="446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App-only (client credentials) OAuth2 flow against Microsoft Graph for the Entra identity connector — the first of the P0 live connectors from Section 5.2 of the original research document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3.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Borders>
              <w:top w:val="single" w:sz="6" w:space="0" w:color="9AA7B4"/>
              <w:left w:val="single" w:sz="6" w:space="0" w:color="9AA7B4"/>
              <w:bottom w:val="single" w:sz="6" w:space="0" w:color="9AA7B4"/>
              <w:right w:val="single" w:sz="6" w:space="0" w:color="9AA7B4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Laurelshield-Passport-Platform/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├── app/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├── src/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├── server.js              Express app, middleware wiring, static serving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├── db/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schema.js          SQLite DDL (idempotent CREATE TABLE IF NOT EXISTS)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index.js           DB connection + WAL mode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└── seed.js            Demo data: controls, orgs, users, evidence, passport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├── services/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signing.js         HMAC sign/verify, SHA-256 hashing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mappingEngine.js   connector-type -&gt; canonical control codes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connectorProfiles.js  simulated posture + per-control evaluators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graphConnector.js  LIVE Microsoft Graph integration (MSAL client-credentials flow)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eclEngine.js       evidence -&gt; ECL, claim status, remediation triggers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freshnessEngine.js continuous assurance sweep + drift simulation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├── translationEngine.js  CONFIDENTIAL: carrier graph + partner translation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└── auditLog.js        access_log write helper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├── middleware/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│   └── auth.js            requireAuth, requireRole, loadOwnedScope (tenant isolation)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└── routes/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│       ├── auth.js  customer.js  ops.js  broker.js  carrier.js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├── public/                    customer/ ops/ broker/ carrier/ portals + shared css/js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├── data/laurelshield.db       SQLite file (git-ignored)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├── .env                       secrets (git-ignored)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│   └── package.json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└── docs/                          this documentation suite + build/ (docx generator scripts)</w:t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b w:val="0"/>
          <w:i/>
          <w:color w:val="5A5A5A"/>
          <w:sz w:val="17"/>
        </w:rPr>
        <w:t>Figure 2: Repository layout</w:t>
      </w:r>
    </w:p>
    <w:p>
      <w:r>
        <w:br w:type="page"/>
      </w:r>
    </w:p>
    <w:p>
      <w:pPr>
        <w:pStyle w:val="Heading1"/>
      </w:pPr>
      <w:r>
        <w:t>4. Data Model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15 tables, all defined in src/db/schema.js. Grouped by function: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316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Tables</w:t>
            </w:r>
          </w:p>
        </w:tc>
        <w:tc>
          <w:tcPr>
            <w:tcW w:type="dxa" w:w="489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Identity &amp; tenancy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organizations, users, partners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Customers, brokers, and carriers are all organizations; partners links a broker/carrier org to its role-specific record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Assurance boundary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scopes, assets</w:t>
            </w:r>
          </w:p>
        </w:tc>
        <w:tc>
          <w:tcPr>
            <w:tcW w:type="dxa" w:w="48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Stage 1-2: the legal entity / technology footprint under verification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Evidence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connectors, evidence, evidence_control_map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Stage 3-4: connectors (simulated by default; the Entra identity connector also supports a live Microsoft Graph mode), evidence objects with chain-of-custody metadata, and their mapping to canonical controls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Control catalogue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48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Stage 4: 40 vendor-neutral canonical controls across 10 domains (Section 5 of Security &amp; Compliance doc)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Decisions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verifications, assurance_claims, remediation_items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Stage 5-8: ECL/effectiveness decisions, the resulting signed claim per (scope, control), and the remediation backlog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Passport &amp; sharing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passports, sharing_grants</w:t>
            </w:r>
          </w:p>
        </w:tc>
        <w:tc>
          <w:tcPr>
            <w:tcW w:type="dxa" w:w="48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Stage 9-10: signed passport issuance and customer-controlled, time-limited, revocable disclosure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Confidential graph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carrier_requirements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Section 5.6: partner-specific control mappings, minimum ECL, freshness windows, and weights — ls_admin only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appeals, access_log</w:t>
            </w:r>
          </w:p>
        </w:tc>
        <w:tc>
          <w:tcPr>
            <w:tcW w:type="dxa" w:w="489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Section 10.2: contested-decision review, and the immutable audit trail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Every assurance_claims row is unique per (scope_id, control_id) and carries: status (verified/conditional/expired/revoked/material_gap/not_assessed), ecl (0-5), coverage_pct, valid_from/valid_until, a signature, and a revoked flag — this single row is what a passport and every partner translation ultimately read from.</w:t>
      </w:r>
    </w:p>
    <w:p>
      <w:r>
        <w:br w:type="page"/>
      </w:r>
    </w:p>
    <w:p>
      <w:pPr>
        <w:pStyle w:val="Heading1"/>
      </w:pPr>
      <w:r>
        <w:t>5. The 12-Stage Business Process, Mapped to the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532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Endpoint(s)</w:t>
            </w:r>
          </w:p>
        </w:tc>
        <w:tc>
          <w:tcPr>
            <w:tcW w:type="dxa" w:w="216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1-2. Onboarding &amp; scope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POST /api/customer/scopes, POST /scopes/:id/assets, POST /scopes/:id/approve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3. Evidence collection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POST /scopes/:id/connectors, POST /connectors/:id/sync, POST /operational-tests, POST /evidence/manual</w:t>
            </w:r>
          </w:p>
        </w:tc>
        <w:tc>
          <w:tcPr>
            <w:tcW w:type="dxa" w:w="216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4. Canonical mapping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Automatic — mappingEngine.controlsForConnector() at sync time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system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5. Confidence &amp; effectiveness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/scopes/:id/controls; verification queue: GET/POST /api/ops/verification-queue, /verifications/:id/assess, /decide</w:t>
            </w:r>
          </w:p>
        </w:tc>
        <w:tc>
          <w:tcPr>
            <w:tcW w:type="dxa" w:w="216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 (view), ls_assessor, ls_decision_officer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6. Market readiness translation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/api/carrier/passports/:id (translation), GET /api/broker/passports/:id (raw claims + triggers)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broker, carrier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7. Remediation planning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/scopes/:id/remediation, POST /remediation/:id/mark-remediated</w:t>
            </w:r>
          </w:p>
        </w:tc>
        <w:tc>
          <w:tcPr>
            <w:tcW w:type="dxa" w:w="216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8. Independent re-verification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/api/ops/reverification-queue, POST /reverification/:id/close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ls_assessor, ls_decision_officer, ls_admin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9. Passport issuance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POST /scopes/:id/passports, GET /passports/:id, POST /passports/:id/revoke</w:t>
            </w:r>
          </w:p>
        </w:tc>
        <w:tc>
          <w:tcPr>
            <w:tcW w:type="dxa" w:w="216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10. Authorized demonstration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POST /passports/:id/share, GET/POST /sharing/*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customer_admin; consumed via /api/broker, /api/carrier</w:t>
            </w:r>
          </w:p>
        </w:tc>
      </w:tr>
      <w:tr>
        <w:tc>
          <w:tcPr>
            <w:tcW w:type="dxa" w:w="273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11. Continuous assurance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POST /scopes/:id/freshness-check, POST /api/ops/demo/freshness-sweep, /demo/simulate-drift</w:t>
            </w:r>
          </w:p>
        </w:tc>
        <w:tc>
          <w:tcPr>
            <w:tcW w:type="dxa" w:w="216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customer_admin, ls_admin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12. Outcome learning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Not yet implemented — see Roadmap (Section 9)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future: ls_admin / Data Lead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6. Trade-Secret Boundary: What Is Deliberately Not Documented Here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Per Section 11.5 and 5.6 of the original research document, the Carrier Requirements Graph and the partner-translation scoring logic are Laurelshield's highest-value trade secrets. This documentation set describes them at the black-box level only — inputs and outputs, not the internal formula.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17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What This Document Says</w:t>
            </w:r>
          </w:p>
        </w:tc>
        <w:tc>
          <w:tcPr>
            <w:tcW w:type="dxa" w:w="316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What It Deliberately Omits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translationEngine.translateForPartner()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Takes a partner ID and scope ID; returns an overall readiness status, a 0-100 readiness score, and a per-requirement Pass/Conditional/Evidence Expiring/Material Gap result with a plain-language evidence note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The exact weighting formula, which controls a given carrier treats as mandatory versus advisory, and the minimum-ECL/freshness thresholds behind each requirement</w:t>
            </w:r>
          </w:p>
        </w:tc>
      </w:tr>
      <w:tr>
        <w:tc>
          <w:tcPr>
            <w:tcW w:type="dxa" w:w="288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eclEngine / connectorProfiles evaluators</w:t>
            </w:r>
          </w:p>
        </w:tc>
        <w:tc>
          <w:tcPr>
            <w:tcW w:type="dxa" w:w="417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Evidence Confidence Levels 0-5 are a published standard (Section 5.4 of original research); the mapping from a raw connector reading to a specific coverage percentage is implementation detail</w:t>
            </w:r>
          </w:p>
        </w:tc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The exact per-control evaluator thresholds are visible in source code to engineering staff but are not reproduced in customer- or partner-facing materials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carrier_requirements table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Structure only (Section 4 of this document): partner, control, min ECL, freshness window, weight, mandatory flag, source classification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Actual row contents for any real carrier relationship — always ls_admin-only, never included in a document, export, or API response outside that role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3EC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6" w:space="0" w:color="1B5E20"/>
              <w:top w:val="single" w:sz="4" w:space="0" w:color="D8DEE4"/>
              <w:bottom w:val="single" w:sz="4" w:space="0" w:color="D8DEE4"/>
              <w:right w:val="single" w:sz="4" w:space="0" w:color="D8DEE4"/>
            </w:tcBorders>
          </w:tcPr>
          <w:p>
            <w:pPr>
              <w:spacing w:before="0" w:after="60"/>
            </w:pPr>
            <w:r/>
            <w:r>
              <w:rPr>
                <w:rFonts w:ascii="Segoe UI" w:hAnsi="Segoe UI"/>
                <w:b/>
                <w:i w:val="0"/>
                <w:color w:val="14431A"/>
                <w:sz w:val="21"/>
              </w:rPr>
              <w:t>ENFORCEMENT, NOT JUST POLICY</w:t>
            </w:r>
          </w:p>
          <w:p>
            <w:pPr>
              <w:spacing w:before="0"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This is a design property, not a documentation gap: the hard rule enforced in translationEngine.js is that translateForPartner() is the only function any customer-, broker-, or carrier-facing route may call, and its return value never includes weight, min_ecl, max_evidence_age_hours, source_classification, or confidential_notes. Verify this by inspecting the function directly — the constraint is in the code, not just in this paragraph.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7. Live Microsoft Graph Connector Setup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The Entra identity connector (src/services/graphConnector.js) can run in two modes, selected per connector when the customer adds it: Simulated (the zero-setup default used throughout this document and the seeded demo data) or Live, which authenticates to a real Azure AD tenant via Microsoft's official MSAL Node library and pulls real Conditional Access, directory-role, and sign-in-activity data for controls LS-ID-101 through LS-ID-104.</w:t>
      </w:r>
    </w:p>
    <w:p>
      <w:pPr>
        <w:pStyle w:val="Heading2"/>
      </w:pPr>
      <w:r>
        <w:t>7.1 Why app-only (client credentials), not delegated auth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Laurelshield reads tenant-wide directory and policy state on a schedule, not on behalf of an interactively signed-in end user, so the connector uses the OAuth2 client credentials grant: an Azure AD app registration with Application (not Delegated) permissions, authenticating with its own client ID and secret rather than a user's credentials.</w:t>
      </w:r>
    </w:p>
    <w:p>
      <w:pPr>
        <w:pStyle w:val="Heading2"/>
      </w:pPr>
      <w:r>
        <w:t>7.2 Azure Portal setup steps (performed by the customer's own Azure AD administrator)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In the Azure Portal, go to Microsoft Entra ID &gt; App registrations &gt; New registration. Any name is fine (e.g. “Laurelshield Evidence Connector”); no redirect URI is needed.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Under Certificates &amp; secrets, create a new client secret (or, for production, prefer a certificate — see the security note below) and copy its value immediately; Azure will not show it again.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Under API permissions, add Microsoft Graph &gt; Application permissions and select: Policy.Read.All, Directory.Read.All, RoleManagement.Read.Directory, and AuditLog.Read.All.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Click Grant admin consent for the tenant — application permissions do not take effect until a tenant administrator explicitly consents.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Copy the Tenant ID and Application (client) ID from the app registration's Overview page.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These four values — Tenant ID, Client ID, Client Secret, and the admin-consented permissions — are everything the customer enters when adding the connector in Live mode; nothing else is required on the Azure side.</w:t>
      </w:r>
    </w:p>
    <w:p>
      <w:pPr>
        <w:pStyle w:val="Heading2"/>
      </w:pPr>
      <w:r>
        <w:t>7.3 What the connector actually reads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Canonical Control</w:t>
            </w:r>
          </w:p>
        </w:tc>
        <w:tc>
          <w:tcPr>
            <w:tcW w:type="dxa" w:w="360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Graph Endpoint</w:t>
            </w:r>
          </w:p>
        </w:tc>
        <w:tc>
          <w:tcPr>
            <w:tcW w:type="dxa" w:w="345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Evaluation Logic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LS-ID-101 Privileged MFA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/identity/conditionalAccess/policies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An enabled policy with grantControls.builtInControls including "mfa", targeting either all users or specific privileged roles</w:t>
            </w:r>
          </w:p>
        </w:tc>
      </w:tr>
      <w:tr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LS-ID-102 Remote-Access MFA</w:t>
            </w:r>
          </w:p>
        </w:tc>
        <w:tc>
          <w:tcPr>
            <w:tcW w:type="dxa" w:w="36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/identity/conditionalAccess/policies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An enabled policy requiring MFA for all users (broader than the privileged-only check above)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LS-ID-103 Privileged Role Separation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/identity/conditionalAccess/policies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An enabled policy that blocks legacy authentication client app types (exchangeActiveSync, other)</w:t>
            </w:r>
          </w:p>
        </w:tc>
      </w:tr>
      <w:tr>
        <w:tc>
          <w:tcPr>
            <w:tcW w:type="dxa" w:w="316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LS-ID-104 Dormant Account Governance</w:t>
            </w:r>
          </w:p>
        </w:tc>
        <w:tc>
          <w:tcPr>
            <w:tcW w:type="dxa" w:w="360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GET /directoryRoles, /directoryRoles/{id}/members, /users/{id}?$select=signInActivity</w:t>
            </w:r>
          </w:p>
        </w:tc>
        <w:tc>
          <w:tcPr>
            <w:tcW w:type="dxa" w:w="345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Counts privileged-role members who are disabled or have no sign-in within 90 days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E9E7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6" w:space="0" w:color="9B1C1C"/>
              <w:top w:val="single" w:sz="4" w:space="0" w:color="D8DEE4"/>
              <w:bottom w:val="single" w:sz="4" w:space="0" w:color="D8DEE4"/>
              <w:right w:val="single" w:sz="4" w:space="0" w:color="D8DEE4"/>
            </w:tcBorders>
          </w:tcPr>
          <w:p>
            <w:pPr>
              <w:spacing w:before="0" w:after="60"/>
            </w:pPr>
            <w:r/>
            <w:r>
              <w:rPr>
                <w:rFonts w:ascii="Segoe UI" w:hAnsi="Segoe UI"/>
                <w:b/>
                <w:i w:val="0"/>
                <w:color w:val="7A1616"/>
                <w:sz w:val="21"/>
              </w:rPr>
              <w:t>LICENSING DEPENDENCY: SIGN-IN ACTIVITY</w:t>
            </w:r>
          </w:p>
          <w:p>
            <w:pPr>
              <w:spacing w:before="0"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signInActivity requires an Entra ID P1 or P2 license on the tenant; without it, Graph returns the field as null rather than an error, and the connector treats that conservatively as "cannot prove the account is active" — the same outcome as a genuinely dormant account. This is a real Microsoft licensing dependency, not a Laurelshield limitation, and should be confirmed with the customer during onboarding.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7.4 Error handling and secret hygiene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A Test Connection action (one lightweight GET /organization call) lets the customer validate credentials before a full sync. If authentication or a Graph call fails — invalid tenant, revoked secret, missing consent, throttling — the connector is marked error, the failure is logged to the audit trail with Microsoft's own error detail, and the rest of the platform continues operating normally; a bad credential cannot crash the server. The client secret is stored in the connector's config and is never returned to the browser once saved — the API redacts it to a boolean clientSecretConfigured flag on every read.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E9E7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6" w:space="0" w:color="9B1C1C"/>
              <w:top w:val="single" w:sz="4" w:space="0" w:color="D8DEE4"/>
              <w:bottom w:val="single" w:sz="4" w:space="0" w:color="D8DEE4"/>
              <w:right w:val="single" w:sz="4" w:space="0" w:color="D8DEE4"/>
            </w:tcBorders>
          </w:tcPr>
          <w:p>
            <w:pPr>
              <w:spacing w:before="0" w:after="60"/>
            </w:pPr>
            <w:r/>
            <w:r>
              <w:rPr>
                <w:rFonts w:ascii="Segoe UI" w:hAnsi="Segoe UI"/>
                <w:b/>
                <w:i w:val="0"/>
                <w:color w:val="7A1616"/>
                <w:sz w:val="21"/>
              </w:rPr>
              <w:t>PRODUCTION GAP: ENCRYPT OR ELIMINATE THE STORED SECRET</w:t>
            </w:r>
          </w:p>
          <w:p>
            <w:pPr>
              <w:spacing w:before="0"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The client secret is stored in plaintext in the SQLite database in this MVP — the same gap as the general "SQLite, unencrypted at rest" item in the Security &amp; Compliance Procedures Control Gap Register, but worth calling out specifically because this field is a live credential to a customer's own Azure tenant, not just Laurelshield's own data. Production must encrypt this field at minimum, and should prefer certificate-based authentication (stored in a key vault) over a shared secret entirely.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8. API Reference (Role-Gated Endpoint Summary)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Full request/response shapes are in the route source files (src/routes/*.js); this is the endpoint inventory for onboarding a new engineer or auditor.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Base Path</w:t>
            </w:r>
          </w:p>
        </w:tc>
        <w:tc>
          <w:tcPr>
            <w:tcW w:type="dxa" w:w="4176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Role(s) Required</w:t>
            </w:r>
          </w:p>
        </w:tc>
        <w:tc>
          <w:tcPr>
            <w:tcW w:type="dxa" w:w="158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Endpoint Count</w:t>
            </w:r>
          </w:p>
        </w:tc>
        <w:tc>
          <w:tcPr>
            <w:tcW w:type="dxa" w:w="288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Covers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/api/auth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none (login) / any authenticated (me, logout)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Session login/logout, current-user lookup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/api/customer</w:t>
            </w:r>
          </w:p>
        </w:tc>
        <w:tc>
          <w:tcPr>
            <w:tcW w:type="dxa" w:w="417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</w:t>
            </w:r>
          </w:p>
        </w:tc>
        <w:tc>
          <w:tcPr>
            <w:tcW w:type="dxa" w:w="158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~30</w:t>
            </w:r>
          </w:p>
        </w:tc>
        <w:tc>
          <w:tcPr>
            <w:tcW w:type="dxa" w:w="288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Org, scopes, assets, connectors (incl. live-connector test-connection), evidence, controls, remediation, passports, sharing, appeals, audit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/api/ops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ls_admin, ls_assessor, ls_decision_officer (role-gated per action)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~18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Dashboard, verification queue, re-verification queue, appeals, partners, confidential requirements graph, controls catalogue, freshness/drift demo tools, full audit</w:t>
            </w:r>
          </w:p>
        </w:tc>
      </w:tr>
      <w:tr>
        <w:tc>
          <w:tcPr>
            <w:tcW w:type="dxa" w:w="1872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/api/broker</w:t>
            </w:r>
          </w:p>
        </w:tc>
        <w:tc>
          <w:tcPr>
            <w:tcW w:type="dxa" w:w="4176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broker</w:t>
            </w:r>
          </w:p>
        </w:tc>
        <w:tc>
          <w:tcPr>
            <w:tcW w:type="dxa" w:w="158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Portfolio (with referral triggers), passport detail (raw claims)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/api/carrier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Portfolio (translated readiness), passport detail (translated, confidential-safe)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9. Running the Platform</w:t>
      </w:r>
    </w:p>
    <w:p>
      <w:pPr>
        <w:pStyle w:val="Heading2"/>
      </w:pPr>
      <w:r>
        <w:t>8.1 First-time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Borders>
              <w:top w:val="single" w:sz="6" w:space="0" w:color="9AA7B4"/>
              <w:left w:val="single" w:sz="6" w:space="0" w:color="9AA7B4"/>
              <w:bottom w:val="single" w:sz="6" w:space="0" w:color="9AA7B4"/>
              <w:right w:val="single" w:sz="6" w:space="0" w:color="9AA7B4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cd Laurelshield-Passport-Platform/app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npm install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cp .env.example .env          # then set SESSION_SECRET and PASSPORT_SIGNING_SECRET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npm run seed                  # idempotent - skips if already seeded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E4F"/>
                <w:sz w:val="17"/>
              </w:rPr>
              <w:t>npm start                     # listens on http://localhost:4100 (PORT in .env)</w:t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b w:val="0"/>
          <w:i/>
          <w:color w:val="5A5A5A"/>
          <w:sz w:val="17"/>
        </w:rPr>
        <w:t>Figure 3: Setup commands</w:t>
      </w:r>
    </w:p>
    <w:p>
      <w:pPr>
        <w:pStyle w:val="Heading2"/>
      </w:pPr>
      <w:r>
        <w:t>8.2 Demo accounts (seeded)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All demo accounts share the password Passport#2026, set in src/db/seed.js.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744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Email</w:t>
            </w:r>
          </w:p>
        </w:tc>
        <w:tc>
          <w:tcPr>
            <w:tcW w:type="dxa" w:w="5328"/>
            <w:shd w:val="clear" w:color="auto" w:fill="0B2E4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 (ABC Manufacturing)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admin@abcmanufacturing.example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Fully verified: 38/40 controls verified, 2 conditional (accepted compensating controls), passport LS-CRP-CA-000184 issued and shared</w:t>
            </w:r>
          </w:p>
        </w:tc>
      </w:tr>
      <w:tr>
        <w:tc>
          <w:tcPr>
            <w:tcW w:type="dxa" w:w="288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customer_admin (Meridian Health)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admin@meridianhealth.example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Blank-slate sandbox — walk the full Stage 1-9 flow from scratch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ls_admin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admin@laurelshield.internal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Full access: partner/requirements graph, demo tools, full audit log</w:t>
            </w:r>
          </w:p>
        </w:tc>
      </w:tr>
      <w:tr>
        <w:tc>
          <w:tcPr>
            <w:tcW w:type="dxa" w:w="288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ls_assessor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assessor@laurelshield.internal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Can assess pending verifications; cannot finalize decisions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ls_decision_officer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decisions@laurelshield.internal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Can finalize verification decisions and resolve appeals; cannot self-assess</w:t>
            </w:r>
          </w:p>
        </w:tc>
      </w:tr>
      <w:tr>
        <w:tc>
          <w:tcPr>
            <w:tcW w:type="dxa" w:w="2880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broker</w:t>
            </w:r>
          </w:p>
        </w:tc>
        <w:tc>
          <w:tcPr>
            <w:tcW w:type="dxa" w:w="3744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broker@granitepeak.example</w:t>
            </w:r>
          </w:p>
        </w:tc>
        <w:tc>
          <w:tcPr>
            <w:tcW w:type="dxa" w:w="5328"/>
            <w:shd w:val="clear" w:color="auto"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Sees only passports explicitly shared with Granite Peak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carrier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underwriter@northstar.example / underwriter@continental.example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rFonts w:ascii="Segoe UI" w:hAnsi="Segoe UI"/>
                <w:b w:val="0"/>
                <w:i w:val="0"/>
                <w:sz w:val="18"/>
              </w:rPr>
              <w:t>Two independent carriers with different confidential requirement graphs — demonstrates translation without cross-carrier leakage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8.3 Resetting demo data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Stop the server, delete app/data/laurelshield.db (and the -shm/-wal files if present), then re-run npm run seed. The seed script is idempotent and will refuse to run against a non-empty database, which is why the file must be deleted first.</w:t>
      </w:r>
    </w:p>
    <w:p>
      <w:r>
        <w:br w:type="page"/>
      </w:r>
    </w:p>
    <w:p>
      <w:pPr>
        <w:pStyle w:val="Heading1"/>
      </w:pPr>
      <w:r>
        <w:t>10. Production Upgrade Path / Roadmap</w:t>
      </w:r>
    </w:p>
    <w:p>
      <w:pPr>
        <w:spacing w:before="0" w:after="120"/>
      </w:pPr>
      <w:r>
        <w:rPr>
          <w:rFonts w:ascii="Segoe UI" w:hAnsi="Segoe UI"/>
          <w:b w:val="0"/>
          <w:i w:val="0"/>
          <w:sz w:val="20"/>
        </w:rPr>
        <w:t>Cross-referenced against the Control Gap Register in the Security &amp; Compliance Procedures document; this is the engineering sequencing view of the same gaps.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Replace HMAC signing with an asymmetric, KMS/HSM-backed keypair so passport recipients can verify signatures independently of Laurelshield's signing secret.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Migrate SQLite to managed Postgres with encryption at rest and automated backups.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Continue replacing simulated connectors with live, read-only integrations in the priority order from Section 5.2 of the original research document. Microsoft Graph/Entra is done (Section 7); EDR (Defender/CrowdStrike) and backup platforms (Veeam/Rubrik) are next, following the same pattern: a *Connector.js service using the vendor's official SDK/API, a "live" config mode alongside the existing simulated one, and no change to eclEngine, the passport, or the translation engine, which are all evidence-source-agnostic by design.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Add the Outcome Intelligence layer (Stage 12): a narrow, rights-aware schema capturing submission/quote/decline/terms data under explicit contractual permission (Section 12.12 of original research), gated by the rights ledger.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Run a full secure-SDLC pass — SAST/SCA, dependency scanning, DAST/API testing, and an external penetration test — before onboarding any real customer evidence.</w:t>
      </w:r>
    </w:p>
    <w:p>
      <w:pPr>
        <w:pStyle w:val="ListNumber"/>
        <w:spacing w:after="40"/>
        <w:ind w:left="432"/>
      </w:pPr>
      <w:r>
        <w:rPr>
          <w:rFonts w:ascii="Segoe UI" w:hAnsi="Segoe UI"/>
          <w:b w:val="0"/>
          <w:i w:val="0"/>
          <w:sz w:val="20"/>
        </w:rPr>
        <w:t>Formalize the certification-mark and accreditation strategy only after the assurance scheme, impartiality controls, and appeals process have a genuine operating history (Section 11.2 of original research) — this platform's role-separation design already anticipates that future state.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b w:val="0"/>
        <w:i w:val="0"/>
        <w:color w:val="5A5A5A"/>
        <w:sz w:val="16"/>
      </w:rPr>
      <w:t xml:space="preserve">Laurelshield — Platform Architecture &amp; Build Documentation   |   Page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egoe UI" w:hAnsi="Segoe UI" w:cs="Segoe UI" w:eastAsia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Segoe UI" w:hAnsi="Segoe UI" w:cs="Segoe UI"/>
      <w:b/>
      <w:bCs/>
      <w:i w:val="0"/>
      <w:color w:val="0B2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 w:cs="Segoe UI"/>
      <w:b/>
      <w:bCs/>
      <w:i w:val="0"/>
      <w:color w:val="0E7C8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Segoe UI" w:hAnsi="Segoe UI" w:cs="Segoe UI"/>
      <w:b/>
      <w:bCs/>
      <w:i w:val="0"/>
      <w:color w:val="3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Segoe UI" w:hAnsi="Segoe UI" w:cs="Segoe UI"/>
      <w:b/>
      <w:bCs/>
      <w:i/>
      <w:iCs/>
      <w:color w:val="334E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 w:cs="Segoe UI"/>
      <w:b/>
      <w:i w:val="0"/>
      <w:color w:val="0B2E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Segoe UI" w:hAnsi="Segoe UI" w:cs="Segoe UI"/>
      <w:b w:val="0"/>
      <w:i/>
      <w:iCs/>
      <w:color w:val="0E7C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i/>
      <w:color w:val="5A5A5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