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egoe UI" w:hAnsi="Segoe UI"/>
          <w:b/>
          <w:i w:val="0"/>
          <w:color w:val="0B2E4F"/>
          <w:sz w:val="60"/>
        </w:rPr>
        <w:t>LAURELSHIELD</w:t>
      </w:r>
    </w:p>
    <w:p>
      <w:pPr>
        <w:jc w:val="center"/>
      </w:pPr>
      <w:r>
        <w:rPr>
          <w:rFonts w:ascii="Segoe UI" w:hAnsi="Segoe UI"/>
          <w:b w:val="0"/>
          <w:i/>
          <w:color w:val="0E7C86"/>
          <w:sz w:val="30"/>
        </w:rPr>
        <w:t>Role Quick-Start &amp; Support Guide</w:t>
      </w:r>
    </w:p>
    <w:p>
      <w:pPr>
        <w:jc w:val="center"/>
      </w:pPr>
      <w:r>
        <w:rPr>
          <w:rFonts w:ascii="Segoe UI" w:hAnsi="Segoe UI"/>
          <w:b w:val="0"/>
          <w:i w:val="0"/>
          <w:color w:val="334E68"/>
          <w:sz w:val="22"/>
        </w:rPr>
        <w:t>First-login walkthroughs for every role, a glossary, an FAQ,</w:t>
        <w:br/>
        <w:t>and troubleshooting for the reference platform</w:t>
      </w:r>
    </w:p>
    <w:p>
      <w:r>
        <w:br w:type="page"/>
      </w:r>
    </w:p>
    <w:p>
      <w:pPr>
        <w:pStyle w:val="Heading1"/>
      </w:pPr>
      <w:r>
        <w:t>Table of Contents</w:t>
      </w:r>
    </w:p>
    <w:p>
      <w:r>
        <w:fldChar w:fldCharType="begin"/>
        <w:instrText xml:space="preserve">TOC \o "1-3" \h \z \u</w:instrText>
        <w:fldChar w:fldCharType="separate">
          <w:t>Right-click and choose 'Update Field' to build the table of contents.</w:t>
        </w:fldChar>
        <w:fldChar w:fldCharType="end"/>
      </w:r>
    </w:p>
    <w:p>
      <w:r>
        <w:br w:type="page"/>
      </w:r>
    </w:p>
    <w:p>
      <w:pPr>
        <w:pStyle w:val="Heading1"/>
      </w:pPr>
      <w:r>
        <w:t>1. Before You Start</w:t>
      </w:r>
    </w:p>
    <w:p>
      <w:pPr>
        <w:spacing w:before="0" w:after="120"/>
      </w:pPr>
      <w:r>
        <w:rPr>
          <w:rFonts w:ascii="Segoe UI" w:hAnsi="Segoe UI"/>
          <w:b w:val="0"/>
          <w:i w:val="0"/>
          <w:sz w:val="20"/>
        </w:rPr>
        <w:t>The platform runs at the address your administrator gives you (locally, this is typically http://localhost:4100). All demo accounts share the password Passport#2026. Sign in at the root login page — you will be routed automatically to the correct portal for your role.</w:t>
      </w:r>
    </w:p>
    <w:p>
      <w:r>
        <w:br w:type="page"/>
      </w:r>
    </w:p>
    <w:p>
      <w:pPr>
        <w:pStyle w:val="Heading1"/>
      </w:pPr>
      <w:r>
        <w:t>2. Quick Start: Customer Administrator</w:t>
      </w:r>
    </w:p>
    <w:p>
      <w:pPr>
        <w:spacing w:before="0" w:after="120"/>
      </w:pPr>
      <w:r>
        <w:rPr>
          <w:rFonts w:ascii="Segoe UI" w:hAnsi="Segoe UI"/>
          <w:b w:val="0"/>
          <w:i w:val="0"/>
          <w:sz w:val="20"/>
        </w:rPr>
        <w:t>Account: admin@abcmanufacturing.example (fully populated example) or admin@meridianhealth.example (blank-slate sandbox — start here to learn the flow).</w:t>
      </w:r>
    </w:p>
    <w:p>
      <w:pPr>
        <w:pStyle w:val="ListNumber"/>
        <w:spacing w:after="40"/>
        <w:ind w:left="432"/>
      </w:pPr>
      <w:r>
        <w:rPr>
          <w:rFonts w:ascii="Segoe UI" w:hAnsi="Segoe UI"/>
          <w:b w:val="0"/>
          <w:i w:val="0"/>
          <w:sz w:val="20"/>
        </w:rPr>
        <w:t>Overview tab: confirm your organization name and pick the active assurance boundary from the scope selector (or create your first one in Scope &amp; Assets).</w:t>
      </w:r>
    </w:p>
    <w:p>
      <w:pPr>
        <w:pStyle w:val="ListNumber"/>
        <w:spacing w:after="40"/>
        <w:ind w:left="432"/>
      </w:pPr>
      <w:r>
        <w:rPr>
          <w:rFonts w:ascii="Segoe UI" w:hAnsi="Segoe UI"/>
          <w:b w:val="0"/>
          <w:i w:val="0"/>
          <w:sz w:val="20"/>
        </w:rPr>
        <w:t>Scope &amp; Assets: create a scope if you don't have one, describe what's in it, register key assets, then click Approve Scope.</w:t>
      </w:r>
    </w:p>
    <w:p>
      <w:pPr>
        <w:pStyle w:val="ListNumber"/>
        <w:spacing w:after="40"/>
        <w:ind w:left="432"/>
      </w:pPr>
      <w:r>
        <w:rPr>
          <w:rFonts w:ascii="Segoe UI" w:hAnsi="Segoe UI"/>
          <w:b w:val="0"/>
          <w:i w:val="0"/>
          <w:sz w:val="20"/>
        </w:rPr>
        <w:t>Evidence &amp; Connectors: add a connector (e.g., Identity Provider). Choose Simulated for an instant demo, or Live (Microsoft Graph) if your Azure AD administrator has set up an app registration for you (see the Operations Runbook, Section 5) — then click Test Connection, then Sync Now, and watch Control Results update.</w:t>
      </w:r>
    </w:p>
    <w:p>
      <w:pPr>
        <w:pStyle w:val="ListNumber"/>
        <w:spacing w:after="40"/>
        <w:ind w:left="432"/>
      </w:pPr>
      <w:r>
        <w:rPr>
          <w:rFonts w:ascii="Segoe UI" w:hAnsi="Segoe UI"/>
          <w:b w:val="0"/>
          <w:i w:val="0"/>
          <w:sz w:val="20"/>
        </w:rPr>
        <w:t>Control Results: review status, ECL, and coverage per control, grouped by domain.</w:t>
      </w:r>
    </w:p>
    <w:p>
      <w:pPr>
        <w:pStyle w:val="ListNumber"/>
        <w:spacing w:after="40"/>
        <w:ind w:left="432"/>
      </w:pPr>
      <w:r>
        <w:rPr>
          <w:rFonts w:ascii="Segoe UI" w:hAnsi="Segoe UI"/>
          <w:b w:val="0"/>
          <w:i w:val="0"/>
          <w:sz w:val="20"/>
        </w:rPr>
        <w:t>Remediation: for anything not verified, work the finding, then click Mark Remediated — this queues it for independent confirmation by Assurance Operations, it does not close automatically.</w:t>
      </w:r>
    </w:p>
    <w:p>
      <w:pPr>
        <w:pStyle w:val="ListNumber"/>
        <w:spacing w:after="40"/>
        <w:ind w:left="432"/>
      </w:pPr>
      <w:r>
        <w:rPr>
          <w:rFonts w:ascii="Segoe UI" w:hAnsi="Segoe UI"/>
          <w:b w:val="0"/>
          <w:i w:val="0"/>
          <w:sz w:val="20"/>
        </w:rPr>
        <w:t>Cyber Risk Passport: once you're satisfied with coverage, click Issue New Passport. Check that the signature shows “verified.”</w:t>
      </w:r>
    </w:p>
    <w:p>
      <w:pPr>
        <w:pStyle w:val="ListNumber"/>
        <w:spacing w:after="40"/>
        <w:ind w:left="432"/>
      </w:pPr>
      <w:r>
        <w:rPr>
          <w:rFonts w:ascii="Segoe UI" w:hAnsi="Segoe UI"/>
          <w:b w:val="0"/>
          <w:i w:val="0"/>
          <w:sz w:val="20"/>
        </w:rPr>
        <w:t>Sharing &amp; Consent: grant a broker or carrier access to your passport for a defined purpose and time window. Revoke at any time.</w:t>
      </w:r>
    </w:p>
    <w:p>
      <w:pPr>
        <w:pStyle w:val="ListNumber"/>
        <w:spacing w:after="40"/>
        <w:ind w:left="432"/>
      </w:pPr>
      <w:r>
        <w:rPr>
          <w:rFonts w:ascii="Segoe UI" w:hAnsi="Segoe UI"/>
          <w:b w:val="0"/>
          <w:i w:val="0"/>
          <w:sz w:val="20"/>
        </w:rPr>
        <w:t>Audit Trail: see every access to your evidence and passports, by whom, and when.</w:t>
      </w:r>
    </w:p>
    <w:p>
      <w:r>
        <w:br w:type="page"/>
      </w:r>
    </w:p>
    <w:p>
      <w:pPr>
        <w:pStyle w:val="Heading1"/>
      </w:pPr>
      <w:r>
        <w:t>3. Quick Start: Assurance Operations (Assessor / Decision Officer / Admin)</w:t>
      </w:r>
    </w:p>
    <w:p>
      <w:pPr>
        <w:spacing w:before="0" w:after="120"/>
      </w:pPr>
      <w:r>
        <w:rPr>
          <w:rFonts w:ascii="Segoe UI" w:hAnsi="Segoe UI"/>
          <w:b w:val="0"/>
          <w:i w:val="0"/>
          <w:sz w:val="20"/>
        </w:rPr>
        <w:t>Accounts: assessor@laurelshield.internal, decisions@laurelshield.internal, admin@laurelshield.internal.</w:t>
      </w:r>
    </w:p>
    <w:p>
      <w:pPr>
        <w:pStyle w:val="ListNumber"/>
        <w:spacing w:after="40"/>
        <w:ind w:left="432"/>
      </w:pPr>
      <w:r>
        <w:rPr>
          <w:rFonts w:ascii="Segoe UI" w:hAnsi="Segoe UI"/>
          <w:b w:val="0"/>
          <w:i w:val="0"/>
          <w:sz w:val="20"/>
        </w:rPr>
        <w:t>Dashboard: see queue depths at a glance — pending verifications, re-verification queue, open appeals.</w:t>
      </w:r>
    </w:p>
    <w:p>
      <w:pPr>
        <w:pStyle w:val="ListNumber"/>
        <w:spacing w:after="40"/>
        <w:ind w:left="432"/>
      </w:pPr>
      <w:r>
        <w:rPr>
          <w:rFonts w:ascii="Segoe UI" w:hAnsi="Segoe UI"/>
          <w:b w:val="0"/>
          <w:i w:val="0"/>
          <w:sz w:val="20"/>
        </w:rPr>
        <w:t>As Assessor: open Verification Queue, click Assess on a pending item, set an ECL (0-5) and notes. You will not see an Approve/Reject button — that requires a Decision Officer.</w:t>
      </w:r>
    </w:p>
    <w:p>
      <w:pPr>
        <w:pStyle w:val="ListNumber"/>
        <w:spacing w:after="40"/>
        <w:ind w:left="432"/>
      </w:pPr>
      <w:r>
        <w:rPr>
          <w:rFonts w:ascii="Segoe UI" w:hAnsi="Segoe UI"/>
          <w:b w:val="0"/>
          <w:i w:val="0"/>
          <w:sz w:val="20"/>
        </w:rPr>
        <w:t>As Decision Officer: open Verification Queue, click Approve or Reject on an assessed item. This is the action that actually creates the signed assurance claim.</w:t>
      </w:r>
    </w:p>
    <w:p>
      <w:pPr>
        <w:pStyle w:val="ListNumber"/>
        <w:spacing w:after="40"/>
        <w:ind w:left="432"/>
      </w:pPr>
      <w:r>
        <w:rPr>
          <w:rFonts w:ascii="Segoe UI" w:hAnsi="Segoe UI"/>
          <w:b w:val="0"/>
          <w:i w:val="0"/>
          <w:sz w:val="20"/>
        </w:rPr>
        <w:t>Re-verification Queue: confirm remediation closures reported by customers. This is independent confirmation, not a rubber stamp — check the underlying control result first.</w:t>
      </w:r>
    </w:p>
    <w:p>
      <w:pPr>
        <w:pStyle w:val="ListNumber"/>
        <w:spacing w:after="40"/>
        <w:ind w:left="432"/>
      </w:pPr>
      <w:r>
        <w:rPr>
          <w:rFonts w:ascii="Segoe UI" w:hAnsi="Segoe UI"/>
          <w:b w:val="0"/>
          <w:i w:val="0"/>
          <w:sz w:val="20"/>
        </w:rPr>
        <w:t>As Admin only: Partners &amp; Requirements Graph (confidential — see Section 6 of this guide before touching it), Controls Catalogue (reference), Continuous Assurance Tools (demo/testing), Full Audit Log.</w:t>
      </w:r>
    </w:p>
    <w:p>
      <w:r>
        <w:br w:type="page"/>
      </w:r>
    </w:p>
    <w:p>
      <w:pPr>
        <w:pStyle w:val="Heading1"/>
      </w:pPr>
      <w:r>
        <w:t>4. Quick Start: Broker</w:t>
      </w:r>
    </w:p>
    <w:p>
      <w:pPr>
        <w:spacing w:before="0" w:after="120"/>
      </w:pPr>
      <w:r>
        <w:rPr>
          <w:rFonts w:ascii="Segoe UI" w:hAnsi="Segoe UI"/>
          <w:b w:val="0"/>
          <w:i w:val="0"/>
          <w:sz w:val="20"/>
        </w:rPr>
        <w:t>Account: broker@granitepeak.example.</w:t>
      </w:r>
    </w:p>
    <w:p>
      <w:pPr>
        <w:pStyle w:val="ListNumber"/>
        <w:spacing w:after="40"/>
        <w:ind w:left="432"/>
      </w:pPr>
      <w:r>
        <w:rPr>
          <w:rFonts w:ascii="Segoe UI" w:hAnsi="Segoe UI"/>
          <w:b w:val="0"/>
          <w:i w:val="0"/>
          <w:sz w:val="20"/>
        </w:rPr>
        <w:t>Portfolio: shows every passport a client has explicitly shared with you, its status, and any referral triggers (e.g., Unverified MFA, Backup Concern, EDR Gap, External Exposure, Renewal Readiness).</w:t>
      </w:r>
    </w:p>
    <w:p>
      <w:pPr>
        <w:pStyle w:val="ListNumber"/>
        <w:spacing w:after="40"/>
        <w:ind w:left="432"/>
      </w:pPr>
      <w:r>
        <w:rPr>
          <w:rFonts w:ascii="Segoe UI" w:hAnsi="Segoe UI"/>
          <w:b w:val="0"/>
          <w:i w:val="0"/>
          <w:sz w:val="20"/>
        </w:rPr>
        <w:t>Click View Evidence Detail on any passport to see the full per-control status, ECL, and coverage — this is what you'd bring to a placement conversation.</w:t>
      </w:r>
    </w:p>
    <w:p>
      <w:pPr>
        <w:spacing w:before="0" w:after="120"/>
      </w:pPr>
      <w:r>
        <w:rPr>
          <w:rFonts w:ascii="Segoe UI" w:hAnsi="Segoe UI"/>
          <w:b w:val="0"/>
          <w:i w:val="0"/>
          <w:sz w:val="20"/>
        </w:rPr>
        <w:t>If a client isn't showing up, they haven't granted you access yet, or the grant has expired — ask them to check Sharing &amp; Consent in their portal.</w:t>
      </w:r>
    </w:p>
    <w:p>
      <w:r>
        <w:br w:type="page"/>
      </w:r>
    </w:p>
    <w:p>
      <w:pPr>
        <w:pStyle w:val="Heading1"/>
      </w:pPr>
      <w:r>
        <w:t>5. Quick Start: Carrier</w:t>
      </w:r>
    </w:p>
    <w:p>
      <w:pPr>
        <w:spacing w:before="0" w:after="120"/>
      </w:pPr>
      <w:r>
        <w:rPr>
          <w:rFonts w:ascii="Segoe UI" w:hAnsi="Segoe UI"/>
          <w:b w:val="0"/>
          <w:i w:val="0"/>
          <w:sz w:val="20"/>
        </w:rPr>
        <w:t>Accounts: underwriter@northstar.example, underwriter@continental.example (two independent carriers with different confidential requirement mappings — log into both to see how the same underlying evidence translates differently).</w:t>
      </w:r>
    </w:p>
    <w:p>
      <w:pPr>
        <w:pStyle w:val="ListNumber"/>
        <w:spacing w:after="40"/>
        <w:ind w:left="432"/>
      </w:pPr>
      <w:r>
        <w:rPr>
          <w:rFonts w:ascii="Segoe UI" w:hAnsi="Segoe UI"/>
          <w:b w:val="0"/>
          <w:i w:val="0"/>
          <w:sz w:val="20"/>
        </w:rPr>
        <w:t>Portfolio: shows every passport shared with your organization, an overall readiness status (Ready / Conditional / Evidence Expiring / Material Gap), and a 0-100 readiness score.</w:t>
      </w:r>
    </w:p>
    <w:p>
      <w:pPr>
        <w:pStyle w:val="ListNumber"/>
        <w:spacing w:after="40"/>
        <w:ind w:left="432"/>
      </w:pPr>
      <w:r>
        <w:rPr>
          <w:rFonts w:ascii="Segoe UI" w:hAnsi="Segoe UI"/>
          <w:b w:val="0"/>
          <w:i w:val="0"/>
          <w:sz w:val="20"/>
        </w:rPr>
        <w:t>Click View Translated Evidence to see each of your organization's own requirements, the canonical control behind it, the result, and a plain-language evidence note.</w:t>
      </w:r>
    </w:p>
    <w:tbl>
      <w:tblPr>
        <w:tblW w:type="auto" w:w="0"/>
        <w:jc w:val="center"/>
        <w:tblLook w:firstColumn="1" w:firstRow="1" w:lastColumn="0" w:lastRow="0" w:noHBand="0" w:noVBand="1" w:val="04A0"/>
      </w:tblPr>
      <w:tblGrid>
        <w:gridCol w:w="9648"/>
      </w:tblGrid>
      <w:tr>
        <w:tc>
          <w:tcPr>
            <w:tcW w:type="dxa" w:w="9648"/>
            <w:shd w:val="clear" w:color="auto" w:fill="FFF6E0"/>
            <w:tcMar>
              <w:top w:w="100" w:type="dxa"/>
              <w:bottom w:w="100" w:type="dxa"/>
              <w:start w:w="160" w:type="dxa"/>
              <w:end w:w="160" w:type="dxa"/>
            </w:tcMar>
            <w:tcBorders>
              <w:left w:val="single" w:sz="26" w:space="0" w:color="C48A00"/>
              <w:top w:val="single" w:sz="4" w:space="0" w:color="D8DEE4"/>
              <w:bottom w:val="single" w:sz="4" w:space="0" w:color="D8DEE4"/>
              <w:right w:val="single" w:sz="4" w:space="0" w:color="D8DEE4"/>
            </w:tcBorders>
          </w:tcPr>
          <w:p>
            <w:pPr>
              <w:spacing w:before="0" w:after="60"/>
            </w:pPr>
            <w:r/>
            <w:r>
              <w:rPr>
                <w:rFonts w:ascii="Segoe UI" w:hAnsi="Segoe UI"/>
                <w:b/>
                <w:i w:val="0"/>
                <w:color w:val="6B4E00"/>
                <w:sz w:val="21"/>
              </w:rPr>
              <w:t>WHAT YOU WILL NOT SEE, AND WHY</w:t>
            </w:r>
          </w:p>
          <w:p>
            <w:pPr>
              <w:spacing w:before="0" w:after="40"/>
            </w:pPr>
            <w:r>
              <w:rPr>
                <w:rFonts w:ascii="Segoe UI" w:hAnsi="Segoe UI"/>
                <w:b w:val="0"/>
                <w:i w:val="0"/>
                <w:sz w:val="20"/>
              </w:rPr>
              <w:t>You will never see another carrier's requirement wording, thresholds, or weighting — only your own organization's translated view of the same underlying verified evidence.</w:t>
            </w:r>
          </w:p>
        </w:tc>
      </w:tr>
    </w:tbl>
    <w:p>
      <w:pPr>
        <w:spacing w:before="0" w:after="80"/>
      </w:pPr>
    </w:p>
    <w:p>
      <w:r>
        <w:br w:type="page"/>
      </w:r>
    </w:p>
    <w:p>
      <w:pPr>
        <w:pStyle w:val="Heading1"/>
      </w:pPr>
      <w:r>
        <w:t>6. Handling the Confidential Requirements Graph (Admin)</w:t>
      </w:r>
    </w:p>
    <w:tbl>
      <w:tblPr>
        <w:tblW w:type="auto" w:w="0"/>
        <w:jc w:val="center"/>
        <w:tblLook w:firstColumn="1" w:firstRow="1" w:lastColumn="0" w:lastRow="0" w:noHBand="0" w:noVBand="1" w:val="04A0"/>
      </w:tblPr>
      <w:tblGrid>
        <w:gridCol w:w="9648"/>
      </w:tblGrid>
      <w:tr>
        <w:tc>
          <w:tcPr>
            <w:tcW w:type="dxa" w:w="9648"/>
            <w:shd w:val="clear" w:color="auto" w:fill="FBE9E7"/>
            <w:tcMar>
              <w:top w:w="100" w:type="dxa"/>
              <w:bottom w:w="100" w:type="dxa"/>
              <w:start w:w="160" w:type="dxa"/>
              <w:end w:w="160" w:type="dxa"/>
            </w:tcMar>
            <w:tcBorders>
              <w:left w:val="single" w:sz="26" w:space="0" w:color="9B1C1C"/>
              <w:top w:val="single" w:sz="4" w:space="0" w:color="D8DEE4"/>
              <w:bottom w:val="single" w:sz="4" w:space="0" w:color="D8DEE4"/>
              <w:right w:val="single" w:sz="4" w:space="0" w:color="D8DEE4"/>
            </w:tcBorders>
          </w:tcPr>
          <w:p>
            <w:pPr>
              <w:spacing w:before="0" w:after="60"/>
            </w:pPr>
            <w:r/>
            <w:r>
              <w:rPr>
                <w:rFonts w:ascii="Segoe UI" w:hAnsi="Segoe UI"/>
                <w:b/>
                <w:i w:val="0"/>
                <w:color w:val="7A1616"/>
                <w:sz w:val="21"/>
              </w:rPr>
              <w:t>HANDLE WITH CARE</w:t>
            </w:r>
          </w:p>
          <w:p>
            <w:pPr>
              <w:spacing w:before="0" w:after="40"/>
            </w:pPr>
            <w:r>
              <w:rPr>
                <w:rFonts w:ascii="Segoe UI" w:hAnsi="Segoe UI"/>
                <w:b w:val="0"/>
                <w:i w:val="0"/>
                <w:sz w:val="20"/>
              </w:rPr>
              <w:t>Partners &amp; Requirements Graph contains competitively sensitive material: minimum ECL thresholds, evidence freshness windows, and — most sensitive of all — the weight assigned to each requirement in a carrier's overall readiness score. Never paste a row from this screen into an email, support ticket, customer-facing document, or a conversation with a different carrier or broker. If a customer or broker asks “why did this show as Conditional,” answer using the plain-language evidence_note field only — never the underlying threshold.</w:t>
            </w:r>
          </w:p>
        </w:tc>
      </w:tr>
    </w:tbl>
    <w:p>
      <w:pPr>
        <w:spacing w:before="0" w:after="80"/>
      </w:pPr>
    </w:p>
    <w:p>
      <w:r>
        <w:br w:type="page"/>
      </w:r>
    </w:p>
    <w:p>
      <w:pPr>
        <w:pStyle w:val="Heading1"/>
      </w:pPr>
      <w:r>
        <w:t>7. Glossary</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0B2E4F"/>
            <w:tcMar>
              <w:top w:w="80" w:type="dxa"/>
              <w:bottom w:w="80" w:type="dxa"/>
              <w:start w:w="120" w:type="dxa"/>
              <w:end w:w="120" w:type="dxa"/>
            </w:tcMar>
          </w:tcPr>
          <w:p>
            <w:pPr>
              <w:spacing w:before="0" w:after="0"/>
            </w:pPr>
            <w:r/>
            <w:r>
              <w:rPr>
                <w:rFonts w:ascii="Segoe UI" w:hAnsi="Segoe UI"/>
                <w:b/>
                <w:i w:val="0"/>
                <w:color w:val="FFFFFF"/>
                <w:sz w:val="18"/>
              </w:rPr>
              <w:t>Term</w:t>
            </w:r>
          </w:p>
        </w:tc>
        <w:tc>
          <w:tcPr>
            <w:tcW w:type="dxa" w:w="7632"/>
            <w:shd w:val="clear" w:color="auto" w:fill="0B2E4F"/>
            <w:tcMar>
              <w:top w:w="80" w:type="dxa"/>
              <w:bottom w:w="80" w:type="dxa"/>
              <w:start w:w="120" w:type="dxa"/>
              <w:end w:w="120" w:type="dxa"/>
            </w:tcMar>
          </w:tcPr>
          <w:p>
            <w:pPr>
              <w:spacing w:before="0" w:after="0"/>
            </w:pPr>
            <w:r/>
            <w:r>
              <w:rPr>
                <w:rFonts w:ascii="Segoe UI" w:hAnsi="Segoe UI"/>
                <w:b/>
                <w:i w:val="0"/>
                <w:color w:val="FFFFFF"/>
                <w:sz w:val="18"/>
              </w:rPr>
              <w:t>Meaning</w:t>
            </w:r>
          </w:p>
        </w:tc>
      </w:tr>
      <w:tr>
        <w:tc>
          <w:tcPr>
            <w:tcW w:type="dxa" w:w="2592"/>
            <w:tcMar>
              <w:top w:w="80" w:type="dxa"/>
              <w:bottom w:w="80" w:type="dxa"/>
              <w:start w:w="120" w:type="dxa"/>
              <w:end w:w="120" w:type="dxa"/>
            </w:tcMar>
          </w:tcPr>
          <w:p>
            <w:pPr>
              <w:spacing w:before="0" w:after="0"/>
            </w:pPr>
            <w:r>
              <w:rPr>
                <w:sz w:val="18"/>
              </w:rPr>
            </w:r>
            <w:r>
              <w:rPr>
                <w:rFonts w:ascii="Segoe UI" w:hAnsi="Segoe UI"/>
                <w:b w:val="0"/>
                <w:i w:val="0"/>
                <w:sz w:val="18"/>
              </w:rPr>
              <w:t>Scope / Assurance Boundary</w:t>
            </w:r>
          </w:p>
        </w:tc>
        <w:tc>
          <w:tcPr>
            <w:tcW w:type="dxa" w:w="7632"/>
            <w:tcMar>
              <w:top w:w="80" w:type="dxa"/>
              <w:bottom w:w="80" w:type="dxa"/>
              <w:start w:w="120" w:type="dxa"/>
              <w:end w:w="120" w:type="dxa"/>
            </w:tcMar>
          </w:tcPr>
          <w:p>
            <w:pPr>
              <w:spacing w:before="0" w:after="0"/>
            </w:pPr>
            <w:r>
              <w:rPr>
                <w:sz w:val="18"/>
              </w:rPr>
            </w:r>
            <w:r>
              <w:rPr>
                <w:rFonts w:ascii="Segoe UI" w:hAnsi="Segoe UI"/>
                <w:b w:val="0"/>
                <w:i w:val="0"/>
                <w:sz w:val="18"/>
              </w:rPr>
              <w:t>The specific legal entity, network, and application footprint a passport's claims apply to. Identified by a persistent Scope ID (e.g., LS-SCOPE-000184).</w:t>
            </w:r>
          </w:p>
        </w:tc>
      </w:tr>
      <w:tr>
        <w:tc>
          <w:tcPr>
            <w:tcW w:type="dxa" w:w="2592"/>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Canonical Control</w:t>
            </w:r>
          </w:p>
        </w:tc>
        <w:tc>
          <w:tcPr>
            <w:tcW w:type="dxa" w:w="7632"/>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A vendor-neutral statement of a security outcome (e.g., LS-ID-101, Privileged Authentication MFA) that many different insurer questionnaires can map to.</w:t>
            </w:r>
          </w:p>
        </w:tc>
      </w:tr>
      <w:tr>
        <w:tc>
          <w:tcPr>
            <w:tcW w:type="dxa" w:w="2592"/>
            <w:tcMar>
              <w:top w:w="80" w:type="dxa"/>
              <w:bottom w:w="80" w:type="dxa"/>
              <w:start w:w="120" w:type="dxa"/>
              <w:end w:w="120" w:type="dxa"/>
            </w:tcMar>
          </w:tcPr>
          <w:p>
            <w:pPr>
              <w:spacing w:before="0" w:after="0"/>
            </w:pPr>
            <w:r>
              <w:rPr>
                <w:sz w:val="18"/>
              </w:rPr>
            </w:r>
            <w:r>
              <w:rPr>
                <w:rFonts w:ascii="Segoe UI" w:hAnsi="Segoe UI"/>
                <w:b w:val="0"/>
                <w:i w:val="0"/>
                <w:sz w:val="18"/>
              </w:rPr>
              <w:t>Evidence Confidence Level (ECL)</w:t>
            </w:r>
          </w:p>
        </w:tc>
        <w:tc>
          <w:tcPr>
            <w:tcW w:type="dxa" w:w="7632"/>
            <w:tcMar>
              <w:top w:w="80" w:type="dxa"/>
              <w:bottom w:w="80" w:type="dxa"/>
              <w:start w:w="120" w:type="dxa"/>
              <w:end w:w="120" w:type="dxa"/>
            </w:tcMar>
          </w:tcPr>
          <w:p>
            <w:pPr>
              <w:spacing w:before="0" w:after="0"/>
            </w:pPr>
            <w:r>
              <w:rPr>
                <w:sz w:val="18"/>
              </w:rPr>
            </w:r>
            <w:r>
              <w:rPr>
                <w:rFonts w:ascii="Segoe UI" w:hAnsi="Segoe UI"/>
                <w:b w:val="0"/>
                <w:i w:val="0"/>
                <w:sz w:val="18"/>
              </w:rPr>
              <w:t>A 0-5 scale describing how strong the evidence behind a claim is: 0 self-attested, 1 documented, 2 observed, 3 technically verified, 4 operationally tested, 5 continuously verified.</w:t>
            </w:r>
          </w:p>
        </w:tc>
      </w:tr>
      <w:tr>
        <w:tc>
          <w:tcPr>
            <w:tcW w:type="dxa" w:w="2592"/>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Assurance Claim</w:t>
            </w:r>
          </w:p>
        </w:tc>
        <w:tc>
          <w:tcPr>
            <w:tcW w:type="dxa" w:w="7632"/>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The signed, current record of a control's status, ECL, and coverage for a specific scope. This is what a passport and every partner translation ultimately read from.</w:t>
            </w:r>
          </w:p>
        </w:tc>
      </w:tr>
      <w:tr>
        <w:tc>
          <w:tcPr>
            <w:tcW w:type="dxa" w:w="2592"/>
            <w:tcMar>
              <w:top w:w="80" w:type="dxa"/>
              <w:bottom w:w="80" w:type="dxa"/>
              <w:start w:w="120" w:type="dxa"/>
              <w:end w:w="120" w:type="dxa"/>
            </w:tcMar>
          </w:tcPr>
          <w:p>
            <w:pPr>
              <w:spacing w:before="0" w:after="0"/>
            </w:pPr>
            <w:r>
              <w:rPr>
                <w:sz w:val="18"/>
              </w:rPr>
            </w:r>
            <w:r>
              <w:rPr>
                <w:rFonts w:ascii="Segoe UI" w:hAnsi="Segoe UI"/>
                <w:b w:val="0"/>
                <w:i w:val="0"/>
                <w:sz w:val="18"/>
              </w:rPr>
              <w:t>Cyber Risk Passport</w:t>
            </w:r>
          </w:p>
        </w:tc>
        <w:tc>
          <w:tcPr>
            <w:tcW w:type="dxa" w:w="7632"/>
            <w:tcMar>
              <w:top w:w="80" w:type="dxa"/>
              <w:bottom w:w="80" w:type="dxa"/>
              <w:start w:w="120" w:type="dxa"/>
              <w:end w:w="120" w:type="dxa"/>
            </w:tcMar>
          </w:tcPr>
          <w:p>
            <w:pPr>
              <w:spacing w:before="0" w:after="0"/>
            </w:pPr>
            <w:r>
              <w:rPr>
                <w:sz w:val="18"/>
              </w:rPr>
            </w:r>
            <w:r>
              <w:rPr>
                <w:rFonts w:ascii="Segoe UI" w:hAnsi="Segoe UI"/>
                <w:b w:val="0"/>
                <w:i w:val="0"/>
                <w:sz w:val="18"/>
              </w:rPr>
              <w:t>A signed, portable credential summarizing an organization's verified claims for a scope, with a status, freshness, and revocation state.</w:t>
            </w:r>
          </w:p>
        </w:tc>
      </w:tr>
      <w:tr>
        <w:tc>
          <w:tcPr>
            <w:tcW w:type="dxa" w:w="2592"/>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Selective Disclosure</w:t>
            </w:r>
          </w:p>
        </w:tc>
        <w:tc>
          <w:tcPr>
            <w:tcW w:type="dxa" w:w="7632"/>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The principle that a recipient only ever sees the minimum claim necessary (status, ECL, date) — never the underlying raw evidence.</w:t>
            </w:r>
          </w:p>
        </w:tc>
      </w:tr>
      <w:tr>
        <w:tc>
          <w:tcPr>
            <w:tcW w:type="dxa" w:w="2592"/>
            <w:tcMar>
              <w:top w:w="80" w:type="dxa"/>
              <w:bottom w:w="80" w:type="dxa"/>
              <w:start w:w="120" w:type="dxa"/>
              <w:end w:w="120" w:type="dxa"/>
            </w:tcMar>
          </w:tcPr>
          <w:p>
            <w:pPr>
              <w:spacing w:before="0" w:after="0"/>
            </w:pPr>
            <w:r>
              <w:rPr>
                <w:sz w:val="18"/>
              </w:rPr>
            </w:r>
            <w:r>
              <w:rPr>
                <w:rFonts w:ascii="Segoe UI" w:hAnsi="Segoe UI"/>
                <w:b w:val="0"/>
                <w:i w:val="0"/>
                <w:sz w:val="18"/>
              </w:rPr>
              <w:t>Sharing Grant</w:t>
            </w:r>
          </w:p>
        </w:tc>
        <w:tc>
          <w:tcPr>
            <w:tcW w:type="dxa" w:w="7632"/>
            <w:tcMar>
              <w:top w:w="80" w:type="dxa"/>
              <w:bottom w:w="80" w:type="dxa"/>
              <w:start w:w="120" w:type="dxa"/>
              <w:end w:w="120" w:type="dxa"/>
            </w:tcMar>
          </w:tcPr>
          <w:p>
            <w:pPr>
              <w:spacing w:before="0" w:after="0"/>
            </w:pPr>
            <w:r>
              <w:rPr>
                <w:sz w:val="18"/>
              </w:rPr>
            </w:r>
            <w:r>
              <w:rPr>
                <w:rFonts w:ascii="Segoe UI" w:hAnsi="Segoe UI"/>
                <w:b w:val="0"/>
                <w:i w:val="0"/>
                <w:sz w:val="18"/>
              </w:rPr>
              <w:t>A time-limited, revocable authorization letting one named broker or carrier partner view one specific passport for a stated purpose.</w:t>
            </w:r>
          </w:p>
        </w:tc>
      </w:tr>
      <w:tr>
        <w:tc>
          <w:tcPr>
            <w:tcW w:type="dxa" w:w="2592"/>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Carrier Requirements Graph</w:t>
            </w:r>
          </w:p>
        </w:tc>
        <w:tc>
          <w:tcPr>
            <w:tcW w:type="dxa" w:w="7632"/>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The confidential mapping between canonical controls and a specific carrier or broker's own requirements, thresholds, and weighting.</w:t>
            </w:r>
          </w:p>
        </w:tc>
      </w:tr>
      <w:tr>
        <w:tc>
          <w:tcPr>
            <w:tcW w:type="dxa" w:w="2592"/>
            <w:tcMar>
              <w:top w:w="80" w:type="dxa"/>
              <w:bottom w:w="80" w:type="dxa"/>
              <w:start w:w="120" w:type="dxa"/>
              <w:end w:w="120" w:type="dxa"/>
            </w:tcMar>
          </w:tcPr>
          <w:p>
            <w:pPr>
              <w:spacing w:before="0" w:after="0"/>
            </w:pPr>
            <w:r>
              <w:rPr>
                <w:sz w:val="18"/>
              </w:rPr>
            </w:r>
            <w:r>
              <w:rPr>
                <w:rFonts w:ascii="Segoe UI" w:hAnsi="Segoe UI"/>
                <w:b w:val="0"/>
                <w:i w:val="0"/>
                <w:sz w:val="18"/>
              </w:rPr>
              <w:t>Freshness / Continuous Assurance</w:t>
            </w:r>
          </w:p>
        </w:tc>
        <w:tc>
          <w:tcPr>
            <w:tcW w:type="dxa" w:w="7632"/>
            <w:tcMar>
              <w:top w:w="80" w:type="dxa"/>
              <w:bottom w:w="80" w:type="dxa"/>
              <w:start w:w="120" w:type="dxa"/>
              <w:end w:w="120" w:type="dxa"/>
            </w:tcMar>
          </w:tcPr>
          <w:p>
            <w:pPr>
              <w:spacing w:before="0" w:after="0"/>
            </w:pPr>
            <w:r>
              <w:rPr>
                <w:sz w:val="18"/>
              </w:rPr>
            </w:r>
            <w:r>
              <w:rPr>
                <w:rFonts w:ascii="Segoe UI" w:hAnsi="Segoe UI"/>
                <w:b w:val="0"/>
                <w:i w:val="0"/>
                <w:sz w:val="18"/>
              </w:rPr>
              <w:t>The mechanism that automatically downgrades or expires a claim once its evidence ages past a control-specific threshold.</w:t>
            </w:r>
          </w:p>
        </w:tc>
      </w:tr>
      <w:tr>
        <w:tc>
          <w:tcPr>
            <w:tcW w:type="dxa" w:w="2592"/>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Independent Re-verification</w:t>
            </w:r>
          </w:p>
        </w:tc>
        <w:tc>
          <w:tcPr>
            <w:tcW w:type="dxa" w:w="7632"/>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Confirmation of a remediation's closure by an Assurance Operations role different from whoever implemented the fix.</w:t>
            </w:r>
          </w:p>
        </w:tc>
      </w:tr>
      <w:tr>
        <w:tc>
          <w:tcPr>
            <w:tcW w:type="dxa" w:w="2592"/>
            <w:tcMar>
              <w:top w:w="80" w:type="dxa"/>
              <w:bottom w:w="80" w:type="dxa"/>
              <w:start w:w="120" w:type="dxa"/>
              <w:end w:w="120" w:type="dxa"/>
            </w:tcMar>
          </w:tcPr>
          <w:p>
            <w:pPr>
              <w:spacing w:before="0" w:after="0"/>
            </w:pPr>
            <w:r>
              <w:rPr>
                <w:sz w:val="18"/>
              </w:rPr>
            </w:r>
            <w:r>
              <w:rPr>
                <w:rFonts w:ascii="Segoe UI" w:hAnsi="Segoe UI"/>
                <w:b w:val="0"/>
                <w:i w:val="0"/>
                <w:sz w:val="18"/>
              </w:rPr>
              <w:t>Material Gap</w:t>
            </w:r>
          </w:p>
        </w:tc>
        <w:tc>
          <w:tcPr>
            <w:tcW w:type="dxa" w:w="7632"/>
            <w:tcMar>
              <w:top w:w="80" w:type="dxa"/>
              <w:bottom w:w="80" w:type="dxa"/>
              <w:start w:w="120" w:type="dxa"/>
              <w:end w:w="120" w:type="dxa"/>
            </w:tcMar>
          </w:tcPr>
          <w:p>
            <w:pPr>
              <w:spacing w:before="0" w:after="0"/>
            </w:pPr>
            <w:r>
              <w:rPr>
                <w:sz w:val="18"/>
              </w:rPr>
            </w:r>
            <w:r>
              <w:rPr>
                <w:rFonts w:ascii="Segoe UI" w:hAnsi="Segoe UI"/>
                <w:b w:val="0"/>
                <w:i w:val="0"/>
                <w:sz w:val="18"/>
              </w:rPr>
              <w:t>A control result serious enough (low coverage on a high/critical-severity control) to block a clean “verified” passport status.</w:t>
            </w:r>
          </w:p>
        </w:tc>
      </w:tr>
    </w:tbl>
    <w:p>
      <w:pPr>
        <w:spacing w:before="0" w:after="80"/>
      </w:pPr>
    </w:p>
    <w:p>
      <w:r>
        <w:br w:type="page"/>
      </w:r>
    </w:p>
    <w:p>
      <w:pPr>
        <w:pStyle w:val="Heading1"/>
      </w:pPr>
      <w:r>
        <w:t>8. Frequently Asked Questions</w:t>
      </w:r>
    </w:p>
    <w:p>
      <w:pPr>
        <w:pStyle w:val="Heading3"/>
      </w:pPr>
      <w:r>
        <w:t>Does a Laurelshield passport guarantee my client gets cyber insurance?</w:t>
      </w:r>
    </w:p>
    <w:p>
      <w:pPr>
        <w:spacing w:before="0" w:after="120"/>
      </w:pPr>
      <w:r>
        <w:rPr>
          <w:rFonts w:ascii="Segoe UI" w:hAnsi="Segoe UI"/>
          <w:b w:val="0"/>
          <w:i w:val="0"/>
          <w:sz w:val="20"/>
        </w:rPr>
        <w:t>No. Laurelshield verifies cybersecurity controls and evidence; brokers and underwriters retain full insurance placement and underwriting authority. Never represent otherwise in a customer conversation (Section 3.3 of the original research document).</w:t>
      </w:r>
    </w:p>
    <w:p>
      <w:pPr>
        <w:pStyle w:val="Heading3"/>
      </w:pPr>
      <w:r>
        <w:t>Why does a control show Conditional instead of Verified or Material Gap?</w:t>
      </w:r>
    </w:p>
    <w:p>
      <w:pPr>
        <w:spacing w:before="0" w:after="120"/>
      </w:pPr>
      <w:r>
        <w:rPr>
          <w:rFonts w:ascii="Segoe UI" w:hAnsi="Segoe UI"/>
          <w:b w:val="0"/>
          <w:i w:val="0"/>
          <w:sz w:val="20"/>
        </w:rPr>
        <w:t>Conditional means there is coverage/effectiveness evidence but it falls short of full verification — typically an accepted compensating control (e.g., a small number of dormant privileged accounts) rather than a full failure. It is a normal, expected state, not a red flag by itself.</w:t>
      </w:r>
    </w:p>
    <w:p>
      <w:pPr>
        <w:pStyle w:val="Heading3"/>
      </w:pPr>
      <w:r>
        <w:t>Why did a control that was Verified yesterday show Expired today?</w:t>
      </w:r>
    </w:p>
    <w:p>
      <w:pPr>
        <w:spacing w:before="0" w:after="120"/>
      </w:pPr>
      <w:r>
        <w:rPr>
          <w:rFonts w:ascii="Segoe UI" w:hAnsi="Segoe UI"/>
          <w:b w:val="0"/>
          <w:i w:val="0"/>
          <w:sz w:val="20"/>
        </w:rPr>
        <w:t>Its evidence aged past the control's freshness window (see the Continuous Assurance Tools / freshness check). Re-sync the relevant connector or re-run the relevant test to restore verified status.</w:t>
      </w:r>
    </w:p>
    <w:p>
      <w:pPr>
        <w:pStyle w:val="Heading3"/>
      </w:pPr>
      <w:r>
        <w:t>What's the difference between a Simulated and a Live connector?</w:t>
      </w:r>
    </w:p>
    <w:p>
      <w:pPr>
        <w:spacing w:before="0" w:after="120"/>
      </w:pPr>
      <w:r>
        <w:rPr>
          <w:rFonts w:ascii="Segoe UI" w:hAnsi="Segoe UI"/>
          <w:b w:val="0"/>
          <w:i w:val="0"/>
          <w:sz w:val="20"/>
        </w:rPr>
        <w:t>Simulated generates realistic demo evidence instantly, no setup required — used throughout the seeded demo data. Live authenticates to your organization's real Microsoft Entra tenant via an Azure AD app registration your own administrator controls, and reads your actual Conditional Access policies, privileged role membership, and sign-in activity. Both produce evidence in exactly the same shape; only the source differs.</w:t>
      </w:r>
    </w:p>
    <w:p>
      <w:pPr>
        <w:pStyle w:val="Heading3"/>
      </w:pPr>
      <w:r>
        <w:t>My Live connector Test Connection failed with an AADSTS error — what do I do?</w:t>
      </w:r>
    </w:p>
    <w:p>
      <w:pPr>
        <w:spacing w:before="0" w:after="120"/>
      </w:pPr>
      <w:r>
        <w:rPr>
          <w:rFonts w:ascii="Segoe UI" w:hAnsi="Segoe UI"/>
          <w:b w:val="0"/>
          <w:i w:val="0"/>
          <w:sz w:val="20"/>
        </w:rPr>
        <w:t>Read the message — it's Microsoft's own error text, not a Laurelshield error. The most common causes are an incorrect Tenant ID or Client ID, a client secret that was never granted admin consent for the required permissions, or a secret that has expired. See Operations Runbook, Section 5.</w:t>
      </w:r>
    </w:p>
    <w:p>
      <w:pPr>
        <w:pStyle w:val="Heading3"/>
      </w:pPr>
      <w:r>
        <w:t>Can I undo a passport revocation?</w:t>
      </w:r>
    </w:p>
    <w:p>
      <w:pPr>
        <w:spacing w:before="0" w:after="120"/>
      </w:pPr>
      <w:r>
        <w:rPr>
          <w:rFonts w:ascii="Segoe UI" w:hAnsi="Segoe UI"/>
          <w:b w:val="0"/>
          <w:i w:val="0"/>
          <w:sz w:val="20"/>
        </w:rPr>
        <w:t>No — revocation is permanent by design in the MVP. Issue a new passport once ready.</w:t>
      </w:r>
    </w:p>
    <w:p>
      <w:pPr>
        <w:pStyle w:val="Heading3"/>
      </w:pPr>
      <w:r>
        <w:t>Why can't I (as Assessor) approve my own assessment?</w:t>
      </w:r>
    </w:p>
    <w:p>
      <w:pPr>
        <w:spacing w:before="0" w:after="120"/>
      </w:pPr>
      <w:r>
        <w:rPr>
          <w:rFonts w:ascii="Segoe UI" w:hAnsi="Segoe UI"/>
          <w:b w:val="0"/>
          <w:i w:val="0"/>
          <w:sz w:val="20"/>
        </w:rPr>
        <w:t>Structural separation of duties: the role that proposes an ECL is never the role that finalizes the decision. This is enforced by the platform, not just a policy — see Operations Runbook, Section 5.</w:t>
      </w:r>
    </w:p>
    <w:p>
      <w:r>
        <w:br w:type="page"/>
      </w:r>
    </w:p>
    <w:p>
      <w:pPr>
        <w:pStyle w:val="Heading1"/>
      </w:pPr>
      <w:r>
        <w:t>9. Troubleshooting</w:t>
      </w:r>
    </w:p>
    <w:tbl>
      <w:tblPr>
        <w:tblStyle w:val="TableGrid"/>
        <w:tblW w:type="auto" w:w="0"/>
        <w:jc w:val="center"/>
        <w:tblLook w:firstColumn="1" w:firstRow="1" w:lastColumn="0" w:lastRow="0" w:noHBand="0" w:noVBand="1" w:val="04A0"/>
      </w:tblPr>
      <w:tblGrid>
        <w:gridCol w:w="3216"/>
        <w:gridCol w:w="3216"/>
        <w:gridCol w:w="3216"/>
      </w:tblGrid>
      <w:tr>
        <w:tc>
          <w:tcPr>
            <w:tcW w:type="dxa" w:w="3168"/>
            <w:shd w:val="clear" w:color="auto" w:fill="0B2E4F"/>
            <w:tcMar>
              <w:top w:w="80" w:type="dxa"/>
              <w:bottom w:w="80" w:type="dxa"/>
              <w:start w:w="120" w:type="dxa"/>
              <w:end w:w="120" w:type="dxa"/>
            </w:tcMar>
          </w:tcPr>
          <w:p>
            <w:pPr>
              <w:spacing w:before="0" w:after="0"/>
            </w:pPr>
            <w:r/>
            <w:r>
              <w:rPr>
                <w:rFonts w:ascii="Segoe UI" w:hAnsi="Segoe UI"/>
                <w:b/>
                <w:i w:val="0"/>
                <w:color w:val="FFFFFF"/>
                <w:sz w:val="18"/>
              </w:rPr>
              <w:t>Symptom</w:t>
            </w:r>
          </w:p>
        </w:tc>
        <w:tc>
          <w:tcPr>
            <w:tcW w:type="dxa" w:w="3168"/>
            <w:shd w:val="clear" w:color="auto" w:fill="0B2E4F"/>
            <w:tcMar>
              <w:top w:w="80" w:type="dxa"/>
              <w:bottom w:w="80" w:type="dxa"/>
              <w:start w:w="120" w:type="dxa"/>
              <w:end w:w="120" w:type="dxa"/>
            </w:tcMar>
          </w:tcPr>
          <w:p>
            <w:pPr>
              <w:spacing w:before="0" w:after="0"/>
            </w:pPr>
            <w:r/>
            <w:r>
              <w:rPr>
                <w:rFonts w:ascii="Segoe UI" w:hAnsi="Segoe UI"/>
                <w:b/>
                <w:i w:val="0"/>
                <w:color w:val="FFFFFF"/>
                <w:sz w:val="18"/>
              </w:rPr>
              <w:t>Likely Cause</w:t>
            </w:r>
          </w:p>
        </w:tc>
        <w:tc>
          <w:tcPr>
            <w:tcW w:type="dxa" w:w="3312"/>
            <w:shd w:val="clear" w:color="auto" w:fill="0B2E4F"/>
            <w:tcMar>
              <w:top w:w="80" w:type="dxa"/>
              <w:bottom w:w="80" w:type="dxa"/>
              <w:start w:w="120" w:type="dxa"/>
              <w:end w:w="120" w:type="dxa"/>
            </w:tcMar>
          </w:tcPr>
          <w:p>
            <w:pPr>
              <w:spacing w:before="0" w:after="0"/>
            </w:pPr>
            <w:r/>
            <w:r>
              <w:rPr>
                <w:rFonts w:ascii="Segoe UI" w:hAnsi="Segoe UI"/>
                <w:b/>
                <w:i w:val="0"/>
                <w:color w:val="FFFFFF"/>
                <w:sz w:val="18"/>
              </w:rPr>
              <w:t>Fix</w:t>
            </w:r>
          </w:p>
        </w:tc>
      </w:tr>
      <w:tr>
        <w:tc>
          <w:tcPr>
            <w:tcW w:type="dxa" w:w="3168"/>
            <w:tcMar>
              <w:top w:w="80" w:type="dxa"/>
              <w:bottom w:w="80" w:type="dxa"/>
              <w:start w:w="120" w:type="dxa"/>
              <w:end w:w="120" w:type="dxa"/>
            </w:tcMar>
          </w:tcPr>
          <w:p>
            <w:pPr>
              <w:spacing w:before="0" w:after="0"/>
            </w:pPr>
            <w:r>
              <w:rPr>
                <w:sz w:val="18"/>
              </w:rPr>
            </w:r>
            <w:r>
              <w:rPr>
                <w:rFonts w:ascii="Segoe UI" w:hAnsi="Segoe UI"/>
                <w:b w:val="0"/>
                <w:i w:val="0"/>
                <w:sz w:val="18"/>
              </w:rPr>
              <w:t>“authentication_required” on every page</w:t>
            </w:r>
          </w:p>
        </w:tc>
        <w:tc>
          <w:tcPr>
            <w:tcW w:type="dxa" w:w="3168"/>
            <w:tcMar>
              <w:top w:w="80" w:type="dxa"/>
              <w:bottom w:w="80" w:type="dxa"/>
              <w:start w:w="120" w:type="dxa"/>
              <w:end w:w="120" w:type="dxa"/>
            </w:tcMar>
          </w:tcPr>
          <w:p>
            <w:pPr>
              <w:spacing w:before="0" w:after="0"/>
            </w:pPr>
            <w:r>
              <w:rPr>
                <w:sz w:val="18"/>
              </w:rPr>
            </w:r>
            <w:r>
              <w:rPr>
                <w:rFonts w:ascii="Segoe UI" w:hAnsi="Segoe UI"/>
                <w:b w:val="0"/>
                <w:i w:val="0"/>
                <w:sz w:val="18"/>
              </w:rPr>
              <w:t>Session cookie expired or server was restarted (in-memory session store)</w:t>
            </w:r>
          </w:p>
        </w:tc>
        <w:tc>
          <w:tcPr>
            <w:tcW w:type="dxa" w:w="3312"/>
            <w:tcMar>
              <w:top w:w="80" w:type="dxa"/>
              <w:bottom w:w="80" w:type="dxa"/>
              <w:start w:w="120" w:type="dxa"/>
              <w:end w:w="120" w:type="dxa"/>
            </w:tcMar>
          </w:tcPr>
          <w:p>
            <w:pPr>
              <w:spacing w:before="0" w:after="0"/>
            </w:pPr>
            <w:r>
              <w:rPr>
                <w:sz w:val="18"/>
              </w:rPr>
            </w:r>
            <w:r>
              <w:rPr>
                <w:rFonts w:ascii="Segoe UI" w:hAnsi="Segoe UI"/>
                <w:b w:val="0"/>
                <w:i w:val="0"/>
                <w:sz w:val="18"/>
              </w:rPr>
              <w:t>Log in again</w:t>
            </w:r>
          </w:p>
        </w:tc>
      </w:tr>
      <w:tr>
        <w:tc>
          <w:tcPr>
            <w:tcW w:type="dxa" w:w="3168"/>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403 “forbidden” loading another org's scope</w:t>
            </w:r>
          </w:p>
        </w:tc>
        <w:tc>
          <w:tcPr>
            <w:tcW w:type="dxa" w:w="3168"/>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Tenant isolation is working as intended — you are not authorized for that scope</w:t>
            </w:r>
          </w:p>
        </w:tc>
        <w:tc>
          <w:tcPr>
            <w:tcW w:type="dxa" w:w="3312"/>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Confirm you're using the right account; this is not a bug</w:t>
            </w:r>
          </w:p>
        </w:tc>
      </w:tr>
      <w:tr>
        <w:tc>
          <w:tcPr>
            <w:tcW w:type="dxa" w:w="3168"/>
            <w:tcMar>
              <w:top w:w="80" w:type="dxa"/>
              <w:bottom w:w="80" w:type="dxa"/>
              <w:start w:w="120" w:type="dxa"/>
              <w:end w:w="120" w:type="dxa"/>
            </w:tcMar>
          </w:tcPr>
          <w:p>
            <w:pPr>
              <w:spacing w:before="0" w:after="0"/>
            </w:pPr>
            <w:r>
              <w:rPr>
                <w:sz w:val="18"/>
              </w:rPr>
            </w:r>
            <w:r>
              <w:rPr>
                <w:rFonts w:ascii="Segoe UI" w:hAnsi="Segoe UI"/>
                <w:b w:val="0"/>
                <w:i w:val="0"/>
                <w:sz w:val="18"/>
              </w:rPr>
              <w:t>Broker/carrier can't see a client's passport</w:t>
            </w:r>
          </w:p>
        </w:tc>
        <w:tc>
          <w:tcPr>
            <w:tcW w:type="dxa" w:w="3168"/>
            <w:tcMar>
              <w:top w:w="80" w:type="dxa"/>
              <w:bottom w:w="80" w:type="dxa"/>
              <w:start w:w="120" w:type="dxa"/>
              <w:end w:w="120" w:type="dxa"/>
            </w:tcMar>
          </w:tcPr>
          <w:p>
            <w:pPr>
              <w:spacing w:before="0" w:after="0"/>
            </w:pPr>
            <w:r>
              <w:rPr>
                <w:sz w:val="18"/>
              </w:rPr>
            </w:r>
            <w:r>
              <w:rPr>
                <w:rFonts w:ascii="Segoe UI" w:hAnsi="Segoe UI"/>
                <w:b w:val="0"/>
                <w:i w:val="0"/>
                <w:sz w:val="18"/>
              </w:rPr>
              <w:t>No active sharing grant, or it expired/was revoked</w:t>
            </w:r>
          </w:p>
        </w:tc>
        <w:tc>
          <w:tcPr>
            <w:tcW w:type="dxa" w:w="3312"/>
            <w:tcMar>
              <w:top w:w="80" w:type="dxa"/>
              <w:bottom w:w="80" w:type="dxa"/>
              <w:start w:w="120" w:type="dxa"/>
              <w:end w:w="120" w:type="dxa"/>
            </w:tcMar>
          </w:tcPr>
          <w:p>
            <w:pPr>
              <w:spacing w:before="0" w:after="0"/>
            </w:pPr>
            <w:r>
              <w:rPr>
                <w:sz w:val="18"/>
              </w:rPr>
            </w:r>
            <w:r>
              <w:rPr>
                <w:rFonts w:ascii="Segoe UI" w:hAnsi="Segoe UI"/>
                <w:b w:val="0"/>
                <w:i w:val="0"/>
                <w:sz w:val="18"/>
              </w:rPr>
              <w:t>Ask the customer to check Sharing &amp; Consent</w:t>
            </w:r>
          </w:p>
        </w:tc>
      </w:tr>
      <w:tr>
        <w:tc>
          <w:tcPr>
            <w:tcW w:type="dxa" w:w="3168"/>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Manual evidence submission never appears as Verified</w:t>
            </w:r>
          </w:p>
        </w:tc>
        <w:tc>
          <w:tcPr>
            <w:tcW w:type="dxa" w:w="3168"/>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It's sitting in the Verification Queue awaiting assessor + decision officer action</w:t>
            </w:r>
          </w:p>
        </w:tc>
        <w:tc>
          <w:tcPr>
            <w:tcW w:type="dxa" w:w="3312"/>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Log in as an Assurance Operations role and process the queue</w:t>
            </w:r>
          </w:p>
        </w:tc>
      </w:tr>
      <w:tr>
        <w:tc>
          <w:tcPr>
            <w:tcW w:type="dxa" w:w="3168"/>
            <w:tcMar>
              <w:top w:w="80" w:type="dxa"/>
              <w:bottom w:w="80" w:type="dxa"/>
              <w:start w:w="120" w:type="dxa"/>
              <w:end w:w="120" w:type="dxa"/>
            </w:tcMar>
          </w:tcPr>
          <w:p>
            <w:pPr>
              <w:spacing w:before="0" w:after="0"/>
            </w:pPr>
            <w:r>
              <w:rPr>
                <w:sz w:val="18"/>
              </w:rPr>
            </w:r>
            <w:r>
              <w:rPr>
                <w:rFonts w:ascii="Segoe UI" w:hAnsi="Segoe UI"/>
                <w:b w:val="0"/>
                <w:i w:val="0"/>
                <w:sz w:val="18"/>
              </w:rPr>
              <w:t>Seed script says “already seeded — skipping”</w:t>
            </w:r>
          </w:p>
        </w:tc>
        <w:tc>
          <w:tcPr>
            <w:tcW w:type="dxa" w:w="3168"/>
            <w:tcMar>
              <w:top w:w="80" w:type="dxa"/>
              <w:bottom w:w="80" w:type="dxa"/>
              <w:start w:w="120" w:type="dxa"/>
              <w:end w:w="120" w:type="dxa"/>
            </w:tcMar>
          </w:tcPr>
          <w:p>
            <w:pPr>
              <w:spacing w:before="0" w:after="0"/>
            </w:pPr>
            <w:r>
              <w:rPr>
                <w:sz w:val="18"/>
              </w:rPr>
            </w:r>
            <w:r>
              <w:rPr>
                <w:rFonts w:ascii="Segoe UI" w:hAnsi="Segoe UI"/>
                <w:b w:val="0"/>
                <w:i w:val="0"/>
                <w:sz w:val="18"/>
              </w:rPr>
              <w:t>Database already has data</w:t>
            </w:r>
          </w:p>
        </w:tc>
        <w:tc>
          <w:tcPr>
            <w:tcW w:type="dxa" w:w="3312"/>
            <w:tcMar>
              <w:top w:w="80" w:type="dxa"/>
              <w:bottom w:w="80" w:type="dxa"/>
              <w:start w:w="120" w:type="dxa"/>
              <w:end w:w="120" w:type="dxa"/>
            </w:tcMar>
          </w:tcPr>
          <w:p>
            <w:pPr>
              <w:spacing w:before="0" w:after="0"/>
            </w:pPr>
            <w:r>
              <w:rPr>
                <w:sz w:val="18"/>
              </w:rPr>
            </w:r>
            <w:r>
              <w:rPr>
                <w:rFonts w:ascii="Segoe UI" w:hAnsi="Segoe UI"/>
                <w:b w:val="0"/>
                <w:i w:val="0"/>
                <w:sz w:val="18"/>
              </w:rPr>
              <w:t>Delete app/data/laurelshield.db (and -shm/-wal) if you want a clean reset, then re-run npm run seed</w:t>
            </w:r>
          </w:p>
        </w:tc>
      </w:tr>
      <w:tr>
        <w:tc>
          <w:tcPr>
            <w:tcW w:type="dxa" w:w="3168"/>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Server won't start / port already in use</w:t>
            </w:r>
          </w:p>
        </w:tc>
        <w:tc>
          <w:tcPr>
            <w:tcW w:type="dxa" w:w="3168"/>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A previous instance is still running</w:t>
            </w:r>
          </w:p>
        </w:tc>
        <w:tc>
          <w:tcPr>
            <w:tcW w:type="dxa" w:w="3312"/>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Stop the existing node process before starting a new one</w:t>
            </w:r>
          </w:p>
        </w:tc>
      </w:tr>
    </w:tbl>
    <w:p>
      <w:pPr>
        <w:spacing w:before="0" w:after="80"/>
      </w:pPr>
    </w:p>
    <w:sectPr w:rsidR="00FC693F" w:rsidRPr="0006063C" w:rsidSect="00034616">
      <w:footerReference w:type="default" r:id="rId9"/>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Segoe UI" w:hAnsi="Segoe UI"/>
        <w:b w:val="0"/>
        <w:i w:val="0"/>
        <w:color w:val="5A5A5A"/>
        <w:sz w:val="16"/>
      </w:rPr>
      <w:t xml:space="preserve">Laurelshield — Role Quick-Start &amp; Support Guide   |   Page </w:t>
    </w:r>
    <w:r>
      <w:rPr>
        <w:color w:val="5A5A5A"/>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Segoe UI" w:hAnsi="Segoe UI" w:cs="Segoe UI" w:eastAsia="Segoe U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Segoe UI" w:hAnsi="Segoe UI" w:cs="Segoe UI"/>
      <w:b/>
      <w:bCs/>
      <w:i w:val="0"/>
      <w:color w:val="0B2E4F"/>
      <w:sz w:val="3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Segoe UI" w:hAnsi="Segoe UI" w:cs="Segoe UI"/>
      <w:b/>
      <w:bCs/>
      <w:i w:val="0"/>
      <w:color w:val="0E7C86"/>
      <w:sz w:val="27"/>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Theme="majorHAnsi" w:eastAsiaTheme="majorEastAsia" w:hAnsiTheme="majorHAnsi" w:cstheme="majorBidi" w:ascii="Segoe UI" w:hAnsi="Segoe UI" w:cs="Segoe UI"/>
      <w:b/>
      <w:bCs/>
      <w:i w:val="0"/>
      <w:color w:val="334E68"/>
      <w:sz w:val="23"/>
    </w:rPr>
  </w:style>
  <w:style w:type="paragraph" w:styleId="Heading4">
    <w:name w:val="heading 4"/>
    <w:basedOn w:val="Normal"/>
    <w:next w:val="Normal"/>
    <w:link w:val="Heading4Char"/>
    <w:uiPriority w:val="9"/>
    <w:semiHidden/>
    <w:unhideWhenUsed/>
    <w:qFormat/>
    <w:rsid w:val="00FC693F"/>
    <w:pPr>
      <w:keepNext/>
      <w:keepLines/>
      <w:spacing w:before="180" w:after="60"/>
      <w:outlineLvl w:val="3"/>
    </w:pPr>
    <w:rPr>
      <w:rFonts w:asciiTheme="majorHAnsi" w:eastAsiaTheme="majorEastAsia" w:hAnsiTheme="majorHAnsi" w:cstheme="majorBidi" w:ascii="Segoe UI" w:hAnsi="Segoe UI" w:cs="Segoe UI"/>
      <w:b/>
      <w:bCs/>
      <w:i/>
      <w:iCs/>
      <w:color w:val="334E68"/>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Segoe UI" w:hAnsi="Segoe UI" w:cs="Segoe UI"/>
      <w:b/>
      <w:i w:val="0"/>
      <w:color w:val="0B2E4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heme="majorHAnsi" w:eastAsiaTheme="majorEastAsia" w:hAnsiTheme="majorHAnsi" w:cstheme="majorBidi" w:ascii="Segoe UI" w:hAnsi="Segoe UI" w:cs="Segoe UI"/>
      <w:b w:val="0"/>
      <w:i/>
      <w:iCs/>
      <w:color w:val="0E7C8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b/>
      <w:bCs/>
      <w:i/>
      <w:color w:val="5A5A5A"/>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