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i w:val="0"/>
          <w:color w:val="0B2E4F"/>
          <w:sz w:val="60"/>
        </w:rPr>
        <w:t>LAURELSHIELD</w:t>
      </w:r>
    </w:p>
    <w:p>
      <w:pPr>
        <w:jc w:val="center"/>
      </w:pPr>
      <w:r>
        <w:rPr>
          <w:rFonts w:ascii="Segoe UI" w:hAnsi="Segoe UI"/>
          <w:b w:val="0"/>
          <w:i/>
          <w:color w:val="0E7C86"/>
          <w:sz w:val="30"/>
        </w:rPr>
        <w:t>Security &amp; Compliance Procedures</w:t>
      </w:r>
    </w:p>
    <w:p>
      <w:pPr>
        <w:jc w:val="center"/>
      </w:pPr>
      <w:r>
        <w:rPr>
          <w:rFonts w:ascii="Segoe UI" w:hAnsi="Segoe UI"/>
          <w:b w:val="0"/>
          <w:i w:val="0"/>
          <w:color w:val="334E68"/>
          <w:sz w:val="22"/>
        </w:rPr>
        <w:t>Platform security architecture, data handling rules, and control mappings to</w:t>
        <w:br/>
        <w:t>SOC 2, ISO/IEC 27001:2022, NIST CSF 2.0, PIPEDA, and ISO/IEC 17029 &amp; 17065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>
          <w:t>Right-click and choose 'Update Field' to build the table of contents.</w:t>
        </w:fldChar>
        <w:fldChar w:fldCharType="end"/>
      </w:r>
    </w:p>
    <w:p>
      <w:r>
        <w:br w:type="page"/>
      </w:r>
    </w:p>
    <w:p>
      <w:pPr>
        <w:pStyle w:val="Heading1"/>
      </w:pPr>
      <w:r>
        <w:t>1. Purpose and Scope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This document describes the security architecture actually implemented in the Laurelshield Cyber Risk Passport reference platform, the data-handling rules that govern the evidence it collects, and how those controls map to the frameworks a customer, broker, or carrier counterparty is most likely to ask about. It covers the platform built this session (a single-tenant SQLite reference implementation) and flags, honestly, which controls are MVP-adequate versus which require upgrading before a production, multi-tenant, customer-facing launch. Section 11's Control Gap Register is the authoritative list of what is not yet production-ready.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E9E7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6" w:space="0" w:color="9B1C1C"/>
              <w:top w:val="single" w:sz="4" w:space="0" w:color="D8DEE4"/>
              <w:bottom w:val="single" w:sz="4" w:space="0" w:color="D8DEE4"/>
              <w:right w:val="single" w:sz="4" w:space="0" w:color="D8DEE4"/>
            </w:tcBorders>
          </w:tcPr>
          <w:p>
            <w:pPr>
              <w:spacing w:before="0" w:after="60"/>
            </w:pPr>
            <w:r/>
            <w:r>
              <w:rPr>
                <w:rFonts w:ascii="Segoe UI" w:hAnsi="Segoe UI"/>
                <w:b/>
                <w:i w:val="0"/>
                <w:color w:val="7A1616"/>
                <w:sz w:val="21"/>
              </w:rPr>
              <w:t>SCOPE NOTICE</w:t>
            </w:r>
          </w:p>
          <w:p>
            <w:pPr>
              <w:spacing w:before="0"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This is a technical control-mapping reference, not a certified audit report and not legal advice. SOC 2 and ISO 27001 mappings describe intended control coverage; only an accredited third-party auditor can issue a SOC 2 report or ISO 27001 certificate.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2. Platform Security Architecture Summary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Full technical detail is in the companion Platform Architecture &amp; Build Documentation. The controls relevant to this document: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Control Area</w:t>
            </w:r>
          </w:p>
        </w:tc>
        <w:tc>
          <w:tcPr>
            <w:tcW w:type="dxa" w:w="720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bcrypt password hashing (cost factor 10); session-based auth via signed, httpOnly, SameSite=Lax cookies; rate-limited login endpoint (20 attempts / 15 min per client).</w:t>
            </w:r>
          </w:p>
        </w:tc>
      </w:tr>
      <w:tr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Authorization</w:t>
            </w:r>
          </w:p>
        </w:tc>
        <w:tc>
          <w:tcPr>
            <w:tcW w:type="dxa" w:w="72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Role-based access control with six roles (ls_admin, ls_assessor, ls_decision_officer, customer_admin, broker, carrier); every route declares its allowed roles; no endpoint relies on UI-level filtering alone.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Tenant isolation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Every scope-scoped query is filtered by the authenticated session's org_id at the middleware layer (loadOwnedScope); cross-tenant access attempts return 403 and are not distinguishable from a not-found error to avoid enumeration.</w:t>
            </w:r>
          </w:p>
        </w:tc>
      </w:tr>
      <w:tr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Transport / headers</w:t>
            </w:r>
          </w:p>
        </w:tc>
        <w:tc>
          <w:tcPr>
            <w:tcW w:type="dxa" w:w="72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Helmet-applied security headers: Content-Security-Policy (script-src 'self', no inline scripts), Cross-Origin-Opener-Policy, X-Frame-Options equivalent (frame-ancestors 'self'), HSTS-ready via trust proxy configuration.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Evidence integrity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Every evidence object is SHA-256 hashed at creation and the hash is stored alongside source, collector, and timestamp metadata (chain of custody).</w:t>
            </w:r>
          </w:p>
        </w:tc>
      </w:tr>
      <w:tr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Claim / passport integrity</w:t>
            </w:r>
          </w:p>
        </w:tc>
        <w:tc>
          <w:tcPr>
            <w:tcW w:type="dxa" w:w="72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Assurance claims and passports are signed (HMAC-SHA256 in the MVP; see Section 11 for the production KMS/HSM upgrade) over a canonical JSON payload; signatures are independently re-verifiable and tamper-evident.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Audit logging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Every state-changing action (login, evidence sync, verification decision, remediation closure, passport issuance, sharing grant/revocation, appeal resolution) writes an insert-only row to an access_log table with actor, action, resource, and timestamp.</w:t>
            </w:r>
          </w:p>
        </w:tc>
      </w:tr>
      <w:tr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72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Verification decisions require a role (ls_decision_officer) distinct from the role that proposes an assessment (ls_assessor); remediation closure requires an Assurance Operations role distinct from the customer_admin role that implements the fix.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Selective disclosure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Carriers and brokers only ever receive derived assurance claims (status, ECL, coverage, dates, signature) through an explicit, time-limited, revocable sharing grant — never raw evidence, and never another partner's confidential requirement mapping.</w:t>
            </w:r>
          </w:p>
        </w:tc>
      </w:tr>
      <w:tr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Confidentiality segregation</w:t>
            </w:r>
          </w:p>
        </w:tc>
        <w:tc>
          <w:tcPr>
            <w:tcW w:type="dxa" w:w="72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The Carrier Requirements Graph (weights, minimum ECL thresholds, source classification) is readable only by the ls_admin role and is never serialized into any customer-, broker-, or carrier-facing API response.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3. Data Classification Scheme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Every evidence record carries one of six classification values, enforced at the database schema level (Section 5.3 of the original research document):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Classification</w:t>
            </w:r>
          </w:p>
        </w:tc>
        <w:tc>
          <w:tcPr>
            <w:tcW w:type="dxa" w:w="374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Examples</w:t>
            </w:r>
          </w:p>
        </w:tc>
        <w:tc>
          <w:tcPr>
            <w:tcW w:type="dxa" w:w="417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Handling Rule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Public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Published control catalogue, ECL definitions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May appear in marketing and partner-facing materials without restriction.</w:t>
            </w:r>
          </w:p>
        </w:tc>
      </w:tr>
      <w:tr>
        <w:tc>
          <w:tcPr>
            <w:tcW w:type="dxa" w:w="244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 Confidential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Manual evidence uploads, asset inventories</w:t>
            </w:r>
          </w:p>
        </w:tc>
        <w:tc>
          <w:tcPr>
            <w:tcW w:type="dxa" w:w="417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Visible to the owning customer and authorized Laurelshield staff only.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Restricted Security Evidence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Connector-collected technical evidence (MFA config, EDR state, backup posture)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Never leaves the Evidence Vault; only derived claims are disclosed externally.</w:t>
            </w:r>
          </w:p>
        </w:tc>
      </w:tr>
      <w:tr>
        <w:tc>
          <w:tcPr>
            <w:tcW w:type="dxa" w:w="244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Carrier Confidential Mapping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Carrier Requirements Graph rows (weights, thresholds)</w:t>
            </w:r>
          </w:p>
        </w:tc>
        <w:tc>
          <w:tcPr>
            <w:tcW w:type="dxa" w:w="417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ls_admin role only; never returned by any API to a non-admin caller.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Laurelshield Trade Secret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Translation/scoring logic, anomaly-detection rules (future)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Source code access control; not documented at implementation-detail level outside engineering.</w:t>
            </w:r>
          </w:p>
        </w:tc>
      </w:tr>
      <w:tr>
        <w:tc>
          <w:tcPr>
            <w:tcW w:type="dxa" w:w="244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Claims/Outcome Restricted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Underwriting outcome data (future Outcome Intelligence layer)</w:t>
            </w:r>
          </w:p>
        </w:tc>
        <w:tc>
          <w:tcPr>
            <w:tcW w:type="dxa" w:w="417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Governed by a data-rights ledger recording source, consent, and permitted use per Section 11.7 of the original research document.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4. SOC 2 Trust Services Criteria Mapping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Mapped against the AICPA 2017 Trust Services Criteria (as revised). “Implemented” means the control exists in the reference platform today; “Designed, not yet operating” means the procedure is documented in this suite but requires a live operating history before an auditor could test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TSC Ref.</w:t>
            </w:r>
          </w:p>
        </w:tc>
        <w:tc>
          <w:tcPr>
            <w:tcW w:type="dxa" w:w="316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Criterion (summary)</w:t>
            </w:r>
          </w:p>
        </w:tc>
        <w:tc>
          <w:tcPr>
            <w:tcW w:type="dxa" w:w="432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Laurelshield Control</w:t>
            </w:r>
          </w:p>
        </w:tc>
        <w:tc>
          <w:tcPr>
            <w:tcW w:type="dxa" w:w="230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CC1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Control environment / integrity &amp; ethics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Role charter (Section 10.1 of original research), assessor independence policy, IP/confidentiality terms in every contract template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Designed, not yet operating</w:t>
            </w:r>
          </w:p>
        </w:tc>
      </w:tr>
      <w:tr>
        <w:tc>
          <w:tcPr>
            <w:tcW w:type="dxa" w:w="11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CC2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Communication &amp; information</w:t>
            </w:r>
          </w:p>
        </w:tc>
        <w:tc>
          <w:tcPr>
            <w:tcW w:type="dxa" w:w="432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Role-based portals; customer-visible audit trail; appeals process</w:t>
            </w:r>
          </w:p>
        </w:tc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CC3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Risk assessment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Platform threat model (Section 12.9): malicious evidence, compromised connector, insider, cross-tenant access, forged passport, replay, stale evidence, mapping leakage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Designed, not yet operating</w:t>
            </w:r>
          </w:p>
        </w:tc>
      </w:tr>
      <w:tr>
        <w:tc>
          <w:tcPr>
            <w:tcW w:type="dxa" w:w="11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CC4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Monitoring activities</w:t>
            </w:r>
          </w:p>
        </w:tc>
        <w:tc>
          <w:tcPr>
            <w:tcW w:type="dxa" w:w="432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Immutable access_log; continuous-assurance freshness sweep</w:t>
            </w:r>
          </w:p>
        </w:tc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Implemented (freshness); log review cadence documented in Ops Runbook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Control activities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RBAC, tenant isolation, decision-separation enforcement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CC6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Logical &amp; physical access controls</w:t>
            </w:r>
          </w:p>
        </w:tc>
        <w:tc>
          <w:tcPr>
            <w:tcW w:type="dxa" w:w="432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bcrypt auth, session cookies, RBAC, rate limiting; physical access N/A (cloud-hosted, provider-managed in production)</w:t>
            </w:r>
          </w:p>
        </w:tc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Implemented (logical); physical deferred to hosting provider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CC7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System operations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Connector sync logging, error handling, freshness engine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1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CC8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Change management</w:t>
            </w:r>
          </w:p>
        </w:tc>
        <w:tc>
          <w:tcPr>
            <w:tcW w:type="dxa" w:w="432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Requirement-graph versioning fields (effective_date, review_date); code change control via git — process to be formalized pre-production</w:t>
            </w:r>
          </w:p>
        </w:tc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Partially implemented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CC9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Risk mitigation (vendors, business disruption)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Vendor Agreement template (Section 11.6 of original research); DR/backup procedure — see Control Gap Register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Designed, not yet operating</w:t>
            </w:r>
          </w:p>
        </w:tc>
      </w:tr>
      <w:tr>
        <w:tc>
          <w:tcPr>
            <w:tcW w:type="dxa" w:w="11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A1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Availability</w:t>
            </w:r>
          </w:p>
        </w:tc>
        <w:tc>
          <w:tcPr>
            <w:tcW w:type="dxa" w:w="432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Single-instance MVP has no HA/DR; production requires managed Postgres with automated backups and a documented RTO/RPO</w:t>
            </w:r>
          </w:p>
        </w:tc>
        <w:tc>
          <w:tcPr>
            <w:tcW w:type="dxa" w:w="230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Gap — see Section 11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C1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Confidentiality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Classification scheme (Section 3), carrier-mapping segregation, encryption in transit (TLS in production)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Implemented (logical); encryption at rest is a production gap — see Section 11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5. ISO/IEC 27001:2022 Annex A Mapping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Selected Annex A controls most relevant to an evidence-assurance platform, organized by the 2022 revision's four themes.</w:t>
      </w:r>
    </w:p>
    <w:p>
      <w:pPr>
        <w:pStyle w:val="Heading2"/>
      </w:pPr>
      <w:r>
        <w:t>5.1 Organizational controls (A.5)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Annex A</w:t>
            </w:r>
          </w:p>
        </w:tc>
        <w:tc>
          <w:tcPr>
            <w:tcW w:type="dxa" w:w="345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75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Laurelshield Implementation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A.5.1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Policies for information security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Assurance Method Manual, Evidence Handling Standard, Impartiality &amp; Conflict Policy (Section 10.2 of original research)</w:t>
            </w:r>
          </w:p>
        </w:tc>
      </w:tr>
      <w:tr>
        <w:tc>
          <w:tcPr>
            <w:tcW w:type="dxa" w:w="12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A.5.3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Segregation of duties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Assessor / Decision Officer role separation; enforced in code, not just policy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A.5.15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Access control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RBAC + tenant isolation middleware</w:t>
            </w:r>
          </w:p>
        </w:tc>
      </w:tr>
      <w:tr>
        <w:tc>
          <w:tcPr>
            <w:tcW w:type="dxa" w:w="12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A.5.23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Cloud service security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Applies at production deployment; MVP runs single-instance, not yet cloud-hardened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A.5.34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Privacy and protection of PII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Mapped in Section 7 (PIPEDA) below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5.2 People controls (A.6)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Annex A</w:t>
            </w:r>
          </w:p>
        </w:tc>
        <w:tc>
          <w:tcPr>
            <w:tcW w:type="dxa" w:w="345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75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Laurelshield Implementation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A.6.3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Security awareness, education, training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Assessor Competence Standard (Section 10.2 of original research); LS-GOV-1003 canonical control tracks this for customers</w:t>
            </w:r>
          </w:p>
        </w:tc>
      </w:tr>
      <w:tr>
        <w:tc>
          <w:tcPr>
            <w:tcW w:type="dxa" w:w="12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A.6.6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Confidentiality / NDA agreements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Assessor Agreement and Employee/Contractor Agreement templates (Section 11.6)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5.3 Physical controls (A.7)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Deferred to the production hosting provider's data-center controls (physical access, environmental protection). Not applicable to the MVP's local development posture.</w:t>
      </w:r>
    </w:p>
    <w:p>
      <w:pPr>
        <w:pStyle w:val="Heading2"/>
      </w:pPr>
      <w:r>
        <w:t>5.4 Technological controls (A.8)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Annex A</w:t>
            </w:r>
          </w:p>
        </w:tc>
        <w:tc>
          <w:tcPr>
            <w:tcW w:type="dxa" w:w="345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75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Laurelshield Implementation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A.8.2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Privileged access rights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ls_admin is the only role that can manage the Carrier Requirements Graph or view the full audit log</w:t>
            </w:r>
          </w:p>
        </w:tc>
      </w:tr>
      <w:tr>
        <w:tc>
          <w:tcPr>
            <w:tcW w:type="dxa" w:w="12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A.8.3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Information access restriction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Selective disclosure engine; scoped sharing grants with expiry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A.8.9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Configuration management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Connector posture stored as versioned JSON with sync history</w:t>
            </w:r>
          </w:p>
        </w:tc>
      </w:tr>
      <w:tr>
        <w:tc>
          <w:tcPr>
            <w:tcW w:type="dxa" w:w="12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A.8.12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Data leakage prevention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translateForPartner() never serializes weight/min_ecl/confidential_notes fields (Section 11 of Architecture doc)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A.8.15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Logging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access_log table; every evidence, verification, remediation, passport, and sharing action logged</w:t>
            </w:r>
          </w:p>
        </w:tc>
      </w:tr>
      <w:tr>
        <w:tc>
          <w:tcPr>
            <w:tcW w:type="dxa" w:w="12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A.8.16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Monitoring activities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Freshness engine; drift simulation tooling for testing degradation response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A.8.24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Use of cryptography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SHA-256 evidence hashing; HMAC-SHA256 claim/passport signing (production: KMS/HSM asymmetric signing)</w:t>
            </w:r>
          </w:p>
        </w:tc>
      </w:tr>
      <w:tr>
        <w:tc>
          <w:tcPr>
            <w:tcW w:type="dxa" w:w="12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A.8.25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Secure development lifecycle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See Control Gap Register — SAST/SCA/DAST/pen test not yet run against this codebase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6. NIST Cybersecurity Framework 2.0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763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Laurelshield Implementation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Govern (GV)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Impartiality &amp; Conflict Policy; Certification Scheme Rules; role charter separating Laurelshield Holdings / Technologies / Advisory / Assurance Institute functions (Section 10.1 of original research)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Identify (ID)</w:t>
            </w:r>
          </w:p>
        </w:tc>
        <w:tc>
          <w:tcPr>
            <w:tcW w:type="dxa" w:w="763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Scope Registry (Stage 2) creates an explicit, versioned asset inventory per customer; canonical control catalogue defines the assessed universe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Protect (PR)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RBAC, tenant isolation, encryption in transit, evidence hashing, rate limiting, security headers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Detect (DE)</w:t>
            </w:r>
          </w:p>
        </w:tc>
        <w:tc>
          <w:tcPr>
            <w:tcW w:type="dxa" w:w="763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Continuous-assurance freshness engine; connector sync anomaly surfacing (coverage drops, exposure counts)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Respond (RS)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Remediation backlog with owner/due-date tracking; appeals procedure; incident response runbook (Section 9 below)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Recover (RC)</w:t>
            </w:r>
          </w:p>
        </w:tc>
        <w:tc>
          <w:tcPr>
            <w:tcW w:type="dxa" w:w="763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Passport revocation and re-issuance; independent re-verification restores assurance after a finding closes — production DR/backup remains a gap (Section 11)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7. PIPEDA Mapping (Canadian Privacy Principles)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Laurelshield's Canadian customers and its own Ontario-based operating footprint make PIPEDA's ten fair information principles the relevant privacy baseline. This maps each principle to a platform or procedural control; it is not a substitute for a privacy counsel review of the customer MSA/DPA (Section 11.6 of original research).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676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Laurelshield Control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1. Accountability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Named Security Officer / DPO role (Section 12.1, Workstream 8 of original research); this document and the Ops Runbook constitute the accountability record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2. Identifying purposes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 MSA/DPA states the evidence-verification purpose before any connector is authorized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3. Consent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Explicit consent step in Stage 1 onboarding before evidence collection begins; sharing grants require an additional, separate consent action per recipient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4. Limiting collection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Evidence collectors map to specific canonical controls only (Section 5.2); no open-ended data harvesting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5. Limiting use, disclosure, retention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Selective disclosure returns derived claims, not raw evidence; retention rules pending formalization in production (gap register)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6. Accuracy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Independent verification and re-verification workflow (Stage 5, 8); freshness engine prevents stale data from being presented as current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7. Safeguards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See Section 2 (architecture) and Section 4 (SOC 2 CC6)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8. Openness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This document, the Architecture doc, and the published control catalogue are the openness record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9. Individual access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Customer-visible audit trail (Section 5.8 of original research) — the customer sees every access to their own evidence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10. Challenging compliance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Appeals and complaints procedure (Section 10.2 of original research); implemented in-platform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8. ISO/IEC 17029 &amp; 17065 Conformity Assessment Mapping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If the Cyber Risk Passport is ever positioned as a formal certification credential (Section 10 of the original research document), these two standards become the relevant conformity-assessment baseline. They are mapped here now, while the platform is being built, so the separation-of-duties and appeals mechanisms they require are structural from day one rather than retrofitted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676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Laurelshield Control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Impartiality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ls_decision_officer role structurally separate from ls_assessor and from customer_admin; no single account can propose and finalize the same verification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Competence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Assessor Competence Standard (Section 10.2); role assignment in the reference platform models this separation even before formal competence certification exists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Evaluation &amp; decision separation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Verification-queue “assess” action vs. “decide” action are two distinct, separately role-gated API endpoints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Surveillance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Continuous-assurance freshness engine automatically downgrades or expires claims whose evidence has aged past its threshold — this is the mechanized form of ongoing surveillance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Complaints &amp; appeals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Appeals endpoint and Assurance Operations resolution workflow, with an independent reviewer role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Certification mark control</w:t>
            </w:r>
          </w:p>
        </w:tc>
        <w:tc>
          <w:tcPr>
            <w:tcW w:type="dxa" w:w="67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Deferred — Section 11.2 of the original research document correctly recommends designing mark-licensing rules only after the scheme itself is mature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9. Incident Response &amp; Breach Notification Procedure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Summary procedure; full operational detail (roles, escalation paths, communication templates) is in the companion Operations Runbook, Section 6.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Detect: freshness engine alerts, anomalous access_log patterns, or a direct report trigger an investigation.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Contain: revoke affected sharing grants and/or the affected passport immediately; rotate the PASSPORT_SIGNING_SECRET if signature integrity is suspected (invalidates all outstanding signatures — a deliberate, logged, admin-only action).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Assess: determine which classification tiers (Section 3) were exposed; Restricted Security Evidence and Carrier Confidential Mapping exposures are treated as reportable by default.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Notify: customer notification per the MSA/DPA breach clause; regulatory notification assessment (e.g., PIPEDA breach-of-security-safeguards reporting) made with privacy counsel; affected carriers/brokers notified per their partner agreement.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Recover: re-verify affected controls, re-issue passports with new signatures, document the root cause and corrective action in the audit record.</w:t>
      </w:r>
    </w:p>
    <w:p>
      <w:r>
        <w:br w:type="page"/>
      </w:r>
    </w:p>
    <w:p>
      <w:pPr>
        <w:pStyle w:val="Heading1"/>
      </w:pPr>
      <w:r>
        <w:t>10. Vendor, Subprocessor &amp; Data Residency Notes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The reference platform has no third-party subprocessors — it is a self-contained Node.js application with a local SQLite file. A production deployment will introduce at least: a managed database provider, a cloud hosting/compute provider, and — once live connectors replace the simulated ones — the customer's own identity, EDR, backup, and cloud platforms as read-only data sources. Each must be added to the Vendor/Subprocessor register with data-residency, breach-notification, and subcontractor-control terms per the Technology Vendor Agreement template (Section 11.6 of the original research document) before production launch.</w:t>
      </w:r>
    </w:p>
    <w:p>
      <w:r>
        <w:br w:type="page"/>
      </w:r>
    </w:p>
    <w:p>
      <w:pPr>
        <w:pStyle w:val="Heading1"/>
      </w:pPr>
      <w:r>
        <w:t>11. Control Gap Register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Honest accounting of what the reference platform does not yet do, so nothing in Sections 4-8 is mistaken for a completed certification.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02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45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Why It's Acceptable for MVP</w:t>
            </w:r>
          </w:p>
        </w:tc>
        <w:tc>
          <w:tcPr>
            <w:tcW w:type="dxa" w:w="360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Required Before Production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HMAC (symmetric) signing instead of asymmetric KMS/HSM keys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Sufficient to prove tamper-evidence and revocation semantics to a design partner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Move to an asymmetric keypair (e.g., cloud KMS-backed Ed25519/RSA) so recipients can verify signatures without holding Laurelshield's secret</w:t>
            </w:r>
          </w:p>
        </w:tc>
      </w:tr>
      <w:tr>
        <w:tc>
          <w:tcPr>
            <w:tcW w:type="dxa" w:w="302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SQLite, unencrypted at rest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Adequate for a local, single-instance proof of concept</w:t>
            </w:r>
          </w:p>
        </w:tc>
        <w:tc>
          <w:tcPr>
            <w:tcW w:type="dxa" w:w="36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Managed Postgres with encryption at rest and tenant-aware key management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 automated backup / DR for the platform itself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Demo data is reproducible via the seed script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Documented RTO/RPO, automated backups, tested restore procedure</w:t>
            </w:r>
          </w:p>
        </w:tc>
      </w:tr>
      <w:tr>
        <w:tc>
          <w:tcPr>
            <w:tcW w:type="dxa" w:w="302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 SAST/SCA/DAST or penetration test run against this codebase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Not yet handling real customer evidence</w:t>
            </w:r>
          </w:p>
        </w:tc>
        <w:tc>
          <w:tcPr>
            <w:tcW w:type="dxa" w:w="36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Full secure-SDLC pass per Section 12.9 of the original research document before onboarding a real design partner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Single hosting instance, no horizontal scaling or WAF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Appropriate for internal/pilot demonstration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Production architecture per Layer 1 (Identity &amp; Tenant Security) of the original research's reference architecture</w:t>
            </w:r>
          </w:p>
        </w:tc>
      </w:tr>
      <w:tr>
        <w:tc>
          <w:tcPr>
            <w:tcW w:type="dxa" w:w="302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EDR and backup connectors still simulated, not live APIs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Matches the original document's own Days 31-90 phasing (one live connector first); the Entra/Microsoft Graph connector is now live (Section 7 of the Architecture doc)</w:t>
            </w:r>
          </w:p>
        </w:tc>
        <w:tc>
          <w:tcPr>
            <w:tcW w:type="dxa" w:w="36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Replace remaining simulated connector logic with real CrowdStrike/Defender and Veeam/Rubrik integrations, per Section 5.2 priority order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Live connector client secret (Entra) stored in plaintext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Acceptable for a single-operator pilot; the secret authenticates to the customer's own Azure tenant, not a shared system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Encrypt the stored secret at minimum; prefer certificate-based Azure AD authentication backed by a key vault in production</w:t>
            </w: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b w:val="0"/>
        <w:i w:val="0"/>
        <w:color w:val="5A5A5A"/>
        <w:sz w:val="16"/>
      </w:rPr>
      <w:t xml:space="preserve">Laurelshield — Security &amp; Compliance Procedures   |   Page </w:t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Segoe UI" w:hAnsi="Segoe UI" w:cs="Segoe UI" w:eastAsia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Segoe UI" w:hAnsi="Segoe UI" w:cs="Segoe UI"/>
      <w:b/>
      <w:bCs/>
      <w:i w:val="0"/>
      <w:color w:val="0B2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 w:cs="Segoe UI"/>
      <w:b/>
      <w:bCs/>
      <w:i w:val="0"/>
      <w:color w:val="0E7C8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Segoe UI" w:hAnsi="Segoe UI" w:cs="Segoe UI"/>
      <w:b/>
      <w:bCs/>
      <w:i w:val="0"/>
      <w:color w:val="3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Segoe UI" w:hAnsi="Segoe UI" w:cs="Segoe UI"/>
      <w:b/>
      <w:bCs/>
      <w:i/>
      <w:iCs/>
      <w:color w:val="334E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egoe UI" w:hAnsi="Segoe UI" w:cs="Segoe UI"/>
      <w:b/>
      <w:i w:val="0"/>
      <w:color w:val="0B2E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Segoe UI" w:hAnsi="Segoe UI" w:cs="Segoe UI"/>
      <w:b w:val="0"/>
      <w:i/>
      <w:iCs/>
      <w:color w:val="0E7C8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i/>
      <w:color w:val="5A5A5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