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1" w:name="Xdad584fc352a525c1a027d69a39fd384d2a82a8"/>
    <w:p>
      <w:pPr>
        <w:pStyle w:val="Heading1"/>
        <w:keepNext/>
      </w:pPr>
      <w:r>
        <w:t xml:space="preserve">SCHOOL MANAGEMENT INFORMATION SYSTEM (SMIS)</w:t>
      </w:r>
    </w:p>
    <w:bookmarkStart w:id="20" w:name="Xdd42f4e6b7be6a5b8236cf75c25cc8b06fa05ab"/>
    <w:p>
      <w:pPr>
        <w:pStyle w:val="Heading2"/>
        <w:keepNext/>
      </w:pPr>
      <w:r>
        <w:t xml:space="preserve">Comprehensive Product Requirements Document — Zambia-first, modular and enterprise-ready</w:t>
      </w:r>
    </w:p>
    <w:p>
      <w:pPr>
        <w:pStyle w:val="FirstParagraph"/>
      </w:pPr>
      <w:r>
        <w:rPr>
          <w:b/>
          <w:bCs/>
        </w:rPr>
        <w:t xml:space="preserve">Working product name:</w:t>
      </w:r>
      <w:r>
        <w:t xml:space="preserve"> </w:t>
      </w:r>
      <w:r>
        <w:t xml:space="preserve">EduSphere SMIS (subject to trademark and domain clearance)</w:t>
      </w:r>
      <w:r>
        <w:br/>
      </w:r>
      <w:r>
        <w:rPr>
          <w:b/>
          <w:bCs/>
        </w:rPr>
        <w:t xml:space="preserve">Version:</w:t>
      </w:r>
      <w:r>
        <w:t xml:space="preserve"> </w:t>
      </w:r>
      <w:r>
        <w:t xml:space="preserve">1.0 |</w:t>
      </w:r>
      <w:r>
        <w:t xml:space="preserve"> </w:t>
      </w:r>
      <w:r>
        <w:rPr>
          <w:b/>
          <w:bCs/>
        </w:rPr>
        <w:t xml:space="preserve">Date:</w:t>
      </w:r>
      <w:r>
        <w:t xml:space="preserve"> </w:t>
      </w:r>
      <w:r>
        <w:t xml:space="preserve">16 October 2026 |</w:t>
      </w:r>
      <w:r>
        <w:t xml:space="preserve"> </w:t>
      </w:r>
      <w:r>
        <w:rPr>
          <w:b/>
          <w:bCs/>
        </w:rPr>
        <w:t xml:space="preserve">Status:</w:t>
      </w:r>
      <w:r>
        <w:t xml:space="preserve"> </w:t>
      </w:r>
      <w:r>
        <w:t xml:space="preserve">Product and engineering baseline</w:t>
      </w:r>
      <w:r>
        <w:br/>
      </w:r>
      <w:r>
        <w:rPr>
          <w:b/>
          <w:bCs/>
        </w:rPr>
        <w:t xml:space="preserve">Prepared for:</w:t>
      </w:r>
      <w:r>
        <w:t xml:space="preserve"> </w:t>
      </w:r>
      <w:r>
        <w:t xml:space="preserve">Independent, private, faith-based and multi-campus schools in Zambia</w:t>
      </w:r>
      <w:r>
        <w:br/>
      </w:r>
      <w:r>
        <w:rPr>
          <w:b/>
          <w:bCs/>
        </w:rPr>
        <w:t xml:space="preserve">Initial school segments:</w:t>
      </w:r>
      <w:r>
        <w:t xml:space="preserve"> </w:t>
      </w:r>
      <w:r>
        <w:t xml:space="preserve">Early childhood education (ECE), nursery/kindergarten, primary/basic, junior and senior secondary, and transitional grade/form structures</w:t>
      </w:r>
      <w:r>
        <w:br/>
      </w:r>
      <w:r>
        <w:rPr>
          <w:b/>
          <w:bCs/>
        </w:rPr>
        <w:t xml:space="preserve">Document owner:</w:t>
      </w:r>
      <w:r>
        <w:t xml:space="preserve"> </w:t>
      </w:r>
      <w:r>
        <w:t xml:space="preserve">Product owner / solution architect</w:t>
      </w:r>
    </w:p>
    <w:p>
      <w:pPr>
        <w:pStyle w:val="BlockText"/>
      </w:pPr>
      <w:r>
        <w:rPr>
          <w:b/>
          <w:bCs/>
        </w:rPr>
        <w:t xml:space="preserve">Product promise:</w:t>
      </w:r>
      <w:r>
        <w:t xml:space="preserve"> </w:t>
      </w:r>
      <w:r>
        <w:t xml:space="preserve">One affordable, secure digital home for every learner’s journey—from admission to graduation—connecting schools, teachers, parents and school owners without requiring a school to purchase software it does not need.</w:t>
      </w:r>
    </w:p>
    <w:bookmarkEnd w:id="20"/>
    <w:bookmarkStart w:id="21" w:name="executive-summary"/>
    <w:p>
      <w:pPr>
        <w:pStyle w:val="Heading2"/>
        <w:keepNext/>
      </w:pPr>
      <w:r>
        <w:t xml:space="preserve">1. Executive summary</w:t>
      </w:r>
    </w:p>
    <w:p>
      <w:pPr>
        <w:pStyle w:val="FirstParagraph"/>
      </w:pPr>
      <w:r>
        <w:t xml:space="preserve">EduSphere SMIS shall be a Zambia-first, cloud-capable School Management Information System for independent schools of widely varying size, connectivity, finances and operating maturity. It shall unify admissions, student records, attendance, academic assessment, continuous learning history, fee billing and payment reconciliation, staff/HR, communication, compliance reporting and management intelligence. A secure parent/guardian portal shall make learner progress, approved reports, attendance, school notices and fee balances visible; online payments shall be optional and routed through properly authorised third-party payment providers.</w:t>
      </w:r>
    </w:p>
    <w:p>
      <w:pPr>
        <w:pStyle w:val="BodyText"/>
      </w:pPr>
      <w:r>
        <w:t xml:space="preserve">The platform shall support: (a) affordable hosted software-as-a-service (SaaS); (b) school-managed/self-hosted deployment under an appropriate support agreement; and (c) a perpetual site licence where commercially suitable. Every deployment shall support selected paid modules rather than forcing a one-size-fits-all bundle. Schools shall own/control their school data, receive documented export options and be protected against vendor lock-in.</w:t>
      </w:r>
    </w:p>
    <w:p>
      <w:pPr>
        <w:pStyle w:val="BodyText"/>
      </w:pPr>
      <w:r>
        <w:rPr>
          <w:b/>
          <w:bCs/>
        </w:rPr>
        <w:t xml:space="preserve">Strategic architectural decision:</w:t>
      </w:r>
      <w:r>
        <w:t xml:space="preserve"> </w:t>
      </w:r>
      <w:r>
        <w:t xml:space="preserve">Build a</w:t>
      </w:r>
      <w:r>
        <w:t xml:space="preserve"> </w:t>
      </w:r>
      <w:r>
        <w:rPr>
          <w:b/>
          <w:bCs/>
        </w:rPr>
        <w:t xml:space="preserve">modular monolith</w:t>
      </w:r>
      <w:r>
        <w:t xml:space="preserve"> </w:t>
      </w:r>
      <w:r>
        <w:t xml:space="preserve">with strongly separated domain modules and tenant-level isolation, open APIs, a configurable curriculum/assessment engine, feature entitlements and deployment automation. Start with the smallest dependable product and expand into enterprise capability without a complete rewrite.</w:t>
      </w:r>
    </w:p>
    <w:p>
      <w:pPr>
        <w:pStyle w:val="BodyText"/>
      </w:pPr>
      <w:r>
        <w:rPr>
          <w:b/>
          <w:bCs/>
        </w:rPr>
        <w:t xml:space="preserve">Zambia-specific baseline:</w:t>
      </w:r>
      <w:r>
        <w:t xml:space="preserve"> </w:t>
      </w:r>
      <w:r>
        <w:t xml:space="preserve">Design for school registration and inspection obligations under the Education Act, 2011 as amended in 2026; Ministry of Education curriculum transition and statistical reporting; teacher professional registration; Data Protection Act, 2021 protections for children; current payment-system rules; and applicable revenue/invoicing processes. A system feature does not itself certify legal compliance. Final procedures and reporting formats must be validated with the relevant authority and the school’s adviser (Republic of Zambia, 2011; 2021; 2026a; 2026b; Ministry of Education, 2024a).</w:t>
      </w:r>
    </w:p>
    <w:bookmarkEnd w:id="21"/>
    <w:bookmarkStart w:id="25" w:name="X7c425a067d10346137ea0e245d6a06e9c404cb2"/>
    <w:p>
      <w:pPr>
        <w:pStyle w:val="Heading2"/>
        <w:keepNext/>
      </w:pPr>
      <w:r>
        <w:t xml:space="preserve">2. Opportunity, problem and product positioning</w:t>
      </w:r>
    </w:p>
    <w:bookmarkStart w:id="22" w:name="problems-addressed"/>
    <w:p>
      <w:pPr>
        <w:pStyle w:val="Heading3"/>
        <w:keepNext/>
      </w:pPr>
      <w:r>
        <w:t xml:space="preserve">2.1 Problems addressed</w:t>
      </w:r>
    </w:p>
    <w:p>
      <w:pPr>
        <w:pStyle w:val="Compact"/>
        <w:numPr>
          <w:ilvl w:val="0"/>
          <w:numId w:val="1001"/>
        </w:numPr>
      </w:pPr>
      <w:r>
        <w:t xml:space="preserve">Pupil files held in paper folders, Excel sheets or disconnected applications; frequent duplicates and lost history after class transfers.</w:t>
      </w:r>
    </w:p>
    <w:p>
      <w:pPr>
        <w:pStyle w:val="Compact"/>
        <w:numPr>
          <w:ilvl w:val="0"/>
          <w:numId w:val="1001"/>
        </w:numPr>
      </w:pPr>
      <w:r>
        <w:t xml:space="preserve">Term fees, arrears, discounts, instalments, receipts and bank/mobile-money confirmations recorded inconsistently.</w:t>
      </w:r>
    </w:p>
    <w:p>
      <w:pPr>
        <w:pStyle w:val="Compact"/>
        <w:numPr>
          <w:ilvl w:val="0"/>
          <w:numId w:val="1001"/>
        </w:numPr>
      </w:pPr>
      <w:r>
        <w:t xml:space="preserve">Parents unable to view verified attendance, approved progress reports or account balances without contacting school administration.</w:t>
      </w:r>
    </w:p>
    <w:p>
      <w:pPr>
        <w:pStyle w:val="Compact"/>
        <w:numPr>
          <w:ilvl w:val="0"/>
          <w:numId w:val="1001"/>
        </w:numPr>
      </w:pPr>
      <w:r>
        <w:t xml:space="preserve">Teachers working from separate mark books, with weak assessment moderation, cumbersome report cards and limited longitudinal insight.</w:t>
      </w:r>
    </w:p>
    <w:p>
      <w:pPr>
        <w:pStyle w:val="Compact"/>
        <w:numPr>
          <w:ilvl w:val="0"/>
          <w:numId w:val="1001"/>
        </w:numPr>
      </w:pPr>
      <w:r>
        <w:t xml:space="preserve">School leaders lacking near-real-time enrolment, retention, capacity, fee-collection, payroll and performance dashboards.</w:t>
      </w:r>
    </w:p>
    <w:p>
      <w:pPr>
        <w:pStyle w:val="Compact"/>
        <w:numPr>
          <w:ilvl w:val="0"/>
          <w:numId w:val="1001"/>
        </w:numPr>
      </w:pPr>
      <w:r>
        <w:t xml:space="preserve">Small schools priced out of enterprise products, while large schools need branch controls, integrations and advanced workflows.</w:t>
      </w:r>
    </w:p>
    <w:p>
      <w:pPr>
        <w:pStyle w:val="Compact"/>
        <w:numPr>
          <w:ilvl w:val="0"/>
          <w:numId w:val="1001"/>
        </w:numPr>
      </w:pPr>
      <w:r>
        <w:t xml:space="preserve">Curriculum reforms and different school structures making rigid</w:t>
      </w:r>
      <w:r>
        <w:t xml:space="preserve"> </w:t>
      </w:r>
      <w:r>
        <w:t xml:space="preserve">“</w:t>
      </w:r>
      <w:r>
        <w:t xml:space="preserve">Grade 1–12</w:t>
      </w:r>
      <w:r>
        <w:t xml:space="preserve">”</w:t>
      </w:r>
      <w:r>
        <w:t xml:space="preserve"> </w:t>
      </w:r>
      <w:r>
        <w:t xml:space="preserve">software unsuitable.</w:t>
      </w:r>
    </w:p>
    <w:bookmarkEnd w:id="22"/>
    <w:bookmarkStart w:id="23" w:name="market-positioning"/>
    <w:p>
      <w:pPr>
        <w:pStyle w:val="Heading3"/>
        <w:keepNext/>
      </w:pPr>
      <w:r>
        <w:t xml:space="preserve">2.2 Market positioning</w:t>
      </w:r>
    </w:p>
    <w:p>
      <w:pPr>
        <w:pStyle w:val="FirstParagraph"/>
      </w:pPr>
      <w:r>
        <w:rPr>
          <w:b/>
          <w:bCs/>
        </w:rPr>
        <w:t xml:space="preserve">Primary differentiation:</w:t>
      </w:r>
      <w:r>
        <w:t xml:space="preserve"> </w:t>
      </w:r>
      <w:r>
        <w:t xml:space="preserve">Zambia-ready + genuinely modular + low-bandwidth + parent-first + mobile-money-ready + deployable locally + fair school-size pricing. The product must not position itself as a replacement for Ministry of Education national EMIS or Examinations Council systems. Instead it is the school’s operational source of records and can generate validated regulatory outputs or connect through formally authorised interfaces.</w:t>
      </w:r>
    </w:p>
    <w:bookmarkEnd w:id="23"/>
    <w:bookmarkStart w:id="24" w:name="objectives-and-proposed-product-kpis"/>
    <w:p>
      <w:pPr>
        <w:pStyle w:val="Heading3"/>
        <w:keepNext/>
      </w:pPr>
      <w:r>
        <w:t xml:space="preserve">2.3 Objectives and proposed product KPIs</w:t>
      </w:r>
    </w:p>
    <w:tbl>
      <w:tblPr>
        <w:tblW w:type="pct" w:w="5000"/>
        <w:jc w:val="center"/>
        <w:tblLayout w:type="autofit"/>
        <w:tblLook w:firstRow="1" w:lastRow="0" w:firstColumn="0" w:lastColumn="0" w:noHBand="0" w:noVBand="0" w:val="0020"/>
      </w:tblPr>
      <w:tblGrid>
        <w:gridCol w:w="3960"/>
        <w:gridCol w:w="3960"/>
      </w:tblGrid>
      <w:tr>
        <w:trPr>
          <w:tblHeader w:val="on"/>
          <w:cantSplit/>
        </w:trPr>
        <w:tc>
          <w:tcPr>
            <w:vAlign w:val="center"/>
            <w:shd w:fill="0D5577"/>
          </w:tcPr>
          <w:p>
            <w:pPr>
              <w:pStyle w:val="Compact"/>
              <w:spacing w:after="40"/>
              <w:jc w:val="left"/>
            </w:pPr>
            <w:r>
              <w:rPr>
                <w:b/>
                <w:color w:val="FFFFFF"/>
                <w:sz w:val="16"/>
              </w:rPr>
              <w:t xml:space="preserve">Objective</w:t>
            </w:r>
          </w:p>
        </w:tc>
        <w:tc>
          <w:tcPr>
            <w:vAlign w:val="center"/>
            <w:shd w:fill="0D5577"/>
          </w:tcPr>
          <w:p>
            <w:pPr>
              <w:pStyle w:val="Compact"/>
              <w:spacing w:after="40"/>
              <w:jc w:val="left"/>
            </w:pPr>
            <w:r>
              <w:rPr>
                <w:b/>
                <w:color w:val="FFFFFF"/>
                <w:sz w:val="16"/>
              </w:rPr>
              <w:t xml:space="preserve">Initial acceptance / year-one product target</w:t>
            </w:r>
          </w:p>
        </w:tc>
      </w:tr>
      <w:tr>
        <w:trPr>
          <w:cantSplit/>
        </w:trPr>
        <w:tc>
          <w:tcPr>
            <w:vAlign w:val="center"/>
          </w:tcPr>
          <w:p>
            <w:pPr>
              <w:pStyle w:val="Compact"/>
              <w:spacing w:after="40"/>
              <w:jc w:val="left"/>
            </w:pPr>
            <w:r>
              <w:rPr>
                <w:sz w:val="16"/>
              </w:rPr>
              <w:t xml:space="preserve">School onboarding</w:t>
            </w:r>
          </w:p>
        </w:tc>
        <w:tc>
          <w:tcPr>
            <w:vAlign w:val="center"/>
          </w:tcPr>
          <w:p>
            <w:pPr>
              <w:pStyle w:val="Compact"/>
              <w:spacing w:after="40"/>
              <w:jc w:val="left"/>
            </w:pPr>
            <w:r>
              <w:rPr>
                <w:sz w:val="16"/>
              </w:rPr>
              <w:t xml:space="preserve">First school configured and trained in 2 business days after verified data receipt; small schools self-onboard with guided setup</w:t>
            </w:r>
          </w:p>
        </w:tc>
      </w:tr>
      <w:tr>
        <w:trPr>
          <w:cantSplit/>
        </w:trPr>
        <w:tc>
          <w:tcPr>
            <w:vAlign w:val="center"/>
          </w:tcPr>
          <w:p>
            <w:pPr>
              <w:pStyle w:val="Compact"/>
              <w:spacing w:after="40"/>
              <w:jc w:val="left"/>
            </w:pPr>
            <w:r>
              <w:rPr>
                <w:sz w:val="16"/>
              </w:rPr>
              <w:t xml:space="preserve">Data completeness</w:t>
            </w:r>
          </w:p>
        </w:tc>
        <w:tc>
          <w:tcPr>
            <w:vAlign w:val="center"/>
          </w:tcPr>
          <w:p>
            <w:pPr>
              <w:pStyle w:val="Compact"/>
              <w:spacing w:after="40"/>
              <w:jc w:val="left"/>
            </w:pPr>
            <w:r>
              <w:rPr>
                <w:sz w:val="16"/>
              </w:rPr>
              <w:t xml:space="preserve">&gt;=95% of mandatory student fields complete after first-term clean-up</w:t>
            </w:r>
          </w:p>
        </w:tc>
      </w:tr>
      <w:tr>
        <w:trPr>
          <w:cantSplit/>
        </w:trPr>
        <w:tc>
          <w:tcPr>
            <w:vAlign w:val="center"/>
          </w:tcPr>
          <w:p>
            <w:pPr>
              <w:pStyle w:val="Compact"/>
              <w:spacing w:after="40"/>
              <w:jc w:val="left"/>
            </w:pPr>
            <w:r>
              <w:rPr>
                <w:sz w:val="16"/>
              </w:rPr>
              <w:t xml:space="preserve">Attendance adoption</w:t>
            </w:r>
          </w:p>
        </w:tc>
        <w:tc>
          <w:tcPr>
            <w:vAlign w:val="center"/>
          </w:tcPr>
          <w:p>
            <w:pPr>
              <w:pStyle w:val="Compact"/>
              <w:spacing w:after="40"/>
              <w:jc w:val="left"/>
            </w:pPr>
            <w:r>
              <w:rPr>
                <w:sz w:val="16"/>
              </w:rPr>
              <w:t xml:space="preserve">&gt;=90% of active classes submit attendance by daily cut-off in participating schools</w:t>
            </w:r>
          </w:p>
        </w:tc>
      </w:tr>
      <w:tr>
        <w:trPr>
          <w:cantSplit/>
        </w:trPr>
        <w:tc>
          <w:tcPr>
            <w:vAlign w:val="center"/>
          </w:tcPr>
          <w:p>
            <w:pPr>
              <w:pStyle w:val="Compact"/>
              <w:spacing w:after="40"/>
              <w:jc w:val="left"/>
            </w:pPr>
            <w:r>
              <w:rPr>
                <w:sz w:val="16"/>
              </w:rPr>
              <w:t xml:space="preserve">Report-card efficiency</w:t>
            </w:r>
          </w:p>
        </w:tc>
        <w:tc>
          <w:tcPr>
            <w:vAlign w:val="center"/>
          </w:tcPr>
          <w:p>
            <w:pPr>
              <w:pStyle w:val="Compact"/>
              <w:spacing w:after="40"/>
              <w:jc w:val="left"/>
            </w:pPr>
            <w:r>
              <w:rPr>
                <w:sz w:val="16"/>
              </w:rPr>
              <w:t xml:space="preserve">Reduce routine report preparation effort by &gt;=50% against each pilot school baseline</w:t>
            </w:r>
          </w:p>
        </w:tc>
      </w:tr>
      <w:tr>
        <w:trPr>
          <w:cantSplit/>
        </w:trPr>
        <w:tc>
          <w:tcPr>
            <w:vAlign w:val="center"/>
          </w:tcPr>
          <w:p>
            <w:pPr>
              <w:pStyle w:val="Compact"/>
              <w:spacing w:after="40"/>
              <w:jc w:val="left"/>
            </w:pPr>
            <w:r>
              <w:rPr>
                <w:sz w:val="16"/>
              </w:rPr>
              <w:t xml:space="preserve">Collections visibility</w:t>
            </w:r>
          </w:p>
        </w:tc>
        <w:tc>
          <w:tcPr>
            <w:vAlign w:val="center"/>
          </w:tcPr>
          <w:p>
            <w:pPr>
              <w:pStyle w:val="Compact"/>
              <w:spacing w:after="40"/>
              <w:jc w:val="left"/>
            </w:pPr>
            <w:r>
              <w:rPr>
                <w:sz w:val="16"/>
              </w:rPr>
              <w:t xml:space="preserve">&gt;=98% of successful gateway transactions reconciled automatically within 15 minutes of provider confirmation</w:t>
            </w:r>
          </w:p>
        </w:tc>
      </w:tr>
      <w:tr>
        <w:trPr>
          <w:cantSplit/>
        </w:trPr>
        <w:tc>
          <w:tcPr>
            <w:vAlign w:val="center"/>
          </w:tcPr>
          <w:p>
            <w:pPr>
              <w:pStyle w:val="Compact"/>
              <w:spacing w:after="40"/>
              <w:jc w:val="left"/>
            </w:pPr>
            <w:r>
              <w:rPr>
                <w:sz w:val="16"/>
              </w:rPr>
              <w:t xml:space="preserve">Parent engagement</w:t>
            </w:r>
          </w:p>
        </w:tc>
        <w:tc>
          <w:tcPr>
            <w:vAlign w:val="center"/>
          </w:tcPr>
          <w:p>
            <w:pPr>
              <w:pStyle w:val="Compact"/>
              <w:spacing w:after="40"/>
              <w:jc w:val="left"/>
            </w:pPr>
            <w:r>
              <w:rPr>
                <w:sz w:val="16"/>
              </w:rPr>
              <w:t xml:space="preserve">&gt;=50% of linked households use the portal at least once per term in pilot schools</w:t>
            </w:r>
          </w:p>
        </w:tc>
      </w:tr>
      <w:tr>
        <w:trPr>
          <w:cantSplit/>
        </w:trPr>
        <w:tc>
          <w:tcPr>
            <w:vAlign w:val="center"/>
          </w:tcPr>
          <w:p>
            <w:pPr>
              <w:pStyle w:val="Compact"/>
              <w:spacing w:after="40"/>
              <w:jc w:val="left"/>
            </w:pPr>
            <w:r>
              <w:rPr>
                <w:sz w:val="16"/>
              </w:rPr>
              <w:t xml:space="preserve">Platform reliability</w:t>
            </w:r>
          </w:p>
        </w:tc>
        <w:tc>
          <w:tcPr>
            <w:vAlign w:val="center"/>
          </w:tcPr>
          <w:p>
            <w:pPr>
              <w:pStyle w:val="Compact"/>
              <w:spacing w:after="40"/>
              <w:jc w:val="left"/>
            </w:pPr>
            <w:r>
              <w:rPr>
                <w:sz w:val="16"/>
              </w:rPr>
              <w:t xml:space="preserve">99.5% monthly availability for standard hosted tier, excluding agreed maintenance; premium SLA negotiable</w:t>
            </w:r>
          </w:p>
        </w:tc>
      </w:tr>
      <w:tr>
        <w:trPr>
          <w:cantSplit/>
        </w:trPr>
        <w:tc>
          <w:tcPr>
            <w:vAlign w:val="center"/>
          </w:tcPr>
          <w:p>
            <w:pPr>
              <w:pStyle w:val="Compact"/>
              <w:spacing w:after="40"/>
              <w:jc w:val="left"/>
            </w:pPr>
            <w:r>
              <w:rPr>
                <w:sz w:val="16"/>
              </w:rPr>
              <w:t xml:space="preserve">Data portability</w:t>
            </w:r>
          </w:p>
        </w:tc>
        <w:tc>
          <w:tcPr>
            <w:vAlign w:val="center"/>
          </w:tcPr>
          <w:p>
            <w:pPr>
              <w:pStyle w:val="Compact"/>
              <w:spacing w:after="40"/>
              <w:jc w:val="left"/>
            </w:pPr>
            <w:r>
              <w:rPr>
                <w:sz w:val="16"/>
              </w:rPr>
              <w:t xml:space="preserve">Tenant-level export of supported operational datasets within the agreed exit window</w:t>
            </w:r>
          </w:p>
        </w:tc>
      </w:tr>
    </w:tbl>
    <w:p>
      <w:pPr>
        <w:pStyle w:val="BodyText"/>
      </w:pPr>
      <w:r>
        <w:t xml:space="preserve">Targets are product goals to validate through pilots,</w:t>
      </w:r>
      <w:r>
        <w:t xml:space="preserve"> </w:t>
      </w:r>
      <w:r>
        <w:rPr>
          <w:b/>
          <w:bCs/>
        </w:rPr>
        <w:t xml:space="preserve">not</w:t>
      </w:r>
      <w:r>
        <w:t xml:space="preserve"> </w:t>
      </w:r>
      <w:r>
        <w:t xml:space="preserve">measured existing performance.</w:t>
      </w:r>
    </w:p>
    <w:bookmarkEnd w:id="24"/>
    <w:bookmarkEnd w:id="25"/>
    <w:bookmarkStart w:id="26" w:name="users-personas-and-permissions"/>
    <w:p>
      <w:pPr>
        <w:pStyle w:val="Heading2"/>
        <w:keepNext/>
      </w:pPr>
      <w:r>
        <w:t xml:space="preserve">3. Users, personas and permissions</w:t>
      </w:r>
    </w:p>
    <w:tbl>
      <w:tblPr>
        <w:tblW w:type="pct" w:w="5000"/>
        <w:jc w:val="center"/>
        <w:tblLayout w:type="autofit"/>
        <w:tblLook w:firstRow="1" w:lastRow="0" w:firstColumn="0" w:lastColumn="0" w:noHBand="0" w:noVBand="0" w:val="0020"/>
      </w:tblPr>
      <w:tblGrid>
        <w:gridCol w:w="3960"/>
        <w:gridCol w:w="3960"/>
      </w:tblGrid>
      <w:tr>
        <w:trPr>
          <w:tblHeader w:val="on"/>
          <w:cantSplit/>
        </w:trPr>
        <w:tc>
          <w:tcPr>
            <w:vAlign w:val="center"/>
            <w:shd w:fill="0D5577"/>
          </w:tcPr>
          <w:p>
            <w:pPr>
              <w:pStyle w:val="Compact"/>
              <w:spacing w:after="40"/>
              <w:jc w:val="left"/>
            </w:pPr>
            <w:r>
              <w:rPr>
                <w:b/>
                <w:color w:val="FFFFFF"/>
                <w:sz w:val="16"/>
              </w:rPr>
              <w:t xml:space="preserve">Persona</w:t>
            </w:r>
          </w:p>
        </w:tc>
        <w:tc>
          <w:tcPr>
            <w:vAlign w:val="center"/>
            <w:shd w:fill="0D5577"/>
          </w:tcPr>
          <w:p>
            <w:pPr>
              <w:pStyle w:val="Compact"/>
              <w:spacing w:after="40"/>
              <w:jc w:val="left"/>
            </w:pPr>
            <w:r>
              <w:rPr>
                <w:b/>
                <w:color w:val="FFFFFF"/>
                <w:sz w:val="16"/>
              </w:rPr>
              <w:t xml:space="preserve">Primary rights and needs</w:t>
            </w:r>
          </w:p>
        </w:tc>
      </w:tr>
      <w:tr>
        <w:trPr>
          <w:cantSplit/>
        </w:trPr>
        <w:tc>
          <w:tcPr>
            <w:vAlign w:val="center"/>
          </w:tcPr>
          <w:p>
            <w:pPr>
              <w:pStyle w:val="Compact"/>
              <w:spacing w:after="40"/>
              <w:jc w:val="left"/>
            </w:pPr>
            <w:r>
              <w:rPr>
                <w:sz w:val="16"/>
              </w:rPr>
              <w:t xml:space="preserve">Platform Super Administrator</w:t>
            </w:r>
          </w:p>
        </w:tc>
        <w:tc>
          <w:tcPr>
            <w:vAlign w:val="center"/>
          </w:tcPr>
          <w:p>
            <w:pPr>
              <w:pStyle w:val="Compact"/>
              <w:spacing w:after="40"/>
              <w:jc w:val="left"/>
            </w:pPr>
            <w:r>
              <w:rPr>
                <w:sz w:val="16"/>
              </w:rPr>
              <w:t xml:space="preserve">Provision organisations, manage subscriptions, system health and support access;</w:t>
            </w:r>
            <w:r>
              <w:rPr>
                <w:sz w:val="16"/>
              </w:rPr>
              <w:t xml:space="preserve"> </w:t>
            </w:r>
            <w:r>
              <w:rPr>
                <w:b/>
                <w:bCs/>
                <w:sz w:val="16"/>
              </w:rPr>
              <w:t xml:space="preserve">no routine access</w:t>
            </w:r>
            <w:r>
              <w:rPr>
                <w:sz w:val="16"/>
              </w:rPr>
              <w:t xml:space="preserve"> </w:t>
            </w:r>
            <w:r>
              <w:rPr>
                <w:sz w:val="16"/>
              </w:rPr>
              <w:t xml:space="preserve">to learner grades, finance or child-sensitive records</w:t>
            </w:r>
          </w:p>
        </w:tc>
      </w:tr>
      <w:tr>
        <w:trPr>
          <w:cantSplit/>
        </w:trPr>
        <w:tc>
          <w:tcPr>
            <w:vAlign w:val="center"/>
          </w:tcPr>
          <w:p>
            <w:pPr>
              <w:pStyle w:val="Compact"/>
              <w:spacing w:after="40"/>
              <w:jc w:val="left"/>
            </w:pPr>
            <w:r>
              <w:rPr>
                <w:sz w:val="16"/>
              </w:rPr>
              <w:t xml:space="preserve">School Proprietor / Board</w:t>
            </w:r>
          </w:p>
        </w:tc>
        <w:tc>
          <w:tcPr>
            <w:vAlign w:val="center"/>
          </w:tcPr>
          <w:p>
            <w:pPr>
              <w:pStyle w:val="Compact"/>
              <w:spacing w:after="40"/>
              <w:jc w:val="left"/>
            </w:pPr>
            <w:r>
              <w:rPr>
                <w:sz w:val="16"/>
              </w:rPr>
              <w:t xml:space="preserve">School-wide strategic dashboards, authorised finance summaries, compliance status and approvals</w:t>
            </w:r>
          </w:p>
        </w:tc>
      </w:tr>
      <w:tr>
        <w:trPr>
          <w:cantSplit/>
        </w:trPr>
        <w:tc>
          <w:tcPr>
            <w:vAlign w:val="center"/>
          </w:tcPr>
          <w:p>
            <w:pPr>
              <w:pStyle w:val="Compact"/>
              <w:spacing w:after="40"/>
              <w:jc w:val="left"/>
            </w:pPr>
            <w:r>
              <w:rPr>
                <w:sz w:val="16"/>
              </w:rPr>
              <w:t xml:space="preserve">Headteacher / Principal</w:t>
            </w:r>
          </w:p>
        </w:tc>
        <w:tc>
          <w:tcPr>
            <w:vAlign w:val="center"/>
          </w:tcPr>
          <w:p>
            <w:pPr>
              <w:pStyle w:val="Compact"/>
              <w:spacing w:after="40"/>
              <w:jc w:val="left"/>
            </w:pPr>
            <w:r>
              <w:rPr>
                <w:sz w:val="16"/>
              </w:rPr>
              <w:t xml:space="preserve">Academic governance, approvals, promotion decisions, discipline and school performance</w:t>
            </w:r>
          </w:p>
        </w:tc>
      </w:tr>
      <w:tr>
        <w:trPr>
          <w:cantSplit/>
        </w:trPr>
        <w:tc>
          <w:tcPr>
            <w:vAlign w:val="center"/>
          </w:tcPr>
          <w:p>
            <w:pPr>
              <w:pStyle w:val="Compact"/>
              <w:spacing w:after="40"/>
              <w:jc w:val="left"/>
            </w:pPr>
            <w:r>
              <w:rPr>
                <w:sz w:val="16"/>
              </w:rPr>
              <w:t xml:space="preserve">Deputy / Academic Coordinator</w:t>
            </w:r>
          </w:p>
        </w:tc>
        <w:tc>
          <w:tcPr>
            <w:vAlign w:val="center"/>
          </w:tcPr>
          <w:p>
            <w:pPr>
              <w:pStyle w:val="Compact"/>
              <w:spacing w:after="40"/>
              <w:jc w:val="left"/>
            </w:pPr>
            <w:r>
              <w:rPr>
                <w:sz w:val="16"/>
              </w:rPr>
              <w:t xml:space="preserve">Curriculum, timetable, mark moderation, attendance follow-up and teacher workloads</w:t>
            </w:r>
          </w:p>
        </w:tc>
      </w:tr>
      <w:tr>
        <w:trPr>
          <w:cantSplit/>
        </w:trPr>
        <w:tc>
          <w:tcPr>
            <w:vAlign w:val="center"/>
          </w:tcPr>
          <w:p>
            <w:pPr>
              <w:pStyle w:val="Compact"/>
              <w:spacing w:after="40"/>
              <w:jc w:val="left"/>
            </w:pPr>
            <w:r>
              <w:rPr>
                <w:sz w:val="16"/>
              </w:rPr>
              <w:t xml:space="preserve">Registrar / Admissions Officer</w:t>
            </w:r>
          </w:p>
        </w:tc>
        <w:tc>
          <w:tcPr>
            <w:vAlign w:val="center"/>
          </w:tcPr>
          <w:p>
            <w:pPr>
              <w:pStyle w:val="Compact"/>
              <w:spacing w:after="40"/>
              <w:jc w:val="left"/>
            </w:pPr>
            <w:r>
              <w:rPr>
                <w:sz w:val="16"/>
              </w:rPr>
              <w:t xml:space="preserve">Applications, admissions, transfer history, guardian verification and official identifiers</w:t>
            </w:r>
          </w:p>
        </w:tc>
      </w:tr>
      <w:tr>
        <w:trPr>
          <w:cantSplit/>
        </w:trPr>
        <w:tc>
          <w:tcPr>
            <w:vAlign w:val="center"/>
          </w:tcPr>
          <w:p>
            <w:pPr>
              <w:pStyle w:val="Compact"/>
              <w:spacing w:after="40"/>
              <w:jc w:val="left"/>
            </w:pPr>
            <w:r>
              <w:rPr>
                <w:sz w:val="16"/>
              </w:rPr>
              <w:t xml:space="preserve">Bursar / Finance Officer</w:t>
            </w:r>
          </w:p>
        </w:tc>
        <w:tc>
          <w:tcPr>
            <w:vAlign w:val="center"/>
          </w:tcPr>
          <w:p>
            <w:pPr>
              <w:pStyle w:val="Compact"/>
              <w:spacing w:after="40"/>
              <w:jc w:val="left"/>
            </w:pPr>
            <w:r>
              <w:rPr>
                <w:sz w:val="16"/>
              </w:rPr>
              <w:t xml:space="preserve">Invoicing, receipts, settlement reconciliation, refunds, concessions, fee follow-up and debtors ageing</w:t>
            </w:r>
          </w:p>
        </w:tc>
      </w:tr>
      <w:tr>
        <w:trPr>
          <w:cantSplit/>
        </w:trPr>
        <w:tc>
          <w:tcPr>
            <w:vAlign w:val="center"/>
          </w:tcPr>
          <w:p>
            <w:pPr>
              <w:pStyle w:val="Compact"/>
              <w:spacing w:after="40"/>
              <w:jc w:val="left"/>
            </w:pPr>
            <w:r>
              <w:rPr>
                <w:sz w:val="16"/>
              </w:rPr>
              <w:t xml:space="preserve">HR / Payroll Officer</w:t>
            </w:r>
          </w:p>
        </w:tc>
        <w:tc>
          <w:tcPr>
            <w:vAlign w:val="center"/>
          </w:tcPr>
          <w:p>
            <w:pPr>
              <w:pStyle w:val="Compact"/>
              <w:spacing w:after="40"/>
              <w:jc w:val="left"/>
            </w:pPr>
            <w:r>
              <w:rPr>
                <w:sz w:val="16"/>
              </w:rPr>
              <w:t xml:space="preserve">Staff files, contracts, leave, qualification/registration status and payroll</w:t>
            </w:r>
          </w:p>
        </w:tc>
      </w:tr>
      <w:tr>
        <w:trPr>
          <w:cantSplit/>
        </w:trPr>
        <w:tc>
          <w:tcPr>
            <w:vAlign w:val="center"/>
          </w:tcPr>
          <w:p>
            <w:pPr>
              <w:pStyle w:val="Compact"/>
              <w:spacing w:after="40"/>
              <w:jc w:val="left"/>
            </w:pPr>
            <w:r>
              <w:rPr>
                <w:sz w:val="16"/>
              </w:rPr>
              <w:t xml:space="preserve">Class / Subject Teacher</w:t>
            </w:r>
          </w:p>
        </w:tc>
        <w:tc>
          <w:tcPr>
            <w:vAlign w:val="center"/>
          </w:tcPr>
          <w:p>
            <w:pPr>
              <w:pStyle w:val="Compact"/>
              <w:spacing w:after="40"/>
              <w:jc w:val="left"/>
            </w:pPr>
            <w:r>
              <w:rPr>
                <w:sz w:val="16"/>
              </w:rPr>
              <w:t xml:space="preserve">Allocated class registers, assessments, observations, reports and parent communication within policy</w:t>
            </w:r>
          </w:p>
        </w:tc>
      </w:tr>
      <w:tr>
        <w:trPr>
          <w:cantSplit/>
        </w:trPr>
        <w:tc>
          <w:tcPr>
            <w:vAlign w:val="center"/>
          </w:tcPr>
          <w:p>
            <w:pPr>
              <w:pStyle w:val="Compact"/>
              <w:spacing w:after="40"/>
              <w:jc w:val="left"/>
            </w:pPr>
            <w:r>
              <w:rPr>
                <w:sz w:val="16"/>
              </w:rPr>
              <w:t xml:space="preserve">ECE Practitioner</w:t>
            </w:r>
          </w:p>
        </w:tc>
        <w:tc>
          <w:tcPr>
            <w:vAlign w:val="center"/>
          </w:tcPr>
          <w:p>
            <w:pPr>
              <w:pStyle w:val="Compact"/>
              <w:spacing w:after="40"/>
              <w:jc w:val="left"/>
            </w:pPr>
            <w:r>
              <w:rPr>
                <w:sz w:val="16"/>
              </w:rPr>
              <w:t xml:space="preserve">Age-appropriate milestone observations, narratives, consent-controlled media and safeguarding</w:t>
            </w:r>
          </w:p>
        </w:tc>
      </w:tr>
      <w:tr>
        <w:trPr>
          <w:cantSplit/>
        </w:trPr>
        <w:tc>
          <w:tcPr>
            <w:vAlign w:val="center"/>
          </w:tcPr>
          <w:p>
            <w:pPr>
              <w:pStyle w:val="Compact"/>
              <w:spacing w:after="40"/>
              <w:jc w:val="left"/>
            </w:pPr>
            <w:r>
              <w:rPr>
                <w:sz w:val="16"/>
              </w:rPr>
              <w:t xml:space="preserve">Parent / Legal Guardian</w:t>
            </w:r>
          </w:p>
        </w:tc>
        <w:tc>
          <w:tcPr>
            <w:vAlign w:val="center"/>
          </w:tcPr>
          <w:p>
            <w:pPr>
              <w:pStyle w:val="Compact"/>
              <w:spacing w:after="40"/>
              <w:jc w:val="left"/>
            </w:pPr>
            <w:r>
              <w:rPr>
                <w:sz w:val="16"/>
              </w:rPr>
              <w:t xml:space="preserve">Only linked children and authorised data: results, attendance, notices, fees and receipts</w:t>
            </w:r>
          </w:p>
        </w:tc>
      </w:tr>
      <w:tr>
        <w:trPr>
          <w:cantSplit/>
        </w:trPr>
        <w:tc>
          <w:tcPr>
            <w:vAlign w:val="center"/>
          </w:tcPr>
          <w:p>
            <w:pPr>
              <w:pStyle w:val="Compact"/>
              <w:spacing w:after="40"/>
              <w:jc w:val="left"/>
            </w:pPr>
            <w:r>
              <w:rPr>
                <w:sz w:val="16"/>
              </w:rPr>
              <w:t xml:space="preserve">Learner</w:t>
            </w:r>
          </w:p>
        </w:tc>
        <w:tc>
          <w:tcPr>
            <w:vAlign w:val="center"/>
          </w:tcPr>
          <w:p>
            <w:pPr>
              <w:pStyle w:val="Compact"/>
              <w:spacing w:after="40"/>
              <w:jc w:val="left"/>
            </w:pPr>
            <w:r>
              <w:rPr>
                <w:sz w:val="16"/>
              </w:rPr>
              <w:t xml:space="preserve">Optional age-appropriate portal with restricted functionality and appropriate guardian controls</w:t>
            </w:r>
          </w:p>
        </w:tc>
      </w:tr>
      <w:tr>
        <w:trPr>
          <w:cantSplit/>
        </w:trPr>
        <w:tc>
          <w:tcPr>
            <w:vAlign w:val="center"/>
          </w:tcPr>
          <w:p>
            <w:pPr>
              <w:pStyle w:val="Compact"/>
              <w:spacing w:after="40"/>
              <w:jc w:val="left"/>
            </w:pPr>
            <w:r>
              <w:rPr>
                <w:sz w:val="16"/>
              </w:rPr>
              <w:t xml:space="preserve">Librarian / Stores / Transport / Nurse</w:t>
            </w:r>
          </w:p>
        </w:tc>
        <w:tc>
          <w:tcPr>
            <w:vAlign w:val="center"/>
          </w:tcPr>
          <w:p>
            <w:pPr>
              <w:pStyle w:val="Compact"/>
              <w:spacing w:after="40"/>
              <w:jc w:val="left"/>
            </w:pPr>
            <w:r>
              <w:rPr>
                <w:sz w:val="16"/>
              </w:rPr>
              <w:t xml:space="preserve">Limited module-specific access governed by assigned duties and safeguarding policy</w:t>
            </w:r>
          </w:p>
        </w:tc>
      </w:tr>
      <w:tr>
        <w:trPr>
          <w:cantSplit/>
        </w:trPr>
        <w:tc>
          <w:tcPr>
            <w:vAlign w:val="center"/>
          </w:tcPr>
          <w:p>
            <w:pPr>
              <w:pStyle w:val="Compact"/>
              <w:spacing w:after="40"/>
              <w:jc w:val="left"/>
            </w:pPr>
            <w:r>
              <w:rPr>
                <w:sz w:val="16"/>
              </w:rPr>
              <w:t xml:space="preserve">School Auditor / Inspector</w:t>
            </w:r>
          </w:p>
        </w:tc>
        <w:tc>
          <w:tcPr>
            <w:vAlign w:val="center"/>
          </w:tcPr>
          <w:p>
            <w:pPr>
              <w:pStyle w:val="Compact"/>
              <w:spacing w:after="40"/>
              <w:jc w:val="left"/>
            </w:pPr>
            <w:r>
              <w:rPr>
                <w:sz w:val="16"/>
              </w:rPr>
              <w:t xml:space="preserve">Time-limited, logged read-only views or approved report exports</w:t>
            </w:r>
          </w:p>
        </w:tc>
      </w:tr>
    </w:tbl>
    <w:p>
      <w:pPr>
        <w:pStyle w:val="BodyText"/>
      </w:pPr>
      <w:r>
        <w:rPr>
          <w:b/>
          <w:bCs/>
        </w:rPr>
        <w:t xml:space="preserve">Authorisation model:</w:t>
      </w:r>
      <w:r>
        <w:t xml:space="preserve"> </w:t>
      </w:r>
      <w:r>
        <w:t xml:space="preserve">Role-based access control (RBAC) plus attribute and record-level controls: organisation, campus, class, subject, learner-to-guardian relationship, financial authority, access purpose and time-limited delegations. Support multiple roles per person, dual control for sensitive actions, and denial by default.</w:t>
      </w:r>
    </w:p>
    <w:bookmarkEnd w:id="26"/>
    <w:bookmarkStart w:id="27" w:name="X102387e21ee4af7ffcf6f789c6ffe4697ef6dcc"/>
    <w:p>
      <w:pPr>
        <w:pStyle w:val="Heading2"/>
        <w:keepNext/>
      </w:pPr>
      <w:r>
        <w:t xml:space="preserve">4. School structures, curriculum and academic calendar</w:t>
      </w:r>
    </w:p>
    <w:p>
      <w:pPr>
        <w:pStyle w:val="FirstParagraph"/>
      </w:pPr>
      <w:r>
        <w:rPr>
          <w:b/>
          <w:bCs/>
        </w:rPr>
        <w:t xml:space="preserve">FR-CFG-001 (Must):</w:t>
      </w:r>
      <w:r>
        <w:t xml:space="preserve"> </w:t>
      </w:r>
      <w:r>
        <w:t xml:space="preserve">Each school shall configure organisation, campus, branding, academic year, terms, dates, non-teaching days, fee periods, attendance policies, class capacity and local timezone</w:t>
      </w:r>
      <w:r>
        <w:t xml:space="preserve"> </w:t>
      </w:r>
      <w:r>
        <w:rPr>
          <w:rStyle w:val="VerbatimChar"/>
        </w:rPr>
        <w:t xml:space="preserve">Africa/Lusaka</w:t>
      </w:r>
      <w:r>
        <w:t xml:space="preserve">.</w:t>
      </w:r>
    </w:p>
    <w:p>
      <w:pPr>
        <w:pStyle w:val="BodyText"/>
      </w:pPr>
      <w:r>
        <w:rPr>
          <w:b/>
          <w:bCs/>
        </w:rPr>
        <w:t xml:space="preserve">FR-CFG-002 (Must):</w:t>
      </w:r>
      <w:r>
        <w:t xml:space="preserve"> </w:t>
      </w:r>
      <w:r>
        <w:t xml:space="preserve">The engine shall support ECE age-bands and development domains; legacy Grade 1–7 / Grade 8–12 arrangements; reformed six-year primary structure and secondary</w:t>
      </w:r>
      <w:r>
        <w:t xml:space="preserve"> </w:t>
      </w:r>
      <w:r>
        <w:rPr>
          <w:b/>
          <w:bCs/>
        </w:rPr>
        <w:t xml:space="preserve">Forms</w:t>
      </w:r>
      <w:r>
        <w:t xml:space="preserve">; and mixed transitional cohorts, all versioned by effective academic year and school pathway. No hard-coded assumption that the current secondary level must always be Grade 8–12 or Form 1–4.</w:t>
      </w:r>
    </w:p>
    <w:p>
      <w:pPr>
        <w:pStyle w:val="BodyText"/>
      </w:pPr>
      <w:r>
        <w:rPr>
          <w:b/>
          <w:bCs/>
        </w:rPr>
        <w:t xml:space="preserve">FR-CFG-003 (Must):</w:t>
      </w:r>
      <w:r>
        <w:t xml:space="preserve"> </w:t>
      </w:r>
      <w:r>
        <w:t xml:space="preserve">A curriculum version shall define level, class, subject/learning area, competence, assessment method, rubric, scale, grade boundaries, progression conditions, moderation rules and report-card template. Old cohorts retain historical grading logic after the school adopts a new framework.</w:t>
      </w:r>
    </w:p>
    <w:p>
      <w:pPr>
        <w:pStyle w:val="BodyText"/>
      </w:pPr>
      <w:r>
        <w:rPr>
          <w:b/>
          <w:bCs/>
        </w:rPr>
        <w:t xml:space="preserve">FR-CFG-004 (Should):</w:t>
      </w:r>
      <w:r>
        <w:t xml:space="preserve"> </w:t>
      </w:r>
      <w:r>
        <w:t xml:space="preserve">Support Zambian, international or hybrid curricula (e.g., school-specific alternatives) as</w:t>
      </w:r>
      <w:r>
        <w:t xml:space="preserve"> </w:t>
      </w:r>
      <w:r>
        <w:rPr>
          <w:b/>
          <w:bCs/>
        </w:rPr>
        <w:t xml:space="preserve">school-configured</w:t>
      </w:r>
      <w:r>
        <w:t xml:space="preserve"> </w:t>
      </w:r>
      <w:r>
        <w:t xml:space="preserve">curricula. Ministry and Examinations Council criteria are not to be represented as certified until formally verified.</w:t>
      </w:r>
    </w:p>
    <w:p>
      <w:pPr>
        <w:pStyle w:val="BodyText"/>
      </w:pPr>
      <w:r>
        <w:rPr>
          <w:b/>
          <w:bCs/>
        </w:rPr>
        <w:t xml:space="preserve">FR-CFG-005 (Must):</w:t>
      </w:r>
      <w:r>
        <w:t xml:space="preserve"> </w:t>
      </w:r>
      <w:r>
        <w:t xml:space="preserve">Flexible configuration wizard with ready-to-edit Zambia templates; preview, approval and effective-date change history.</w:t>
      </w:r>
    </w:p>
    <w:p>
      <w:pPr>
        <w:pStyle w:val="BodyText"/>
      </w:pPr>
      <w:r>
        <w:t xml:space="preserve">The Ministry states that the 2023 curriculum is being implemented in phases; the 2026 Education (Amendment) Act has amended the underlying legislative structure. The platform must track policy changes through configuration, not emergency database changes (Ministry of Education, 2024a; Republic of Zambia, 2026a).</w:t>
      </w:r>
    </w:p>
    <w:bookmarkEnd w:id="27"/>
    <w:bookmarkStart w:id="42" w:name="functional-modules-and-requirements"/>
    <w:p>
      <w:pPr>
        <w:pStyle w:val="Heading2"/>
        <w:keepNext/>
      </w:pPr>
      <w:r>
        <w:t xml:space="preserve">5. Functional modules and requirements</w:t>
      </w:r>
    </w:p>
    <w:bookmarkStart w:id="28" w:name="X67c4920cce4146ea87fc2a694b5f31d59aa8e57"/>
    <w:p>
      <w:pPr>
        <w:pStyle w:val="Heading3"/>
        <w:keepNext/>
      </w:pPr>
      <w:r>
        <w:t xml:space="preserve">5.1 Platform foundation and multi-school administration — CORE (P0)</w:t>
      </w:r>
    </w:p>
    <w:p>
      <w:pPr>
        <w:pStyle w:val="Compact"/>
        <w:numPr>
          <w:ilvl w:val="0"/>
          <w:numId w:val="1002"/>
        </w:numPr>
      </w:pPr>
      <w:r>
        <w:rPr>
          <w:b/>
          <w:bCs/>
        </w:rPr>
        <w:t xml:space="preserve">FR-PLT-001:</w:t>
      </w:r>
      <w:r>
        <w:t xml:space="preserve"> </w:t>
      </w:r>
      <w:r>
        <w:t xml:space="preserve">Create isolated organisations/tenants, each with one or multiple campuses, separate branding and administrators; optionally group campuses under one owner.</w:t>
      </w:r>
    </w:p>
    <w:p>
      <w:pPr>
        <w:pStyle w:val="Compact"/>
        <w:numPr>
          <w:ilvl w:val="0"/>
          <w:numId w:val="1002"/>
        </w:numPr>
      </w:pPr>
      <w:r>
        <w:rPr>
          <w:b/>
          <w:bCs/>
        </w:rPr>
        <w:t xml:space="preserve">FR-PLT-002:</w:t>
      </w:r>
      <w:r>
        <w:t xml:space="preserve"> </w:t>
      </w:r>
      <w:r>
        <w:t xml:space="preserve">Provision, suspend, renew, downgrade and reactivate entitlements per module without corrupting archived data; a lapsed subscription enters a configurable grace period and limited read/export mode.</w:t>
      </w:r>
    </w:p>
    <w:p>
      <w:pPr>
        <w:pStyle w:val="Compact"/>
        <w:numPr>
          <w:ilvl w:val="0"/>
          <w:numId w:val="1002"/>
        </w:numPr>
      </w:pPr>
      <w:r>
        <w:rPr>
          <w:b/>
          <w:bCs/>
        </w:rPr>
        <w:t xml:space="preserve">FR-PLT-003:</w:t>
      </w:r>
      <w:r>
        <w:t xml:space="preserve"> </w:t>
      </w:r>
      <w:r>
        <w:t xml:space="preserve">Configurable school settings, academic years, notification templates, language-ready interface, branding and document numbering.</w:t>
      </w:r>
    </w:p>
    <w:p>
      <w:pPr>
        <w:pStyle w:val="Compact"/>
        <w:numPr>
          <w:ilvl w:val="0"/>
          <w:numId w:val="1002"/>
        </w:numPr>
      </w:pPr>
      <w:r>
        <w:rPr>
          <w:b/>
          <w:bCs/>
        </w:rPr>
        <w:t xml:space="preserve">FR-PLT-004:</w:t>
      </w:r>
      <w:r>
        <w:t xml:space="preserve"> </w:t>
      </w:r>
      <w:r>
        <w:t xml:space="preserve">Fine-grained access, MFA for staff with sensitive permissions, scoped support sessions and full security/activity audit trails.</w:t>
      </w:r>
    </w:p>
    <w:p>
      <w:pPr>
        <w:pStyle w:val="Compact"/>
        <w:numPr>
          <w:ilvl w:val="0"/>
          <w:numId w:val="1002"/>
        </w:numPr>
      </w:pPr>
      <w:r>
        <w:rPr>
          <w:b/>
          <w:bCs/>
        </w:rPr>
        <w:t xml:space="preserve">FR-PLT-005:</w:t>
      </w:r>
      <w:r>
        <w:t xml:space="preserve"> </w:t>
      </w:r>
      <w:r>
        <w:t xml:space="preserve">Bulk import/export with templates, validation, preview, duplicate detection, rollback, error reports and field mapping.</w:t>
      </w:r>
    </w:p>
    <w:p>
      <w:pPr>
        <w:pStyle w:val="Compact"/>
        <w:numPr>
          <w:ilvl w:val="0"/>
          <w:numId w:val="1002"/>
        </w:numPr>
      </w:pPr>
      <w:r>
        <w:rPr>
          <w:b/>
          <w:bCs/>
        </w:rPr>
        <w:t xml:space="preserve">FR-PLT-006:</w:t>
      </w:r>
      <w:r>
        <w:t xml:space="preserve"> </w:t>
      </w:r>
      <w:r>
        <w:t xml:space="preserve">Usage dashboard, support centre, onboarding checklist, privacy controls and policy acknowledgements.</w:t>
      </w:r>
    </w:p>
    <w:p>
      <w:pPr>
        <w:pStyle w:val="Compact"/>
        <w:numPr>
          <w:ilvl w:val="0"/>
          <w:numId w:val="1002"/>
        </w:numPr>
      </w:pPr>
      <w:r>
        <w:rPr>
          <w:b/>
          <w:bCs/>
        </w:rPr>
        <w:t xml:space="preserve">FR-PLT-007:</w:t>
      </w:r>
      <w:r>
        <w:t xml:space="preserve"> </w:t>
      </w:r>
      <w:r>
        <w:t xml:space="preserve">Admin-assigned approval chains, in-app tasks, configurable business rules and automation triggers.</w:t>
      </w:r>
    </w:p>
    <w:bookmarkEnd w:id="28"/>
    <w:bookmarkStart w:id="29" w:name="X0b11d67e1afe5b9934bc595845d621822eb7d91"/>
    <w:p>
      <w:pPr>
        <w:pStyle w:val="Heading3"/>
        <w:keepNext/>
      </w:pPr>
      <w:r>
        <w:t xml:space="preserve">5.2 Admissions, recruitment and enrolment — CORE (P0)</w:t>
      </w:r>
    </w:p>
    <w:p>
      <w:pPr>
        <w:pStyle w:val="Compact"/>
        <w:numPr>
          <w:ilvl w:val="0"/>
          <w:numId w:val="1003"/>
        </w:numPr>
      </w:pPr>
      <w:r>
        <w:rPr>
          <w:b/>
          <w:bCs/>
        </w:rPr>
        <w:t xml:space="preserve">FR-ADM-001:</w:t>
      </w:r>
      <w:r>
        <w:t xml:space="preserve"> </w:t>
      </w:r>
      <w:r>
        <w:t xml:space="preserve">Public/private application forms, waiting lists, candidate records, prospective-family enquiries, tours, interviews and admissions decisions.</w:t>
      </w:r>
    </w:p>
    <w:p>
      <w:pPr>
        <w:pStyle w:val="Compact"/>
        <w:numPr>
          <w:ilvl w:val="0"/>
          <w:numId w:val="1003"/>
        </w:numPr>
      </w:pPr>
      <w:r>
        <w:rPr>
          <w:b/>
          <w:bCs/>
        </w:rPr>
        <w:t xml:space="preserve">FR-ADM-002:</w:t>
      </w:r>
      <w:r>
        <w:t xml:space="preserve"> </w:t>
      </w:r>
      <w:r>
        <w:t xml:space="preserve">Capture admission number, name, DOB, sex where required, prior school, citizenship, permitted identification data, photograph only where justified, campus, level, entry date and necessary emergency details; no mandatory national ID for small children.</w:t>
      </w:r>
    </w:p>
    <w:p>
      <w:pPr>
        <w:pStyle w:val="Compact"/>
        <w:numPr>
          <w:ilvl w:val="0"/>
          <w:numId w:val="1003"/>
        </w:numPr>
      </w:pPr>
      <w:r>
        <w:rPr>
          <w:b/>
          <w:bCs/>
        </w:rPr>
        <w:t xml:space="preserve">FR-ADM-003:</w:t>
      </w:r>
      <w:r>
        <w:t xml:space="preserve"> </w:t>
      </w:r>
      <w:r>
        <w:t xml:space="preserve">Capture multiple caregivers, relationship, verified phone/email, guardianship/legal authority, billing responsibility, emergency contacts and contact restrictions; separate who may view records, collect the child and receive finance communication.</w:t>
      </w:r>
    </w:p>
    <w:p>
      <w:pPr>
        <w:pStyle w:val="Compact"/>
        <w:numPr>
          <w:ilvl w:val="0"/>
          <w:numId w:val="1003"/>
        </w:numPr>
      </w:pPr>
      <w:r>
        <w:rPr>
          <w:b/>
          <w:bCs/>
        </w:rPr>
        <w:t xml:space="preserve">FR-ADM-004:</w:t>
      </w:r>
      <w:r>
        <w:t xml:space="preserve"> </w:t>
      </w:r>
      <w:r>
        <w:t xml:space="preserve">Transfer application to approved enrolment with unique student identifier; detect possible duplicates while preserving controlled merge history.</w:t>
      </w:r>
    </w:p>
    <w:p>
      <w:pPr>
        <w:pStyle w:val="Compact"/>
        <w:numPr>
          <w:ilvl w:val="0"/>
          <w:numId w:val="1003"/>
        </w:numPr>
      </w:pPr>
      <w:r>
        <w:rPr>
          <w:b/>
          <w:bCs/>
        </w:rPr>
        <w:t xml:space="preserve">FR-ADM-005:</w:t>
      </w:r>
      <w:r>
        <w:t xml:space="preserve"> </w:t>
      </w:r>
      <w:r>
        <w:t xml:space="preserve">Support transfers, repeating, promotions, withdrawals, suspensions, alumni, re-enrolment and historical snapshots across years/campuses.</w:t>
      </w:r>
    </w:p>
    <w:p>
      <w:pPr>
        <w:pStyle w:val="Compact"/>
        <w:numPr>
          <w:ilvl w:val="0"/>
          <w:numId w:val="1003"/>
        </w:numPr>
      </w:pPr>
      <w:r>
        <w:rPr>
          <w:b/>
          <w:bCs/>
        </w:rPr>
        <w:t xml:space="preserve">FR-ADM-006:</w:t>
      </w:r>
      <w:r>
        <w:t xml:space="preserve"> </w:t>
      </w:r>
      <w:r>
        <w:t xml:space="preserve">Import legacy student history and supporting documents with document-level permission, expiry and retention metadata.</w:t>
      </w:r>
    </w:p>
    <w:p>
      <w:pPr>
        <w:pStyle w:val="Compact"/>
        <w:numPr>
          <w:ilvl w:val="0"/>
          <w:numId w:val="1003"/>
        </w:numPr>
      </w:pPr>
      <w:r>
        <w:rPr>
          <w:b/>
          <w:bCs/>
        </w:rPr>
        <w:t xml:space="preserve">FR-ADM-007:</w:t>
      </w:r>
      <w:r>
        <w:t xml:space="preserve"> </w:t>
      </w:r>
      <w:r>
        <w:t xml:space="preserve">Parent/guardian consent workflow, age and legal-capacity checks, records of legal basis, consent purpose/date/version and withdrawal processes where applicable.</w:t>
      </w:r>
    </w:p>
    <w:bookmarkEnd w:id="29"/>
    <w:bookmarkStart w:id="30" w:name="Xa8c732c791c918837592d19b097c73bddf4d6de"/>
    <w:p>
      <w:pPr>
        <w:pStyle w:val="Heading3"/>
        <w:keepNext/>
      </w:pPr>
      <w:r>
        <w:t xml:space="preserve">5.3 Student Information System / longitudinal record — CORE (P0)</w:t>
      </w:r>
    </w:p>
    <w:p>
      <w:pPr>
        <w:pStyle w:val="Compact"/>
        <w:numPr>
          <w:ilvl w:val="0"/>
          <w:numId w:val="1004"/>
        </w:numPr>
      </w:pPr>
      <w:r>
        <w:rPr>
          <w:b/>
          <w:bCs/>
        </w:rPr>
        <w:t xml:space="preserve">FR-SIS-001:</w:t>
      </w:r>
      <w:r>
        <w:t xml:space="preserve"> </w:t>
      </w:r>
      <w:r>
        <w:t xml:space="preserve">Single master learner record linking admissions, classes, attendance, assessments, interventions, attendance, fees and family accounts.</w:t>
      </w:r>
    </w:p>
    <w:p>
      <w:pPr>
        <w:pStyle w:val="Compact"/>
        <w:numPr>
          <w:ilvl w:val="0"/>
          <w:numId w:val="1004"/>
        </w:numPr>
      </w:pPr>
      <w:r>
        <w:rPr>
          <w:b/>
          <w:bCs/>
        </w:rPr>
        <w:t xml:space="preserve">FR-SIS-002:</w:t>
      </w:r>
      <w:r>
        <w:t xml:space="preserve"> </w:t>
      </w:r>
      <w:r>
        <w:t xml:space="preserve">Timeline showing every term/year from intake, class transitions, report cards, achievements and transfer events; never overwrite earlier gradebooks or curricular scales.</w:t>
      </w:r>
    </w:p>
    <w:p>
      <w:pPr>
        <w:pStyle w:val="Compact"/>
        <w:numPr>
          <w:ilvl w:val="0"/>
          <w:numId w:val="1004"/>
        </w:numPr>
      </w:pPr>
      <w:r>
        <w:rPr>
          <w:b/>
          <w:bCs/>
        </w:rPr>
        <w:t xml:space="preserve">FR-SIS-003:</w:t>
      </w:r>
      <w:r>
        <w:t xml:space="preserve"> </w:t>
      </w:r>
      <w:r>
        <w:t xml:space="preserve">Family account with one guardian managing multiple linked children; support blended families and custody/contact restrictions independently of billing relationships.</w:t>
      </w:r>
    </w:p>
    <w:p>
      <w:pPr>
        <w:pStyle w:val="Compact"/>
        <w:numPr>
          <w:ilvl w:val="0"/>
          <w:numId w:val="1004"/>
        </w:numPr>
      </w:pPr>
      <w:r>
        <w:rPr>
          <w:b/>
          <w:bCs/>
        </w:rPr>
        <w:t xml:space="preserve">FR-SIS-004:</w:t>
      </w:r>
      <w:r>
        <w:t xml:space="preserve"> </w:t>
      </w:r>
      <w:r>
        <w:t xml:space="preserve">Health, allergies, disabilities and learning-support fields only when strictly necessary and appropriately restricted; emergency access logged and justified.</w:t>
      </w:r>
    </w:p>
    <w:p>
      <w:pPr>
        <w:pStyle w:val="Compact"/>
        <w:numPr>
          <w:ilvl w:val="0"/>
          <w:numId w:val="1004"/>
        </w:numPr>
      </w:pPr>
      <w:r>
        <w:rPr>
          <w:b/>
          <w:bCs/>
        </w:rPr>
        <w:t xml:space="preserve">FR-SIS-005:</w:t>
      </w:r>
      <w:r>
        <w:t xml:space="preserve"> </w:t>
      </w:r>
      <w:r>
        <w:t xml:space="preserve">Structured discipline/incident and safeguarding modules with protected access; never put sensitive incidents on normal report cards or billing exports.</w:t>
      </w:r>
    </w:p>
    <w:p>
      <w:pPr>
        <w:pStyle w:val="Compact"/>
        <w:numPr>
          <w:ilvl w:val="0"/>
          <w:numId w:val="1004"/>
        </w:numPr>
      </w:pPr>
      <w:r>
        <w:rPr>
          <w:b/>
          <w:bCs/>
        </w:rPr>
        <w:t xml:space="preserve">FR-SIS-006:</w:t>
      </w:r>
      <w:r>
        <w:t xml:space="preserve"> </w:t>
      </w:r>
      <w:r>
        <w:t xml:space="preserve">Class counts, vacancies, student lifecycle status and archive/retention scheduling.</w:t>
      </w:r>
    </w:p>
    <w:bookmarkEnd w:id="30"/>
    <w:bookmarkStart w:id="31" w:name="X565cb15f472c714d04f16e0afdc1da432368728"/>
    <w:p>
      <w:pPr>
        <w:pStyle w:val="Heading3"/>
        <w:keepNext/>
      </w:pPr>
      <w:r>
        <w:t xml:space="preserve">5.4 Attendance, leave and learner welfare — CORE (P0)</w:t>
      </w:r>
    </w:p>
    <w:p>
      <w:pPr>
        <w:pStyle w:val="Compact"/>
        <w:numPr>
          <w:ilvl w:val="0"/>
          <w:numId w:val="1005"/>
        </w:numPr>
      </w:pPr>
      <w:r>
        <w:rPr>
          <w:b/>
          <w:bCs/>
        </w:rPr>
        <w:t xml:space="preserve">FR-ATT-001:</w:t>
      </w:r>
      <w:r>
        <w:t xml:space="preserve"> </w:t>
      </w:r>
      <w:r>
        <w:t xml:space="preserve">Daily attendance by class; optionally period/subject/session attendance for higher grades; present, late, absent, excused and custom statuses.</w:t>
      </w:r>
    </w:p>
    <w:p>
      <w:pPr>
        <w:pStyle w:val="Compact"/>
        <w:numPr>
          <w:ilvl w:val="0"/>
          <w:numId w:val="1005"/>
        </w:numPr>
      </w:pPr>
      <w:r>
        <w:rPr>
          <w:b/>
          <w:bCs/>
        </w:rPr>
        <w:t xml:space="preserve">FR-ATT-002:</w:t>
      </w:r>
      <w:r>
        <w:t xml:space="preserve"> </w:t>
      </w:r>
      <w:r>
        <w:t xml:space="preserve">Offline-capable attendance capture on an authorised device with encrypted local queue, conflict handling and explicit sync status.</w:t>
      </w:r>
    </w:p>
    <w:p>
      <w:pPr>
        <w:pStyle w:val="Compact"/>
        <w:numPr>
          <w:ilvl w:val="0"/>
          <w:numId w:val="1005"/>
        </w:numPr>
      </w:pPr>
      <w:r>
        <w:rPr>
          <w:b/>
          <w:bCs/>
        </w:rPr>
        <w:t xml:space="preserve">FR-ATT-003:</w:t>
      </w:r>
      <w:r>
        <w:t xml:space="preserve"> </w:t>
      </w:r>
      <w:r>
        <w:t xml:space="preserve">Guardian-submitted absence explanation, staff approval, absence follow-up workflows, escalating alerts and attendance trends.</w:t>
      </w:r>
    </w:p>
    <w:p>
      <w:pPr>
        <w:pStyle w:val="Compact"/>
        <w:numPr>
          <w:ilvl w:val="0"/>
          <w:numId w:val="1005"/>
        </w:numPr>
      </w:pPr>
      <w:r>
        <w:rPr>
          <w:b/>
          <w:bCs/>
        </w:rPr>
        <w:t xml:space="preserve">FR-ATT-004:</w:t>
      </w:r>
      <w:r>
        <w:t xml:space="preserve"> </w:t>
      </w:r>
      <w:r>
        <w:t xml:space="preserve">School-wide absent/late dashboards, chronic absence flags using school-set thresholds and term statistics; no unsupervised punitive decisions.</w:t>
      </w:r>
    </w:p>
    <w:p>
      <w:pPr>
        <w:pStyle w:val="Compact"/>
        <w:numPr>
          <w:ilvl w:val="0"/>
          <w:numId w:val="1005"/>
        </w:numPr>
      </w:pPr>
      <w:r>
        <w:rPr>
          <w:b/>
          <w:bCs/>
        </w:rPr>
        <w:t xml:space="preserve">FR-ATT-005:</w:t>
      </w:r>
      <w:r>
        <w:t xml:space="preserve"> </w:t>
      </w:r>
      <w:r>
        <w:t xml:space="preserve">Emergency roll-call export and controlled access for designated safeguarding staff.</w:t>
      </w:r>
    </w:p>
    <w:bookmarkEnd w:id="31"/>
    <w:bookmarkStart w:id="32" w:name="academic-management-and-results-core-p0"/>
    <w:p>
      <w:pPr>
        <w:pStyle w:val="Heading3"/>
        <w:keepNext/>
      </w:pPr>
      <w:r>
        <w:t xml:space="preserve">5.5 Academic management and results — CORE (P0)</w:t>
      </w:r>
    </w:p>
    <w:p>
      <w:pPr>
        <w:pStyle w:val="Compact"/>
        <w:numPr>
          <w:ilvl w:val="0"/>
          <w:numId w:val="1006"/>
        </w:numPr>
      </w:pPr>
      <w:r>
        <w:rPr>
          <w:b/>
          <w:bCs/>
        </w:rPr>
        <w:t xml:space="preserve">FR-ACA-001:</w:t>
      </w:r>
      <w:r>
        <w:t xml:space="preserve"> </w:t>
      </w:r>
      <w:r>
        <w:t xml:space="preserve">Manage classes, streams, subjects, teacher allocation, terms, assessment calendars and weight-based assessment components.</w:t>
      </w:r>
    </w:p>
    <w:p>
      <w:pPr>
        <w:pStyle w:val="Compact"/>
        <w:numPr>
          <w:ilvl w:val="0"/>
          <w:numId w:val="1006"/>
        </w:numPr>
      </w:pPr>
      <w:r>
        <w:rPr>
          <w:b/>
          <w:bCs/>
        </w:rPr>
        <w:t xml:space="preserve">FR-ACA-002:</w:t>
      </w:r>
      <w:r>
        <w:t xml:space="preserve"> </w:t>
      </w:r>
      <w:r>
        <w:t xml:space="preserve">Enable numeric marks, letter grades, competencies, narrative observations and ECE developmental milestone/rubric evaluations. One school may use different schemes across levels.</w:t>
      </w:r>
    </w:p>
    <w:p>
      <w:pPr>
        <w:pStyle w:val="Compact"/>
        <w:numPr>
          <w:ilvl w:val="0"/>
          <w:numId w:val="1006"/>
        </w:numPr>
      </w:pPr>
      <w:r>
        <w:rPr>
          <w:b/>
          <w:bCs/>
        </w:rPr>
        <w:t xml:space="preserve">FR-ACA-003:</w:t>
      </w:r>
      <w:r>
        <w:t xml:space="preserve"> </w:t>
      </w:r>
      <w:r>
        <w:t xml:space="preserve">Teacher enters marks or structured progress observations; validations check weight totals, allowed ranges, missing assessments and enrolment status.</w:t>
      </w:r>
    </w:p>
    <w:p>
      <w:pPr>
        <w:pStyle w:val="Compact"/>
        <w:numPr>
          <w:ilvl w:val="0"/>
          <w:numId w:val="1006"/>
        </w:numPr>
      </w:pPr>
      <w:r>
        <w:rPr>
          <w:b/>
          <w:bCs/>
        </w:rPr>
        <w:t xml:space="preserve">FR-ACA-004:</w:t>
      </w:r>
      <w:r>
        <w:t xml:space="preserve"> </w:t>
      </w:r>
      <w:r>
        <w:t xml:space="preserve">Mark workflow:</w:t>
      </w:r>
      <w:r>
        <w:t xml:space="preserve"> </w:t>
      </w:r>
      <w:r>
        <w:rPr>
          <w:b/>
          <w:bCs/>
        </w:rPr>
        <w:t xml:space="preserve">draft → submitted → moderated → approved → published → archived</w:t>
      </w:r>
      <w:r>
        <w:t xml:space="preserve">; reopening after publication requires permission, reason and versioned correction audit.</w:t>
      </w:r>
    </w:p>
    <w:p>
      <w:pPr>
        <w:pStyle w:val="Compact"/>
        <w:numPr>
          <w:ilvl w:val="0"/>
          <w:numId w:val="1006"/>
        </w:numPr>
      </w:pPr>
      <w:r>
        <w:rPr>
          <w:b/>
          <w:bCs/>
        </w:rPr>
        <w:t xml:space="preserve">FR-ACA-005:</w:t>
      </w:r>
      <w:r>
        <w:t xml:space="preserve"> </w:t>
      </w:r>
      <w:r>
        <w:t xml:space="preserve">Configurable class averages, median, rank only when expressly enabled and educationally appropriate, growth/trend charts, subject mastery, progress against individual baseline and intervention notes.</w:t>
      </w:r>
    </w:p>
    <w:p>
      <w:pPr>
        <w:pStyle w:val="Compact"/>
        <w:numPr>
          <w:ilvl w:val="0"/>
          <w:numId w:val="1006"/>
        </w:numPr>
      </w:pPr>
      <w:r>
        <w:rPr>
          <w:b/>
          <w:bCs/>
        </w:rPr>
        <w:t xml:space="preserve">FR-ACA-006:</w:t>
      </w:r>
      <w:r>
        <w:t xml:space="preserve"> </w:t>
      </w:r>
      <w:r>
        <w:t xml:space="preserve">Printable/downloadable report cards with signature, school stamp area, teacher comments, head approval, date, authenticity/QR verification option and portal publication controls.</w:t>
      </w:r>
    </w:p>
    <w:p>
      <w:pPr>
        <w:pStyle w:val="Compact"/>
        <w:numPr>
          <w:ilvl w:val="0"/>
          <w:numId w:val="1006"/>
        </w:numPr>
      </w:pPr>
      <w:r>
        <w:rPr>
          <w:b/>
          <w:bCs/>
        </w:rPr>
        <w:t xml:space="preserve">FR-ACA-007:</w:t>
      </w:r>
      <w:r>
        <w:t xml:space="preserve"> </w:t>
      </w:r>
      <w:r>
        <w:t xml:space="preserve">Historical reports remain tied to the grading scale and curriculum in force at assessment time; side-by-side comparisons explicitly normalise or disclose non-comparability.</w:t>
      </w:r>
    </w:p>
    <w:p>
      <w:pPr>
        <w:pStyle w:val="Compact"/>
        <w:numPr>
          <w:ilvl w:val="0"/>
          <w:numId w:val="1006"/>
        </w:numPr>
      </w:pPr>
      <w:r>
        <w:rPr>
          <w:b/>
          <w:bCs/>
        </w:rPr>
        <w:t xml:space="preserve">FR-ACA-008:</w:t>
      </w:r>
      <w:r>
        <w:t xml:space="preserve"> </w:t>
      </w:r>
      <w:r>
        <w:t xml:space="preserve">Internal examinations and mocks; approved fields for ECZ candidate numbers/results can be stored, but</w:t>
      </w:r>
      <w:r>
        <w:t xml:space="preserve"> </w:t>
      </w:r>
      <w:r>
        <w:rPr>
          <w:b/>
          <w:bCs/>
        </w:rPr>
        <w:t xml:space="preserve">no assumption of an official ECZ API, automatic results retrieval or accreditation</w:t>
      </w:r>
      <w:r>
        <w:t xml:space="preserve">.</w:t>
      </w:r>
    </w:p>
    <w:p>
      <w:pPr>
        <w:pStyle w:val="Compact"/>
        <w:numPr>
          <w:ilvl w:val="0"/>
          <w:numId w:val="1006"/>
        </w:numPr>
      </w:pPr>
      <w:r>
        <w:rPr>
          <w:b/>
          <w:bCs/>
        </w:rPr>
        <w:t xml:space="preserve">FR-ACA-009:</w:t>
      </w:r>
      <w:r>
        <w:t xml:space="preserve"> </w:t>
      </w:r>
      <w:r>
        <w:t xml:space="preserve">Promotion/retention workflow with academic committee approval, exceptions and appeal notes, never automatically based solely on a score.</w:t>
      </w:r>
    </w:p>
    <w:p>
      <w:pPr>
        <w:pStyle w:val="Compact"/>
        <w:numPr>
          <w:ilvl w:val="0"/>
          <w:numId w:val="1006"/>
        </w:numPr>
      </w:pPr>
      <w:r>
        <w:rPr>
          <w:b/>
          <w:bCs/>
        </w:rPr>
        <w:t xml:space="preserve">FR-ACA-010:</w:t>
      </w:r>
      <w:r>
        <w:t xml:space="preserve"> </w:t>
      </w:r>
      <w:r>
        <w:t xml:space="preserve">Teacher course coverage and learning outcomes, remediation groups and enrichment plans.</w:t>
      </w:r>
    </w:p>
    <w:bookmarkEnd w:id="32"/>
    <w:bookmarkStart w:id="33" w:name="X70ddb13ae73bf36ffe70263c163aca75986d1b3"/>
    <w:p>
      <w:pPr>
        <w:pStyle w:val="Heading3"/>
        <w:keepNext/>
      </w:pPr>
      <w:r>
        <w:t xml:space="preserve">5.6 Fee management, billing and collections — CORE BILLING (P0)</w:t>
      </w:r>
    </w:p>
    <w:p>
      <w:pPr>
        <w:pStyle w:val="Compact"/>
        <w:numPr>
          <w:ilvl w:val="0"/>
          <w:numId w:val="1007"/>
        </w:numPr>
      </w:pPr>
      <w:r>
        <w:rPr>
          <w:b/>
          <w:bCs/>
        </w:rPr>
        <w:t xml:space="preserve">FR-FEE-001:</w:t>
      </w:r>
      <w:r>
        <w:t xml:space="preserve"> </w:t>
      </w:r>
      <w:r>
        <w:t xml:space="preserve">Configure tuition, application, registration, transport, meals, boarding, exams, uniforms and optional levies by campus/year/class/student category; transparent fee catalog and effective dates.</w:t>
      </w:r>
    </w:p>
    <w:p>
      <w:pPr>
        <w:pStyle w:val="Compact"/>
        <w:numPr>
          <w:ilvl w:val="0"/>
          <w:numId w:val="1007"/>
        </w:numPr>
      </w:pPr>
      <w:r>
        <w:rPr>
          <w:b/>
          <w:bCs/>
        </w:rPr>
        <w:t xml:space="preserve">FR-FEE-002:</w:t>
      </w:r>
      <w:r>
        <w:t xml:space="preserve"> </w:t>
      </w:r>
      <w:r>
        <w:t xml:space="preserve">Generate family- or student-level fee invoices and statements by term, month, instalment or agreed payment plan; prohibit duplicate scheduled invoicing via idempotency key.</w:t>
      </w:r>
    </w:p>
    <w:p>
      <w:pPr>
        <w:pStyle w:val="Compact"/>
        <w:numPr>
          <w:ilvl w:val="0"/>
          <w:numId w:val="1007"/>
        </w:numPr>
      </w:pPr>
      <w:r>
        <w:rPr>
          <w:b/>
          <w:bCs/>
        </w:rPr>
        <w:t xml:space="preserve">FR-FEE-003:</w:t>
      </w:r>
      <w:r>
        <w:t xml:space="preserve"> </w:t>
      </w:r>
      <w:r>
        <w:t xml:space="preserve">Record discounts, scholarships, staff concessions, sibling concessions, opening balances, waivers and approved write-offs with reason and authorisation.</w:t>
      </w:r>
    </w:p>
    <w:p>
      <w:pPr>
        <w:pStyle w:val="Compact"/>
        <w:numPr>
          <w:ilvl w:val="0"/>
          <w:numId w:val="1007"/>
        </w:numPr>
      </w:pPr>
      <w:r>
        <w:rPr>
          <w:b/>
          <w:bCs/>
        </w:rPr>
        <w:t xml:space="preserve">FR-FEE-004:</w:t>
      </w:r>
      <w:r>
        <w:t xml:space="preserve"> </w:t>
      </w:r>
      <w:r>
        <w:t xml:space="preserve">Record cash, bank deposit, transfer, cheque and externally received mobile-money payments, with bank reference, payer, date, amount, currency and evidence; issue numbered receipts after confirmation.</w:t>
      </w:r>
    </w:p>
    <w:p>
      <w:pPr>
        <w:pStyle w:val="Compact"/>
        <w:numPr>
          <w:ilvl w:val="0"/>
          <w:numId w:val="1007"/>
        </w:numPr>
      </w:pPr>
      <w:r>
        <w:rPr>
          <w:b/>
          <w:bCs/>
        </w:rPr>
        <w:t xml:space="preserve">FR-FEE-005:</w:t>
      </w:r>
      <w:r>
        <w:t xml:space="preserve"> </w:t>
      </w:r>
      <w:r>
        <w:t xml:space="preserve">Support partial payments, prepayments, credit balances, overpayments, unallocated receipts, reallocations, refunds, reversals, disputes and arrears schedules.</w:t>
      </w:r>
    </w:p>
    <w:p>
      <w:pPr>
        <w:pStyle w:val="Compact"/>
        <w:numPr>
          <w:ilvl w:val="0"/>
          <w:numId w:val="1007"/>
        </w:numPr>
      </w:pPr>
      <w:r>
        <w:rPr>
          <w:b/>
          <w:bCs/>
        </w:rPr>
        <w:t xml:space="preserve">FR-FEE-006:</w:t>
      </w:r>
      <w:r>
        <w:t xml:space="preserve"> </w:t>
      </w:r>
      <w:r>
        <w:t xml:space="preserve">Maintain</w:t>
      </w:r>
      <w:r>
        <w:t xml:space="preserve"> </w:t>
      </w:r>
      <w:r>
        <w:rPr>
          <w:b/>
          <w:bCs/>
        </w:rPr>
        <w:t xml:space="preserve">append-only financial posting journal</w:t>
      </w:r>
      <w:r>
        <w:t xml:space="preserve"> </w:t>
      </w:r>
      <w:r>
        <w:t xml:space="preserve">for posted charges/receipts/adjustments with correcting entries instead of deleting paid records; reconciliation distinguishes provider success from settlement to school bank account.</w:t>
      </w:r>
    </w:p>
    <w:p>
      <w:pPr>
        <w:pStyle w:val="Compact"/>
        <w:numPr>
          <w:ilvl w:val="0"/>
          <w:numId w:val="1007"/>
        </w:numPr>
      </w:pPr>
      <w:r>
        <w:rPr>
          <w:b/>
          <w:bCs/>
        </w:rPr>
        <w:t xml:space="preserve">FR-FEE-007:</w:t>
      </w:r>
      <w:r>
        <w:t xml:space="preserve"> </w:t>
      </w:r>
      <w:r>
        <w:t xml:space="preserve">Daily cashbook, fee-collection trends, outstanding balances, ageing, debtor lists, projected collections, programme/campus comparisons and end-of-day close reports.</w:t>
      </w:r>
    </w:p>
    <w:p>
      <w:pPr>
        <w:pStyle w:val="Compact"/>
        <w:numPr>
          <w:ilvl w:val="0"/>
          <w:numId w:val="1007"/>
        </w:numPr>
      </w:pPr>
      <w:r>
        <w:rPr>
          <w:b/>
          <w:bCs/>
        </w:rPr>
        <w:t xml:space="preserve">FR-FEE-008:</w:t>
      </w:r>
      <w:r>
        <w:t xml:space="preserve"> </w:t>
      </w:r>
      <w:r>
        <w:t xml:space="preserve">Configurable sensitive fee reminder policy; never expose another family’s balance or punish a child through a default portal decision.</w:t>
      </w:r>
    </w:p>
    <w:p>
      <w:pPr>
        <w:pStyle w:val="Compact"/>
        <w:numPr>
          <w:ilvl w:val="0"/>
          <w:numId w:val="1007"/>
        </w:numPr>
      </w:pPr>
      <w:r>
        <w:rPr>
          <w:b/>
          <w:bCs/>
        </w:rPr>
        <w:t xml:space="preserve">FR-FEE-009:</w:t>
      </w:r>
      <w:r>
        <w:t xml:space="preserve"> </w:t>
      </w:r>
      <w:r>
        <w:t xml:space="preserve">Tax treatments, fiscal-invoice statuses and school-accounting exports are configurable. ZRA Smart Invoice connection shall only be enabled through an applicable certified/approved integration and after confirming school-specific tax obligations (ZRA, n.d.).</w:t>
      </w:r>
    </w:p>
    <w:bookmarkEnd w:id="33"/>
    <w:bookmarkStart w:id="34" w:name="Xa5b89b5788989d80cf7c0d505aee414bd48cfe5"/>
    <w:p>
      <w:pPr>
        <w:pStyle w:val="Heading3"/>
        <w:keepNext/>
      </w:pPr>
      <w:r>
        <w:t xml:space="preserve">5.7 Online payments and gateway reconciliation — OPTIONAL PAYMENTS ADD-ON (P1)</w:t>
      </w:r>
    </w:p>
    <w:p>
      <w:pPr>
        <w:pStyle w:val="Compact"/>
        <w:numPr>
          <w:ilvl w:val="0"/>
          <w:numId w:val="1008"/>
        </w:numPr>
      </w:pPr>
      <w:r>
        <w:rPr>
          <w:b/>
          <w:bCs/>
        </w:rPr>
        <w:t xml:space="preserve">FR-PAY-001:</w:t>
      </w:r>
      <w:r>
        <w:t xml:space="preserve"> </w:t>
      </w:r>
      <w:r>
        <w:t xml:space="preserve">Offer MTN Money, Airtel Money, bank/card and/or approved aggregator flows as supported by the selected</w:t>
      </w:r>
      <w:r>
        <w:t xml:space="preserve"> </w:t>
      </w:r>
      <w:r>
        <w:rPr>
          <w:b/>
          <w:bCs/>
        </w:rPr>
        <w:t xml:space="preserve">authorised</w:t>
      </w:r>
      <w:r>
        <w:t xml:space="preserve"> </w:t>
      </w:r>
      <w:r>
        <w:t xml:space="preserve">provider, with school-specific merchant credentials and published transaction fees.</w:t>
      </w:r>
    </w:p>
    <w:p>
      <w:pPr>
        <w:pStyle w:val="Compact"/>
        <w:numPr>
          <w:ilvl w:val="0"/>
          <w:numId w:val="1008"/>
        </w:numPr>
      </w:pPr>
      <w:r>
        <w:rPr>
          <w:b/>
          <w:bCs/>
        </w:rPr>
        <w:t xml:space="preserve">FR-PAY-002:</w:t>
      </w:r>
      <w:r>
        <w:t xml:space="preserve"> </w:t>
      </w:r>
      <w:r>
        <w:t xml:space="preserve">Parent sees itemised amount, payer identity and provider charge before confirming; redirect/hosted checkout or secured payment initiation; no direct storage of card PAN/PIN/OTP.</w:t>
      </w:r>
    </w:p>
    <w:p>
      <w:pPr>
        <w:pStyle w:val="Compact"/>
        <w:numPr>
          <w:ilvl w:val="0"/>
          <w:numId w:val="1008"/>
        </w:numPr>
      </w:pPr>
      <w:r>
        <w:rPr>
          <w:b/>
          <w:bCs/>
        </w:rPr>
        <w:t xml:space="preserve">FR-PAY-003:</w:t>
      </w:r>
      <w:r>
        <w:t xml:space="preserve"> </w:t>
      </w:r>
      <w:r>
        <w:t xml:space="preserve">Verify signed provider webhook/callback, transaction identifiers, amount/currency and merchant; implement retry, deduplication, pending/failed/expired/confirmed states.</w:t>
      </w:r>
    </w:p>
    <w:p>
      <w:pPr>
        <w:pStyle w:val="Compact"/>
        <w:numPr>
          <w:ilvl w:val="0"/>
          <w:numId w:val="1008"/>
        </w:numPr>
      </w:pPr>
      <w:r>
        <w:rPr>
          <w:b/>
          <w:bCs/>
        </w:rPr>
        <w:t xml:space="preserve">FR-PAY-004:</w:t>
      </w:r>
      <w:r>
        <w:t xml:space="preserve"> </w:t>
      </w:r>
      <w:r>
        <w:t xml:space="preserve">Post school receipt once after verified successful capture; reconcile gateway transaction to bank/merchant settlement report, handle fees, chargebacks, partial settlement and refund status.</w:t>
      </w:r>
    </w:p>
    <w:p>
      <w:pPr>
        <w:pStyle w:val="Compact"/>
        <w:numPr>
          <w:ilvl w:val="0"/>
          <w:numId w:val="1008"/>
        </w:numPr>
      </w:pPr>
      <w:r>
        <w:rPr>
          <w:b/>
          <w:bCs/>
        </w:rPr>
        <w:t xml:space="preserve">FR-PAY-005:</w:t>
      </w:r>
      <w:r>
        <w:t xml:space="preserve"> </w:t>
      </w:r>
      <w:r>
        <w:t xml:space="preserve">Payments must settle</w:t>
      </w:r>
      <w:r>
        <w:t xml:space="preserve"> </w:t>
      </w:r>
      <w:r>
        <w:rPr>
          <w:b/>
          <w:bCs/>
        </w:rPr>
        <w:t xml:space="preserve">directly to the school’s designated merchant/bank account</w:t>
      </w:r>
      <w:r>
        <w:t xml:space="preserve"> </w:t>
      </w:r>
      <w:r>
        <w:t xml:space="preserve">where the provider permits. Platform supplier shall not hold client funds or operate as a payment service provider without all necessary authorisations.</w:t>
      </w:r>
    </w:p>
    <w:p>
      <w:pPr>
        <w:pStyle w:val="Compact"/>
        <w:numPr>
          <w:ilvl w:val="0"/>
          <w:numId w:val="1008"/>
        </w:numPr>
      </w:pPr>
      <w:r>
        <w:rPr>
          <w:b/>
          <w:bCs/>
        </w:rPr>
        <w:t xml:space="preserve">FR-PAY-006:</w:t>
      </w:r>
      <w:r>
        <w:t xml:space="preserve"> </w:t>
      </w:r>
      <w:r>
        <w:t xml:space="preserve">Offer manual payment recording even when gateway access is unavailable; optional payment reminders via SMS/WhatsApp with approved providers and lawful message templates.</w:t>
      </w:r>
    </w:p>
    <w:p>
      <w:pPr>
        <w:pStyle w:val="FirstParagraph"/>
      </w:pPr>
      <w:r>
        <w:t xml:space="preserve">The Bank of Zambia regulates payment service providers. The National Payment System Act, 2026 had been enacted but had</w:t>
      </w:r>
      <w:r>
        <w:t xml:space="preserve"> </w:t>
      </w:r>
      <w:r>
        <w:rPr>
          <w:b/>
          <w:bCs/>
        </w:rPr>
        <w:t xml:space="preserve">not commenced</w:t>
      </w:r>
      <w:r>
        <w:t xml:space="preserve"> </w:t>
      </w:r>
      <w:r>
        <w:t xml:space="preserve">in the legislative source checked on 16 October 2026; the operative legal framework and provider permissions must be reconfirmed before go-live (Bank of Zambia, n.d.; Republic of Zambia, 2026c).</w:t>
      </w:r>
    </w:p>
    <w:bookmarkEnd w:id="34"/>
    <w:bookmarkStart w:id="35" w:name="parent-and-guardian-portal-core-p0"/>
    <w:p>
      <w:pPr>
        <w:pStyle w:val="Heading3"/>
        <w:keepNext/>
      </w:pPr>
      <w:r>
        <w:t xml:space="preserve">5.8 Parent and guardian portal — CORE (P0)</w:t>
      </w:r>
    </w:p>
    <w:p>
      <w:pPr>
        <w:pStyle w:val="Compact"/>
        <w:numPr>
          <w:ilvl w:val="0"/>
          <w:numId w:val="1009"/>
        </w:numPr>
      </w:pPr>
      <w:r>
        <w:rPr>
          <w:b/>
          <w:bCs/>
        </w:rPr>
        <w:t xml:space="preserve">FR-PAR-001:</w:t>
      </w:r>
      <w:r>
        <w:t xml:space="preserve"> </w:t>
      </w:r>
      <w:r>
        <w:t xml:space="preserve">Mobile-first responsive portal accessible using a verified phone/email and MFA/OTP where risk warrants; one account may switch among</w:t>
      </w:r>
      <w:r>
        <w:t xml:space="preserve"> </w:t>
      </w:r>
      <w:r>
        <w:rPr>
          <w:b/>
          <w:bCs/>
        </w:rPr>
        <w:t xml:space="preserve">authorised</w:t>
      </w:r>
      <w:r>
        <w:t xml:space="preserve"> </w:t>
      </w:r>
      <w:r>
        <w:t xml:space="preserve">children and schools.</w:t>
      </w:r>
    </w:p>
    <w:p>
      <w:pPr>
        <w:pStyle w:val="Compact"/>
        <w:numPr>
          <w:ilvl w:val="0"/>
          <w:numId w:val="1009"/>
        </w:numPr>
      </w:pPr>
      <w:r>
        <w:rPr>
          <w:b/>
          <w:bCs/>
        </w:rPr>
        <w:t xml:space="preserve">FR-PAR-002:</w:t>
      </w:r>
      <w:r>
        <w:t xml:space="preserve"> </w:t>
      </w:r>
      <w:r>
        <w:t xml:space="preserve">View child profile, attendance, published term reports, learning trend, teacher comments, school calendar, announcements, homework (when subscribed) and fee statement.</w:t>
      </w:r>
    </w:p>
    <w:p>
      <w:pPr>
        <w:pStyle w:val="Compact"/>
        <w:numPr>
          <w:ilvl w:val="0"/>
          <w:numId w:val="1009"/>
        </w:numPr>
      </w:pPr>
      <w:r>
        <w:rPr>
          <w:b/>
          <w:bCs/>
        </w:rPr>
        <w:t xml:space="preserve">FR-PAR-003:</w:t>
      </w:r>
      <w:r>
        <w:t xml:space="preserve"> </w:t>
      </w:r>
      <w:r>
        <w:t xml:space="preserve">Download published report cards/receipts, submit absence reasons, update permitted contact fields, lodge queries and follow school policies for corrections.</w:t>
      </w:r>
    </w:p>
    <w:p>
      <w:pPr>
        <w:pStyle w:val="Compact"/>
        <w:numPr>
          <w:ilvl w:val="0"/>
          <w:numId w:val="1009"/>
        </w:numPr>
      </w:pPr>
      <w:r>
        <w:rPr>
          <w:b/>
          <w:bCs/>
        </w:rPr>
        <w:t xml:space="preserve">FR-PAR-004:</w:t>
      </w:r>
      <w:r>
        <w:t xml:space="preserve"> </w:t>
      </w:r>
      <w:r>
        <w:t xml:space="preserve">Initiate approved online payments when module is active; otherwise see manual payment instructions and post-payment confirmation status.</w:t>
      </w:r>
    </w:p>
    <w:p>
      <w:pPr>
        <w:pStyle w:val="Compact"/>
        <w:numPr>
          <w:ilvl w:val="0"/>
          <w:numId w:val="1009"/>
        </w:numPr>
      </w:pPr>
      <w:r>
        <w:rPr>
          <w:b/>
          <w:bCs/>
        </w:rPr>
        <w:t xml:space="preserve">FR-PAR-005:</w:t>
      </w:r>
      <w:r>
        <w:t xml:space="preserve"> </w:t>
      </w:r>
      <w:r>
        <w:t xml:space="preserve">Guardian access revocation following school-reviewed relationship changes immediately blocks access to child records; all such actions are auditable.</w:t>
      </w:r>
    </w:p>
    <w:p>
      <w:pPr>
        <w:pStyle w:val="Compact"/>
        <w:numPr>
          <w:ilvl w:val="0"/>
          <w:numId w:val="1009"/>
        </w:numPr>
      </w:pPr>
      <w:r>
        <w:rPr>
          <w:b/>
          <w:bCs/>
        </w:rPr>
        <w:t xml:space="preserve">FR-PAR-006:</w:t>
      </w:r>
      <w:r>
        <w:t xml:space="preserve"> </w:t>
      </w:r>
      <w:r>
        <w:t xml:space="preserve">Give parents transparent notice of privacy purposes, recipients and contact channel preferences; separate essential school notices from optional marketing consent.</w:t>
      </w:r>
    </w:p>
    <w:p>
      <w:pPr>
        <w:pStyle w:val="FirstParagraph"/>
      </w:pPr>
      <w:r>
        <w:rPr>
          <w:b/>
          <w:bCs/>
        </w:rPr>
        <w:t xml:space="preserve">Commercial rule:</w:t>
      </w:r>
      <w:r>
        <w:t xml:space="preserve"> </w:t>
      </w:r>
      <w:r>
        <w:t xml:space="preserve">Parent/guardian accounts are included in the school’s subscribed tier. Never charge parents separately for ordinary access to their child’s approved records.</w:t>
      </w:r>
    </w:p>
    <w:bookmarkEnd w:id="35"/>
    <w:bookmarkStart w:id="36" w:name="X915e38bc96123a3b9eb390960a8d7d9cbe906ae"/>
    <w:p>
      <w:pPr>
        <w:pStyle w:val="Heading3"/>
        <w:keepNext/>
      </w:pPr>
      <w:r>
        <w:t xml:space="preserve">5.9 Staff records, HR and payroll — HR ADD-ON (P1)</w:t>
      </w:r>
    </w:p>
    <w:p>
      <w:pPr>
        <w:pStyle w:val="Compact"/>
        <w:numPr>
          <w:ilvl w:val="0"/>
          <w:numId w:val="1010"/>
        </w:numPr>
      </w:pPr>
      <w:r>
        <w:rPr>
          <w:b/>
          <w:bCs/>
        </w:rPr>
        <w:t xml:space="preserve">FR-HR-001:</w:t>
      </w:r>
      <w:r>
        <w:t xml:space="preserve"> </w:t>
      </w:r>
      <w:r>
        <w:t xml:space="preserve">Staff personal profiles, employer/campus, assignments, qualifications, secure documents, contract dates, emergency contacts, employment status and reporting lines.</w:t>
      </w:r>
    </w:p>
    <w:p>
      <w:pPr>
        <w:pStyle w:val="Compact"/>
        <w:numPr>
          <w:ilvl w:val="0"/>
          <w:numId w:val="1010"/>
        </w:numPr>
      </w:pPr>
      <w:r>
        <w:rPr>
          <w:b/>
          <w:bCs/>
        </w:rPr>
        <w:t xml:space="preserve">FR-HR-002:</w:t>
      </w:r>
      <w:r>
        <w:t xml:space="preserve"> </w:t>
      </w:r>
      <w:r>
        <w:t xml:space="preserve">Track teacher registration details, Teaching Council of Zambia practising-certificate status and expiry; verification workflow/manual evidence upload.</w:t>
      </w:r>
      <w:r>
        <w:t xml:space="preserve"> </w:t>
      </w:r>
      <w:r>
        <w:rPr>
          <w:b/>
          <w:bCs/>
        </w:rPr>
        <w:t xml:space="preserve">Do not claim automatic official verification without an approved TCZ integration.</w:t>
      </w:r>
    </w:p>
    <w:p>
      <w:pPr>
        <w:pStyle w:val="Compact"/>
        <w:numPr>
          <w:ilvl w:val="0"/>
          <w:numId w:val="1010"/>
        </w:numPr>
      </w:pPr>
      <w:r>
        <w:rPr>
          <w:b/>
          <w:bCs/>
        </w:rPr>
        <w:t xml:space="preserve">FR-HR-003:</w:t>
      </w:r>
      <w:r>
        <w:t xml:space="preserve"> </w:t>
      </w:r>
      <w:r>
        <w:t xml:space="preserve">Recruitment, offer, induction, probation, contract renewal, appraisal, CPD, training, leave requests, substitutes and staff attendance.</w:t>
      </w:r>
    </w:p>
    <w:p>
      <w:pPr>
        <w:pStyle w:val="Compact"/>
        <w:numPr>
          <w:ilvl w:val="0"/>
          <w:numId w:val="1010"/>
        </w:numPr>
      </w:pPr>
      <w:r>
        <w:rPr>
          <w:b/>
          <w:bCs/>
        </w:rPr>
        <w:t xml:space="preserve">FR-HR-004:</w:t>
      </w:r>
      <w:r>
        <w:t xml:space="preserve"> </w:t>
      </w:r>
      <w:r>
        <w:t xml:space="preserve">Payroll module calculates agreed earnings/deductions and produces payslips, approval, salary payment file and payroll journal; tax and statutory contribution formulas shall be effective-dated, tested and updated by qualified local advisers before processing live payroll.</w:t>
      </w:r>
    </w:p>
    <w:p>
      <w:pPr>
        <w:pStyle w:val="Compact"/>
        <w:numPr>
          <w:ilvl w:val="0"/>
          <w:numId w:val="1010"/>
        </w:numPr>
      </w:pPr>
      <w:r>
        <w:rPr>
          <w:b/>
          <w:bCs/>
        </w:rPr>
        <w:t xml:space="preserve">FR-HR-005:</w:t>
      </w:r>
      <w:r>
        <w:t xml:space="preserve"> </w:t>
      </w:r>
      <w:r>
        <w:t xml:space="preserve">Confidentiality boundaries: bursar cannot see medical HR records; class teacher cannot see payroll; payroll administrator cannot inspect protected learner information without distinct role.</w:t>
      </w:r>
    </w:p>
    <w:p>
      <w:pPr>
        <w:pStyle w:val="Compact"/>
        <w:numPr>
          <w:ilvl w:val="0"/>
          <w:numId w:val="1010"/>
        </w:numPr>
      </w:pPr>
      <w:r>
        <w:rPr>
          <w:b/>
          <w:bCs/>
        </w:rPr>
        <w:t xml:space="preserve">FR-HR-006:</w:t>
      </w:r>
      <w:r>
        <w:t xml:space="preserve"> </w:t>
      </w:r>
      <w:r>
        <w:t xml:space="preserve">Configurable reporting fields relevant to PAYE, NAPSA, NHIMA and other applicable obligations; no claims of tax-authority or pension-system filing until integration is verified.</w:t>
      </w:r>
    </w:p>
    <w:p>
      <w:pPr>
        <w:pStyle w:val="FirstParagraph"/>
      </w:pPr>
      <w:r>
        <w:t xml:space="preserve">The Teaching Profession Act, 2026 commenced on 15 May 2026 and establishes relevant teacher registration/practising obligations (Republic of Zambia, 2026b).</w:t>
      </w:r>
    </w:p>
    <w:bookmarkEnd w:id="36"/>
    <w:bookmarkStart w:id="37" w:name="Xed705ef667e395e377dfcceb408a15e1095ad5d"/>
    <w:p>
      <w:pPr>
        <w:pStyle w:val="Heading3"/>
        <w:keepNext/>
      </w:pPr>
      <w:r>
        <w:t xml:space="preserve">5.10 Timetable, classes and school calendar — CORE BASIC / ADVANCED ADD-ON (P1)</w:t>
      </w:r>
    </w:p>
    <w:p>
      <w:pPr>
        <w:pStyle w:val="Compact"/>
        <w:numPr>
          <w:ilvl w:val="0"/>
          <w:numId w:val="1011"/>
        </w:numPr>
      </w:pPr>
      <w:r>
        <w:rPr>
          <w:b/>
          <w:bCs/>
        </w:rPr>
        <w:t xml:space="preserve">FR-TIM-001:</w:t>
      </w:r>
      <w:r>
        <w:t xml:space="preserve"> </w:t>
      </w:r>
      <w:r>
        <w:t xml:space="preserve">Manual class timetable, room/teacher allocation, term calendar, events, examinations, parent meetings and holidays.</w:t>
      </w:r>
    </w:p>
    <w:p>
      <w:pPr>
        <w:pStyle w:val="Compact"/>
        <w:numPr>
          <w:ilvl w:val="0"/>
          <w:numId w:val="1011"/>
        </w:numPr>
      </w:pPr>
      <w:r>
        <w:rPr>
          <w:b/>
          <w:bCs/>
        </w:rPr>
        <w:t xml:space="preserve">FR-TIM-002:</w:t>
      </w:r>
      <w:r>
        <w:t xml:space="preserve"> </w:t>
      </w:r>
      <w:r>
        <w:t xml:space="preserve">Advanced timetable conflict detection, automatic draft scheduling, teacher load rules, substitution and resource constraints as an optional tier.</w:t>
      </w:r>
    </w:p>
    <w:bookmarkEnd w:id="37"/>
    <w:bookmarkStart w:id="38" w:name="X005c6828248b75b35f8339dc14870f92ff745d4"/>
    <w:p>
      <w:pPr>
        <w:pStyle w:val="Heading3"/>
        <w:keepNext/>
      </w:pPr>
      <w:r>
        <w:t xml:space="preserve">5.11 Communication, engagement and CRM — CORE BASIC / ADD-ON (P1)</w:t>
      </w:r>
    </w:p>
    <w:p>
      <w:pPr>
        <w:pStyle w:val="Compact"/>
        <w:numPr>
          <w:ilvl w:val="0"/>
          <w:numId w:val="1012"/>
        </w:numPr>
      </w:pPr>
      <w:r>
        <w:rPr>
          <w:b/>
          <w:bCs/>
        </w:rPr>
        <w:t xml:space="preserve">FR-COM-001:</w:t>
      </w:r>
      <w:r>
        <w:t xml:space="preserve"> </w:t>
      </w:r>
      <w:r>
        <w:t xml:space="preserve">In-app announcements by campus/class/role; communication history and message approval.</w:t>
      </w:r>
    </w:p>
    <w:p>
      <w:pPr>
        <w:pStyle w:val="Compact"/>
        <w:numPr>
          <w:ilvl w:val="0"/>
          <w:numId w:val="1012"/>
        </w:numPr>
      </w:pPr>
      <w:r>
        <w:rPr>
          <w:b/>
          <w:bCs/>
        </w:rPr>
        <w:t xml:space="preserve">FR-COM-002:</w:t>
      </w:r>
      <w:r>
        <w:t xml:space="preserve"> </w:t>
      </w:r>
      <w:r>
        <w:t xml:space="preserve">Email/SMS/WhatsApp integration with opted-in or otherwise lawfully permitted channels; message quotas, transparent pass-through costs, no student mass exposure.</w:t>
      </w:r>
    </w:p>
    <w:p>
      <w:pPr>
        <w:pStyle w:val="Compact"/>
        <w:numPr>
          <w:ilvl w:val="0"/>
          <w:numId w:val="1012"/>
        </w:numPr>
      </w:pPr>
      <w:r>
        <w:rPr>
          <w:b/>
          <w:bCs/>
        </w:rPr>
        <w:t xml:space="preserve">FR-COM-003:</w:t>
      </w:r>
      <w:r>
        <w:t xml:space="preserve"> </w:t>
      </w:r>
      <w:r>
        <w:t xml:space="preserve">Two-way parent queries/tickets, read receipts where appropriate, escalation and service-level targets.</w:t>
      </w:r>
    </w:p>
    <w:p>
      <w:pPr>
        <w:pStyle w:val="Compact"/>
        <w:numPr>
          <w:ilvl w:val="0"/>
          <w:numId w:val="1012"/>
        </w:numPr>
      </w:pPr>
      <w:r>
        <w:rPr>
          <w:b/>
          <w:bCs/>
        </w:rPr>
        <w:t xml:space="preserve">FR-COM-004:</w:t>
      </w:r>
      <w:r>
        <w:t xml:space="preserve"> </w:t>
      </w:r>
      <w:r>
        <w:t xml:space="preserve">Campaigns for admissions, enrolment confirmation, event reminders and overdue accounts with opt-out/consent rules.</w:t>
      </w:r>
    </w:p>
    <w:bookmarkEnd w:id="38"/>
    <w:bookmarkStart w:id="39" w:name="Xc2394430db0a027ac0da27b883e46df1a55b484"/>
    <w:p>
      <w:pPr>
        <w:pStyle w:val="Heading3"/>
        <w:keepNext/>
      </w:pPr>
      <w:r>
        <w:t xml:space="preserve">5.12 Learning management and assignments — OPTIONAL LMS (P2)</w:t>
      </w:r>
    </w:p>
    <w:p>
      <w:pPr>
        <w:pStyle w:val="Compact"/>
        <w:numPr>
          <w:ilvl w:val="0"/>
          <w:numId w:val="1013"/>
        </w:numPr>
      </w:pPr>
      <w:r>
        <w:t xml:space="preserve">Homework, syllabi, lesson plans, uploaded resources, online quizzes, submission/feedback, moderated discussions and digital content library.</w:t>
      </w:r>
    </w:p>
    <w:p>
      <w:pPr>
        <w:pStyle w:val="Compact"/>
        <w:numPr>
          <w:ilvl w:val="0"/>
          <w:numId w:val="1013"/>
        </w:numPr>
      </w:pPr>
      <w:r>
        <w:t xml:space="preserve">Mobile-first, downloadable materials and teacher-controlled file sharing; avoid required video-heavy experiences in low-bandwidth settings.</w:t>
      </w:r>
    </w:p>
    <w:p>
      <w:pPr>
        <w:pStyle w:val="Compact"/>
        <w:numPr>
          <w:ilvl w:val="0"/>
          <w:numId w:val="1013"/>
        </w:numPr>
      </w:pPr>
      <w:r>
        <w:t xml:space="preserve">Optional Microsoft 365/Google Workspace integration through authorised APIs and contract review.</w:t>
      </w:r>
    </w:p>
    <w:bookmarkEnd w:id="39"/>
    <w:bookmarkStart w:id="40" w:name="X67b1cc3ca1d07de688aaf7c6c07c74ac770581b"/>
    <w:p>
      <w:pPr>
        <w:pStyle w:val="Heading3"/>
        <w:keepNext/>
      </w:pPr>
      <w:r>
        <w:t xml:space="preserve">5.13 Additional optional operations modules — P2</w:t>
      </w:r>
    </w:p>
    <w:tbl>
      <w:tblPr>
        <w:tblW w:type="pct" w:w="5000"/>
        <w:jc w:val="center"/>
        <w:tblLayout w:type="autofit"/>
        <w:tblLook w:firstRow="1" w:lastRow="0" w:firstColumn="0" w:lastColumn="0" w:noHBand="0" w:noVBand="0" w:val="0020"/>
      </w:tblPr>
      <w:tblGrid>
        <w:gridCol w:w="3960"/>
        <w:gridCol w:w="3960"/>
      </w:tblGrid>
      <w:tr>
        <w:trPr>
          <w:tblHeader w:val="on"/>
          <w:cantSplit/>
        </w:trPr>
        <w:tc>
          <w:tcPr>
            <w:vAlign w:val="center"/>
            <w:shd w:fill="0D5577"/>
          </w:tcPr>
          <w:p>
            <w:pPr>
              <w:pStyle w:val="Compact"/>
              <w:spacing w:after="40"/>
              <w:jc w:val="left"/>
            </w:pPr>
            <w:r>
              <w:rPr>
                <w:b/>
                <w:color w:val="FFFFFF"/>
                <w:sz w:val="16"/>
              </w:rPr>
              <w:t xml:space="preserve">Module</w:t>
            </w:r>
          </w:p>
        </w:tc>
        <w:tc>
          <w:tcPr>
            <w:vAlign w:val="center"/>
            <w:shd w:fill="0D5577"/>
          </w:tcPr>
          <w:p>
            <w:pPr>
              <w:pStyle w:val="Compact"/>
              <w:spacing w:after="40"/>
              <w:jc w:val="left"/>
            </w:pPr>
            <w:r>
              <w:rPr>
                <w:b/>
                <w:color w:val="FFFFFF"/>
                <w:sz w:val="16"/>
              </w:rPr>
              <w:t xml:space="preserve">Minimum functional outcomes</w:t>
            </w:r>
          </w:p>
        </w:tc>
      </w:tr>
      <w:tr>
        <w:trPr>
          <w:cantSplit/>
        </w:trPr>
        <w:tc>
          <w:tcPr>
            <w:vAlign w:val="center"/>
          </w:tcPr>
          <w:p>
            <w:pPr>
              <w:pStyle w:val="Compact"/>
              <w:spacing w:after="40"/>
              <w:jc w:val="left"/>
            </w:pPr>
            <w:r>
              <w:rPr>
                <w:sz w:val="16"/>
              </w:rPr>
              <w:t xml:space="preserve">Library</w:t>
            </w:r>
          </w:p>
        </w:tc>
        <w:tc>
          <w:tcPr>
            <w:vAlign w:val="center"/>
          </w:tcPr>
          <w:p>
            <w:pPr>
              <w:pStyle w:val="Compact"/>
              <w:spacing w:after="40"/>
              <w:jc w:val="left"/>
            </w:pPr>
            <w:r>
              <w:rPr>
                <w:sz w:val="16"/>
              </w:rPr>
              <w:t xml:space="preserve">Books/catalogue, barcode/QR, issue/return, fines policy, lost/damaged, audit stock</w:t>
            </w:r>
          </w:p>
        </w:tc>
      </w:tr>
      <w:tr>
        <w:trPr>
          <w:cantSplit/>
        </w:trPr>
        <w:tc>
          <w:tcPr>
            <w:vAlign w:val="center"/>
          </w:tcPr>
          <w:p>
            <w:pPr>
              <w:pStyle w:val="Compact"/>
              <w:spacing w:after="40"/>
              <w:jc w:val="left"/>
            </w:pPr>
            <w:r>
              <w:rPr>
                <w:sz w:val="16"/>
              </w:rPr>
              <w:t xml:space="preserve">Transport</w:t>
            </w:r>
          </w:p>
        </w:tc>
        <w:tc>
          <w:tcPr>
            <w:vAlign w:val="center"/>
          </w:tcPr>
          <w:p>
            <w:pPr>
              <w:pStyle w:val="Compact"/>
              <w:spacing w:after="40"/>
              <w:jc w:val="left"/>
            </w:pPr>
            <w:r>
              <w:rPr>
                <w:sz w:val="16"/>
              </w:rPr>
              <w:t xml:space="preserve">Routes, buses, driver/attendant qualifications, guardian-authorised pickup/drop-off, incident logs, transport fees; tracking opt-in only</w:t>
            </w:r>
          </w:p>
        </w:tc>
      </w:tr>
      <w:tr>
        <w:trPr>
          <w:cantSplit/>
        </w:trPr>
        <w:tc>
          <w:tcPr>
            <w:vAlign w:val="center"/>
          </w:tcPr>
          <w:p>
            <w:pPr>
              <w:pStyle w:val="Compact"/>
              <w:spacing w:after="40"/>
              <w:jc w:val="left"/>
            </w:pPr>
            <w:r>
              <w:rPr>
                <w:sz w:val="16"/>
              </w:rPr>
              <w:t xml:space="preserve">Boarding / meals</w:t>
            </w:r>
          </w:p>
        </w:tc>
        <w:tc>
          <w:tcPr>
            <w:vAlign w:val="center"/>
          </w:tcPr>
          <w:p>
            <w:pPr>
              <w:pStyle w:val="Compact"/>
              <w:spacing w:after="40"/>
              <w:jc w:val="left"/>
            </w:pPr>
            <w:r>
              <w:rPr>
                <w:sz w:val="16"/>
              </w:rPr>
              <w:t xml:space="preserve">Hostel/bed allocation, meal plan, dining charges, welfare check-in with strict staff roles</w:t>
            </w:r>
          </w:p>
        </w:tc>
      </w:tr>
      <w:tr>
        <w:trPr>
          <w:cantSplit/>
        </w:trPr>
        <w:tc>
          <w:tcPr>
            <w:vAlign w:val="center"/>
          </w:tcPr>
          <w:p>
            <w:pPr>
              <w:pStyle w:val="Compact"/>
              <w:spacing w:after="40"/>
              <w:jc w:val="left"/>
            </w:pPr>
            <w:r>
              <w:rPr>
                <w:sz w:val="16"/>
              </w:rPr>
              <w:t xml:space="preserve">Inventory / procurement / assets</w:t>
            </w:r>
          </w:p>
        </w:tc>
        <w:tc>
          <w:tcPr>
            <w:vAlign w:val="center"/>
          </w:tcPr>
          <w:p>
            <w:pPr>
              <w:pStyle w:val="Compact"/>
              <w:spacing w:after="40"/>
              <w:jc w:val="left"/>
            </w:pPr>
            <w:r>
              <w:rPr>
                <w:sz w:val="16"/>
              </w:rPr>
              <w:t xml:space="preserve">Stock receipts/issue, school assets, maintenance, requisitions, suppliers, purchase approvals</w:t>
            </w:r>
          </w:p>
        </w:tc>
      </w:tr>
      <w:tr>
        <w:trPr>
          <w:cantSplit/>
        </w:trPr>
        <w:tc>
          <w:tcPr>
            <w:vAlign w:val="center"/>
          </w:tcPr>
          <w:p>
            <w:pPr>
              <w:pStyle w:val="Compact"/>
              <w:spacing w:after="40"/>
              <w:jc w:val="left"/>
            </w:pPr>
            <w:r>
              <w:rPr>
                <w:sz w:val="16"/>
              </w:rPr>
              <w:t xml:space="preserve">School health / safeguarding</w:t>
            </w:r>
          </w:p>
        </w:tc>
        <w:tc>
          <w:tcPr>
            <w:vAlign w:val="center"/>
          </w:tcPr>
          <w:p>
            <w:pPr>
              <w:pStyle w:val="Compact"/>
              <w:spacing w:after="40"/>
              <w:jc w:val="left"/>
            </w:pPr>
            <w:r>
              <w:rPr>
                <w:sz w:val="16"/>
              </w:rPr>
              <w:t xml:space="preserve">Restricted incident/emergency plans, allergies/medicines where justified, designated safeguarding officers, retention controls</w:t>
            </w:r>
          </w:p>
        </w:tc>
      </w:tr>
      <w:tr>
        <w:trPr>
          <w:cantSplit/>
        </w:trPr>
        <w:tc>
          <w:tcPr>
            <w:vAlign w:val="center"/>
          </w:tcPr>
          <w:p>
            <w:pPr>
              <w:pStyle w:val="Compact"/>
              <w:spacing w:after="40"/>
              <w:jc w:val="left"/>
            </w:pPr>
            <w:r>
              <w:rPr>
                <w:sz w:val="16"/>
              </w:rPr>
              <w:t xml:space="preserve">Facilities</w:t>
            </w:r>
          </w:p>
        </w:tc>
        <w:tc>
          <w:tcPr>
            <w:vAlign w:val="center"/>
          </w:tcPr>
          <w:p>
            <w:pPr>
              <w:pStyle w:val="Compact"/>
              <w:spacing w:after="40"/>
              <w:jc w:val="left"/>
            </w:pPr>
            <w:r>
              <w:rPr>
                <w:sz w:val="16"/>
              </w:rPr>
              <w:t xml:space="preserve">Rooms, inspections, repairs, maintenance tasks and contractor access</w:t>
            </w:r>
          </w:p>
        </w:tc>
      </w:tr>
      <w:tr>
        <w:trPr>
          <w:cantSplit/>
        </w:trPr>
        <w:tc>
          <w:tcPr>
            <w:vAlign w:val="center"/>
          </w:tcPr>
          <w:p>
            <w:pPr>
              <w:pStyle w:val="Compact"/>
              <w:spacing w:after="40"/>
              <w:jc w:val="left"/>
            </w:pPr>
            <w:r>
              <w:rPr>
                <w:sz w:val="16"/>
              </w:rPr>
              <w:t xml:space="preserve">Alumni</w:t>
            </w:r>
          </w:p>
        </w:tc>
        <w:tc>
          <w:tcPr>
            <w:vAlign w:val="center"/>
          </w:tcPr>
          <w:p>
            <w:pPr>
              <w:pStyle w:val="Compact"/>
              <w:spacing w:after="40"/>
              <w:jc w:val="left"/>
            </w:pPr>
            <w:r>
              <w:rPr>
                <w:sz w:val="16"/>
              </w:rPr>
              <w:t xml:space="preserve">Approved graduate registry, transcripts and contact preferences</w:t>
            </w:r>
          </w:p>
        </w:tc>
      </w:tr>
      <w:tr>
        <w:trPr>
          <w:cantSplit/>
        </w:trPr>
        <w:tc>
          <w:tcPr>
            <w:vAlign w:val="center"/>
          </w:tcPr>
          <w:p>
            <w:pPr>
              <w:pStyle w:val="Compact"/>
              <w:spacing w:after="40"/>
              <w:jc w:val="left"/>
            </w:pPr>
            <w:r>
              <w:rPr>
                <w:sz w:val="16"/>
              </w:rPr>
              <w:t xml:space="preserve">Advanced finance</w:t>
            </w:r>
          </w:p>
        </w:tc>
        <w:tc>
          <w:tcPr>
            <w:vAlign w:val="center"/>
          </w:tcPr>
          <w:p>
            <w:pPr>
              <w:pStyle w:val="Compact"/>
              <w:spacing w:after="40"/>
              <w:jc w:val="left"/>
            </w:pPr>
            <w:r>
              <w:rPr>
                <w:sz w:val="16"/>
              </w:rPr>
              <w:t xml:space="preserve">Chart of accounts, general ledger, cost centres, budgets, trial balance and financial statements, subject to accounting validation</w:t>
            </w:r>
          </w:p>
        </w:tc>
      </w:tr>
      <w:tr>
        <w:trPr>
          <w:cantSplit/>
        </w:trPr>
        <w:tc>
          <w:tcPr>
            <w:vAlign w:val="center"/>
          </w:tcPr>
          <w:p>
            <w:pPr>
              <w:pStyle w:val="Compact"/>
              <w:spacing w:after="40"/>
              <w:jc w:val="left"/>
            </w:pPr>
            <w:r>
              <w:rPr>
                <w:sz w:val="16"/>
              </w:rPr>
              <w:t xml:space="preserve">Advanced analytics</w:t>
            </w:r>
          </w:p>
        </w:tc>
        <w:tc>
          <w:tcPr>
            <w:vAlign w:val="center"/>
          </w:tcPr>
          <w:p>
            <w:pPr>
              <w:pStyle w:val="Compact"/>
              <w:spacing w:after="40"/>
              <w:jc w:val="left"/>
            </w:pPr>
            <w:r>
              <w:rPr>
                <w:sz w:val="16"/>
              </w:rPr>
              <w:t xml:space="preserve">Cohort analysis, custom reports, anonymised benchmarking within lawful agreements and secure exports</w:t>
            </w:r>
          </w:p>
        </w:tc>
      </w:tr>
    </w:tbl>
    <w:bookmarkEnd w:id="40"/>
    <w:bookmarkStart w:id="41" w:name="X9b54878e3f0ad2419c58f84b43966ebc4fcd9a3"/>
    <w:p>
      <w:pPr>
        <w:pStyle w:val="Heading3"/>
        <w:keepNext/>
      </w:pPr>
      <w:r>
        <w:t xml:space="preserve">5.14 Management dashboards and reporting — CORE (P0)</w:t>
      </w:r>
    </w:p>
    <w:p>
      <w:pPr>
        <w:pStyle w:val="Compact"/>
        <w:numPr>
          <w:ilvl w:val="0"/>
          <w:numId w:val="1014"/>
        </w:numPr>
      </w:pPr>
      <w:r>
        <w:rPr>
          <w:b/>
          <w:bCs/>
        </w:rPr>
        <w:t xml:space="preserve">FR-RPT-001:</w:t>
      </w:r>
      <w:r>
        <w:t xml:space="preserve"> </w:t>
      </w:r>
      <w:r>
        <w:t xml:space="preserve">Dashboard filters by academic year, term, campus, level, class, learner sex/disability</w:t>
      </w:r>
      <w:r>
        <w:t xml:space="preserve"> </w:t>
      </w:r>
      <w:r>
        <w:rPr>
          <w:b/>
          <w:bCs/>
        </w:rPr>
        <w:t xml:space="preserve">only where lawful, proportionate and aggregate-safe</w:t>
      </w:r>
      <w:r>
        <w:t xml:space="preserve">, and authorised personnel.</w:t>
      </w:r>
    </w:p>
    <w:p>
      <w:pPr>
        <w:pStyle w:val="Compact"/>
        <w:numPr>
          <w:ilvl w:val="0"/>
          <w:numId w:val="1014"/>
        </w:numPr>
      </w:pPr>
      <w:r>
        <w:rPr>
          <w:b/>
          <w:bCs/>
        </w:rPr>
        <w:t xml:space="preserve">FR-RPT-002:</w:t>
      </w:r>
      <w:r>
        <w:t xml:space="preserve"> </w:t>
      </w:r>
      <w:r>
        <w:t xml:space="preserve">Admissions funnel, current enrolment and capacity, gender/age distributions, transfers, retention, attendance, punctuality, teacher-to-pupil ratio and class size.</w:t>
      </w:r>
    </w:p>
    <w:p>
      <w:pPr>
        <w:pStyle w:val="Compact"/>
        <w:numPr>
          <w:ilvl w:val="0"/>
          <w:numId w:val="1014"/>
        </w:numPr>
      </w:pPr>
      <w:r>
        <w:rPr>
          <w:b/>
          <w:bCs/>
        </w:rPr>
        <w:t xml:space="preserve">FR-RPT-003:</w:t>
      </w:r>
      <w:r>
        <w:t xml:space="preserve"> </w:t>
      </w:r>
      <w:r>
        <w:t xml:space="preserve">Grade/competency distribution, term-on-term progress, subject weaknesses, cohort trends and learner support actions.</w:t>
      </w:r>
    </w:p>
    <w:p>
      <w:pPr>
        <w:pStyle w:val="Compact"/>
        <w:numPr>
          <w:ilvl w:val="0"/>
          <w:numId w:val="1014"/>
        </w:numPr>
      </w:pPr>
      <w:r>
        <w:rPr>
          <w:b/>
          <w:bCs/>
        </w:rPr>
        <w:t xml:space="preserve">FR-RPT-004:</w:t>
      </w:r>
      <w:r>
        <w:t xml:space="preserve"> </w:t>
      </w:r>
      <w:r>
        <w:t xml:space="preserve">Billed/collected/outstanding fees, collection rate, arrears ageing, remission totals and gateway settlement exceptions.</w:t>
      </w:r>
    </w:p>
    <w:p>
      <w:pPr>
        <w:pStyle w:val="Compact"/>
        <w:numPr>
          <w:ilvl w:val="0"/>
          <w:numId w:val="1014"/>
        </w:numPr>
      </w:pPr>
      <w:r>
        <w:rPr>
          <w:b/>
          <w:bCs/>
        </w:rPr>
        <w:t xml:space="preserve">FR-RPT-005:</w:t>
      </w:r>
      <w:r>
        <w:t xml:space="preserve"> </w:t>
      </w:r>
      <w:r>
        <w:t xml:space="preserve">Staff headcount, teacher credential expiry, leave, staff turnover and workloads.</w:t>
      </w:r>
    </w:p>
    <w:p>
      <w:pPr>
        <w:pStyle w:val="Compact"/>
        <w:numPr>
          <w:ilvl w:val="0"/>
          <w:numId w:val="1014"/>
        </w:numPr>
      </w:pPr>
      <w:r>
        <w:rPr>
          <w:b/>
          <w:bCs/>
        </w:rPr>
        <w:t xml:space="preserve">FR-RPT-006:</w:t>
      </w:r>
      <w:r>
        <w:t xml:space="preserve"> </w:t>
      </w:r>
      <w:r>
        <w:t xml:space="preserve">Build export templates for the Ministry’s annual school census and other authorised education returns. Review each form/field against official reporting instructions. Do not expose a purported official national EMIS/ECZ integration without approved credentials.</w:t>
      </w:r>
    </w:p>
    <w:p>
      <w:pPr>
        <w:pStyle w:val="Compact"/>
        <w:numPr>
          <w:ilvl w:val="0"/>
          <w:numId w:val="1014"/>
        </w:numPr>
      </w:pPr>
      <w:r>
        <w:rPr>
          <w:b/>
          <w:bCs/>
        </w:rPr>
        <w:t xml:space="preserve">FR-RPT-007:</w:t>
      </w:r>
      <w:r>
        <w:t xml:space="preserve"> </w:t>
      </w:r>
      <w:r>
        <w:t xml:space="preserve">Scheduled PDF/CSV/XLSX reports; access-controlled row-level exports, tamper-evident generation metadata and report definitions versioned by year.</w:t>
      </w:r>
    </w:p>
    <w:p>
      <w:pPr>
        <w:pStyle w:val="FirstParagraph"/>
      </w:pPr>
      <w:r>
        <w:t xml:space="preserve">Zambia’s EMIS experience demonstrates the value of enrolment, attendance and periodic outcome indicators. This product should produce accurate school-level operational data and facilitate compliant aggregation, not invent a connection to government systems (DHIS2, 2021; Ministry of Education, 2022).</w:t>
      </w:r>
    </w:p>
    <w:bookmarkEnd w:id="41"/>
    <w:bookmarkEnd w:id="42"/>
    <w:bookmarkStart w:id="43" w:name="key-user-journeys"/>
    <w:p>
      <w:pPr>
        <w:pStyle w:val="Heading2"/>
        <w:keepNext/>
      </w:pPr>
      <w:r>
        <w:t xml:space="preserve">6. Key user journeys</w:t>
      </w:r>
    </w:p>
    <w:p>
      <w:pPr>
        <w:pStyle w:val="FirstParagraph"/>
      </w:pPr>
      <w:r>
        <w:rPr>
          <w:b/>
          <w:bCs/>
        </w:rPr>
        <w:t xml:space="preserve">J01 — Enrol a new pupil:</w:t>
      </w:r>
      <w:r>
        <w:t xml:space="preserve"> </w:t>
      </w:r>
      <w:r>
        <w:t xml:space="preserve">Registrar creates application → guardian identity/authority and privacy notices verified → admission approval → learner ID created → class allocated → fee structure assigned → guardian invitation issued → academic baseline set → audit recorded.</w:t>
      </w:r>
    </w:p>
    <w:p>
      <w:pPr>
        <w:pStyle w:val="BodyText"/>
      </w:pPr>
      <w:r>
        <w:rPr>
          <w:b/>
          <w:bCs/>
        </w:rPr>
        <w:t xml:space="preserve">J02 — Publish a term report:</w:t>
      </w:r>
      <w:r>
        <w:t xml:space="preserve"> </w:t>
      </w:r>
      <w:r>
        <w:t xml:space="preserve">Teacher captures marks/observations → system validates assessment rules → subject/class moderation → principal approval → publication batch → guardian notification → protected report accessible → correction uses versioned reapproval.</w:t>
      </w:r>
    </w:p>
    <w:p>
      <w:pPr>
        <w:pStyle w:val="BodyText"/>
      </w:pPr>
      <w:r>
        <w:rPr>
          <w:b/>
          <w:bCs/>
        </w:rPr>
        <w:t xml:space="preserve">J03 — Pay fees online:</w:t>
      </w:r>
      <w:r>
        <w:t xml:space="preserve"> </w:t>
      </w:r>
      <w:r>
        <w:t xml:space="preserve">Parent opens statement → selects invoice/payment amount → sees fee breakdown → provider checkout → verified webhook → one immutable receipt posting → ledger balance updated → settlement reconciliation → notification. If callback fails, payment remains pending until provider status verified, with no duplicate posting.</w:t>
      </w:r>
    </w:p>
    <w:p>
      <w:pPr>
        <w:pStyle w:val="BodyText"/>
      </w:pPr>
      <w:r>
        <w:rPr>
          <w:b/>
          <w:bCs/>
        </w:rPr>
        <w:t xml:space="preserve">J04 — Record attendance while offline:</w:t>
      </w:r>
      <w:r>
        <w:t xml:space="preserve"> </w:t>
      </w:r>
      <w:r>
        <w:t xml:space="preserve">Teacher downloads only authorised class roster → marks attendance offline → syncs when connected → server checks changed roster/version → resolves conflicts and logs submissions → alerts generated after sync.</w:t>
      </w:r>
    </w:p>
    <w:p>
      <w:pPr>
        <w:pStyle w:val="BodyText"/>
      </w:pPr>
      <w:r>
        <w:rPr>
          <w:b/>
          <w:bCs/>
        </w:rPr>
        <w:t xml:space="preserve">J05 — Promote or transfer pupil:</w:t>
      </w:r>
      <w:r>
        <w:t xml:space="preserve"> </w:t>
      </w:r>
      <w:r>
        <w:t xml:space="preserve">Principal proposes promotion/transfer → review academic and fee records subject to policy → approve → preserve prior class and report history → open next-year enrolment or approved export package.</w:t>
      </w:r>
    </w:p>
    <w:p>
      <w:pPr>
        <w:pStyle w:val="BodyText"/>
      </w:pPr>
      <w:r>
        <w:rPr>
          <w:b/>
          <w:bCs/>
        </w:rPr>
        <w:t xml:space="preserve">J06 — Safely change guardianship:</w:t>
      </w:r>
      <w:r>
        <w:t xml:space="preserve"> </w:t>
      </w:r>
      <w:r>
        <w:t xml:space="preserve">Registrar receives request and legal evidence → authorised officer verifies restrictions → dual approval if required → revoke former guardian access immediately → change communication/billing permissions separately → notify relevant parties safely.</w:t>
      </w:r>
    </w:p>
    <w:p>
      <w:pPr>
        <w:pStyle w:val="BodyText"/>
      </w:pPr>
      <w:r>
        <w:rPr>
          <w:b/>
          <w:bCs/>
        </w:rPr>
        <w:t xml:space="preserve">J07 — School owner expands campuses:</w:t>
      </w:r>
      <w:r>
        <w:t xml:space="preserve"> </w:t>
      </w:r>
      <w:r>
        <w:t xml:space="preserve">Owner purchases campus entitlement → platform provisions branch → can configure different calendars/fee schedules → site admins see site data; owner sees permitted cross-campus summaries.</w:t>
      </w:r>
    </w:p>
    <w:bookmarkEnd w:id="43"/>
    <w:bookmarkStart w:id="47" w:name="data-model-and-interoperability"/>
    <w:p>
      <w:pPr>
        <w:pStyle w:val="Heading2"/>
        <w:keepNext/>
      </w:pPr>
      <w:r>
        <w:t xml:space="preserve">7. Data model and interoperability</w:t>
      </w:r>
    </w:p>
    <w:bookmarkStart w:id="44" w:name="core-entities"/>
    <w:p>
      <w:pPr>
        <w:pStyle w:val="Heading3"/>
        <w:keepNext/>
      </w:pPr>
      <w:r>
        <w:t xml:space="preserve">7.1 Core entities</w:t>
      </w:r>
    </w:p>
    <w:p>
      <w:pPr>
        <w:pStyle w:val="FirstParagraph"/>
      </w:pPr>
      <w:r>
        <w:rPr>
          <w:rStyle w:val="VerbatimChar"/>
        </w:rPr>
        <w:t xml:space="preserve">Organisation</w:t>
      </w:r>
      <w:r>
        <w:t xml:space="preserve">,</w:t>
      </w:r>
      <w:r>
        <w:t xml:space="preserve"> </w:t>
      </w:r>
      <w:r>
        <w:rPr>
          <w:rStyle w:val="VerbatimChar"/>
        </w:rPr>
        <w:t xml:space="preserve">Campus</w:t>
      </w:r>
      <w:r>
        <w:t xml:space="preserve">,</w:t>
      </w:r>
      <w:r>
        <w:t xml:space="preserve"> </w:t>
      </w:r>
      <w:r>
        <w:rPr>
          <w:rStyle w:val="VerbatimChar"/>
        </w:rPr>
        <w:t xml:space="preserve">Subscription</w:t>
      </w:r>
      <w:r>
        <w:t xml:space="preserve">,</w:t>
      </w:r>
      <w:r>
        <w:t xml:space="preserve"> </w:t>
      </w:r>
      <w:r>
        <w:rPr>
          <w:rStyle w:val="VerbatimChar"/>
        </w:rPr>
        <w:t xml:space="preserve">ModuleEntitlement</w:t>
      </w:r>
      <w:r>
        <w:t xml:space="preserve">,</w:t>
      </w:r>
      <w:r>
        <w:t xml:space="preserve"> </w:t>
      </w:r>
      <w:r>
        <w:rPr>
          <w:rStyle w:val="VerbatimChar"/>
        </w:rPr>
        <w:t xml:space="preserve">User</w:t>
      </w:r>
      <w:r>
        <w:t xml:space="preserve">,</w:t>
      </w:r>
      <w:r>
        <w:t xml:space="preserve"> </w:t>
      </w:r>
      <w:r>
        <w:rPr>
          <w:rStyle w:val="VerbatimChar"/>
        </w:rPr>
        <w:t xml:space="preserve">Role</w:t>
      </w:r>
      <w:r>
        <w:t xml:space="preserve">,</w:t>
      </w:r>
      <w:r>
        <w:t xml:space="preserve"> </w:t>
      </w:r>
      <w:r>
        <w:rPr>
          <w:rStyle w:val="VerbatimChar"/>
        </w:rPr>
        <w:t xml:space="preserve">Permission</w:t>
      </w:r>
      <w:r>
        <w:t xml:space="preserve">,</w:t>
      </w:r>
      <w:r>
        <w:t xml:space="preserve"> </w:t>
      </w:r>
      <w:r>
        <w:rPr>
          <w:rStyle w:val="VerbatimChar"/>
        </w:rPr>
        <w:t xml:space="preserve">UserRoleScope</w:t>
      </w:r>
      <w:r>
        <w:t xml:space="preserve">,</w:t>
      </w:r>
      <w:r>
        <w:t xml:space="preserve"> </w:t>
      </w:r>
      <w:r>
        <w:rPr>
          <w:rStyle w:val="VerbatimChar"/>
        </w:rPr>
        <w:t xml:space="preserve">Staff</w:t>
      </w:r>
      <w:r>
        <w:t xml:space="preserve">,</w:t>
      </w:r>
      <w:r>
        <w:t xml:space="preserve"> </w:t>
      </w:r>
      <w:r>
        <w:rPr>
          <w:rStyle w:val="VerbatimChar"/>
        </w:rPr>
        <w:t xml:space="preserve">TeacherCredential</w:t>
      </w:r>
      <w:r>
        <w:t xml:space="preserve">,</w:t>
      </w:r>
      <w:r>
        <w:t xml:space="preserve"> </w:t>
      </w:r>
      <w:r>
        <w:rPr>
          <w:rStyle w:val="VerbatimChar"/>
        </w:rPr>
        <w:t xml:space="preserve">Learner</w:t>
      </w:r>
      <w:r>
        <w:t xml:space="preserve">,</w:t>
      </w:r>
      <w:r>
        <w:t xml:space="preserve"> </w:t>
      </w:r>
      <w:r>
        <w:rPr>
          <w:rStyle w:val="VerbatimChar"/>
        </w:rPr>
        <w:t xml:space="preserve">Guardian</w:t>
      </w:r>
      <w:r>
        <w:t xml:space="preserve">,</w:t>
      </w:r>
      <w:r>
        <w:t xml:space="preserve"> </w:t>
      </w:r>
      <w:r>
        <w:rPr>
          <w:rStyle w:val="VerbatimChar"/>
        </w:rPr>
        <w:t xml:space="preserve">LearnerGuardianRelationship</w:t>
      </w:r>
      <w:r>
        <w:t xml:space="preserve">,</w:t>
      </w:r>
      <w:r>
        <w:t xml:space="preserve"> </w:t>
      </w:r>
      <w:r>
        <w:rPr>
          <w:rStyle w:val="VerbatimChar"/>
        </w:rPr>
        <w:t xml:space="preserve">ConsentRecord</w:t>
      </w:r>
      <w:r>
        <w:t xml:space="preserve">,</w:t>
      </w:r>
      <w:r>
        <w:t xml:space="preserve"> </w:t>
      </w:r>
      <w:r>
        <w:rPr>
          <w:rStyle w:val="VerbatimChar"/>
        </w:rPr>
        <w:t xml:space="preserve">Application</w:t>
      </w:r>
      <w:r>
        <w:t xml:space="preserve">,</w:t>
      </w:r>
      <w:r>
        <w:t xml:space="preserve"> </w:t>
      </w:r>
      <w:r>
        <w:rPr>
          <w:rStyle w:val="VerbatimChar"/>
        </w:rPr>
        <w:t xml:space="preserve">Enrolment</w:t>
      </w:r>
      <w:r>
        <w:t xml:space="preserve">,</w:t>
      </w:r>
      <w:r>
        <w:t xml:space="preserve"> </w:t>
      </w:r>
      <w:r>
        <w:rPr>
          <w:rStyle w:val="VerbatimChar"/>
        </w:rPr>
        <w:t xml:space="preserve">AcademicYear</w:t>
      </w:r>
      <w:r>
        <w:t xml:space="preserve">,</w:t>
      </w:r>
      <w:r>
        <w:t xml:space="preserve"> </w:t>
      </w:r>
      <w:r>
        <w:rPr>
          <w:rStyle w:val="VerbatimChar"/>
        </w:rPr>
        <w:t xml:space="preserve">Term</w:t>
      </w:r>
      <w:r>
        <w:t xml:space="preserve">,</w:t>
      </w:r>
      <w:r>
        <w:t xml:space="preserve"> </w:t>
      </w:r>
      <w:r>
        <w:rPr>
          <w:rStyle w:val="VerbatimChar"/>
        </w:rPr>
        <w:t xml:space="preserve">Level</w:t>
      </w:r>
      <w:r>
        <w:t xml:space="preserve">,</w:t>
      </w:r>
      <w:r>
        <w:t xml:space="preserve"> </w:t>
      </w:r>
      <w:r>
        <w:rPr>
          <w:rStyle w:val="VerbatimChar"/>
        </w:rPr>
        <w:t xml:space="preserve">Class</w:t>
      </w:r>
      <w:r>
        <w:t xml:space="preserve">,</w:t>
      </w:r>
      <w:r>
        <w:t xml:space="preserve"> </w:t>
      </w:r>
      <w:r>
        <w:rPr>
          <w:rStyle w:val="VerbatimChar"/>
        </w:rPr>
        <w:t xml:space="preserve">Subject</w:t>
      </w:r>
      <w:r>
        <w:t xml:space="preserve">,</w:t>
      </w:r>
      <w:r>
        <w:t xml:space="preserve"> </w:t>
      </w:r>
      <w:r>
        <w:rPr>
          <w:rStyle w:val="VerbatimChar"/>
        </w:rPr>
        <w:t xml:space="preserve">CurriculumVersion</w:t>
      </w:r>
      <w:r>
        <w:t xml:space="preserve">,</w:t>
      </w:r>
      <w:r>
        <w:t xml:space="preserve"> </w:t>
      </w:r>
      <w:r>
        <w:rPr>
          <w:rStyle w:val="VerbatimChar"/>
        </w:rPr>
        <w:t xml:space="preserve">AssessmentScheme</w:t>
      </w:r>
      <w:r>
        <w:t xml:space="preserve">,</w:t>
      </w:r>
      <w:r>
        <w:t xml:space="preserve"> </w:t>
      </w:r>
      <w:r>
        <w:rPr>
          <w:rStyle w:val="VerbatimChar"/>
        </w:rPr>
        <w:t xml:space="preserve">Assessment</w:t>
      </w:r>
      <w:r>
        <w:t xml:space="preserve">,</w:t>
      </w:r>
      <w:r>
        <w:t xml:space="preserve"> </w:t>
      </w:r>
      <w:r>
        <w:rPr>
          <w:rStyle w:val="VerbatimChar"/>
        </w:rPr>
        <w:t xml:space="preserve">Score</w:t>
      </w:r>
      <w:r>
        <w:t xml:space="preserve">,</w:t>
      </w:r>
      <w:r>
        <w:t xml:space="preserve"> </w:t>
      </w:r>
      <w:r>
        <w:rPr>
          <w:rStyle w:val="VerbatimChar"/>
        </w:rPr>
        <w:t xml:space="preserve">RubricObservation</w:t>
      </w:r>
      <w:r>
        <w:t xml:space="preserve">,</w:t>
      </w:r>
      <w:r>
        <w:t xml:space="preserve"> </w:t>
      </w:r>
      <w:r>
        <w:rPr>
          <w:rStyle w:val="VerbatimChar"/>
        </w:rPr>
        <w:t xml:space="preserve">ReportCardVersion</w:t>
      </w:r>
      <w:r>
        <w:t xml:space="preserve">,</w:t>
      </w:r>
      <w:r>
        <w:t xml:space="preserve"> </w:t>
      </w:r>
      <w:r>
        <w:rPr>
          <w:rStyle w:val="VerbatimChar"/>
        </w:rPr>
        <w:t xml:space="preserve">AttendanceSession</w:t>
      </w:r>
      <w:r>
        <w:t xml:space="preserve">,</w:t>
      </w:r>
      <w:r>
        <w:t xml:space="preserve"> </w:t>
      </w:r>
      <w:r>
        <w:rPr>
          <w:rStyle w:val="VerbatimChar"/>
        </w:rPr>
        <w:t xml:space="preserve">AttendanceRecord</w:t>
      </w:r>
      <w:r>
        <w:t xml:space="preserve">,</w:t>
      </w:r>
      <w:r>
        <w:t xml:space="preserve"> </w:t>
      </w:r>
      <w:r>
        <w:rPr>
          <w:rStyle w:val="VerbatimChar"/>
        </w:rPr>
        <w:t xml:space="preserve">FeeSchedule</w:t>
      </w:r>
      <w:r>
        <w:t xml:space="preserve">,</w:t>
      </w:r>
      <w:r>
        <w:t xml:space="preserve"> </w:t>
      </w:r>
      <w:r>
        <w:rPr>
          <w:rStyle w:val="VerbatimChar"/>
        </w:rPr>
        <w:t xml:space="preserve">Invoice</w:t>
      </w:r>
      <w:r>
        <w:t xml:space="preserve">,</w:t>
      </w:r>
      <w:r>
        <w:t xml:space="preserve"> </w:t>
      </w:r>
      <w:r>
        <w:rPr>
          <w:rStyle w:val="VerbatimChar"/>
        </w:rPr>
        <w:t xml:space="preserve">InvoiceLine</w:t>
      </w:r>
      <w:r>
        <w:t xml:space="preserve">,</w:t>
      </w:r>
      <w:r>
        <w:t xml:space="preserve"> </w:t>
      </w:r>
      <w:r>
        <w:rPr>
          <w:rStyle w:val="VerbatimChar"/>
        </w:rPr>
        <w:t xml:space="preserve">PaymentIntent</w:t>
      </w:r>
      <w:r>
        <w:t xml:space="preserve">,</w:t>
      </w:r>
      <w:r>
        <w:t xml:space="preserve"> </w:t>
      </w:r>
      <w:r>
        <w:rPr>
          <w:rStyle w:val="VerbatimChar"/>
        </w:rPr>
        <w:t xml:space="preserve">GatewayEvent</w:t>
      </w:r>
      <w:r>
        <w:t xml:space="preserve">,</w:t>
      </w:r>
      <w:r>
        <w:t xml:space="preserve"> </w:t>
      </w:r>
      <w:r>
        <w:rPr>
          <w:rStyle w:val="VerbatimChar"/>
        </w:rPr>
        <w:t xml:space="preserve">LedgerEntry</w:t>
      </w:r>
      <w:r>
        <w:t xml:space="preserve">,</w:t>
      </w:r>
      <w:r>
        <w:t xml:space="preserve"> </w:t>
      </w:r>
      <w:r>
        <w:rPr>
          <w:rStyle w:val="VerbatimChar"/>
        </w:rPr>
        <w:t xml:space="preserve">Receipt</w:t>
      </w:r>
      <w:r>
        <w:t xml:space="preserve">,</w:t>
      </w:r>
      <w:r>
        <w:t xml:space="preserve"> </w:t>
      </w:r>
      <w:r>
        <w:rPr>
          <w:rStyle w:val="VerbatimChar"/>
        </w:rPr>
        <w:t xml:space="preserve">Adjustment</w:t>
      </w:r>
      <w:r>
        <w:t xml:space="preserve">,</w:t>
      </w:r>
      <w:r>
        <w:t xml:space="preserve"> </w:t>
      </w:r>
      <w:r>
        <w:rPr>
          <w:rStyle w:val="VerbatimChar"/>
        </w:rPr>
        <w:t xml:space="preserve">Refund</w:t>
      </w:r>
      <w:r>
        <w:t xml:space="preserve">,</w:t>
      </w:r>
      <w:r>
        <w:t xml:space="preserve"> </w:t>
      </w:r>
      <w:r>
        <w:rPr>
          <w:rStyle w:val="VerbatimChar"/>
        </w:rPr>
        <w:t xml:space="preserve">SettlementBatch</w:t>
      </w:r>
      <w:r>
        <w:t xml:space="preserve">,</w:t>
      </w:r>
      <w:r>
        <w:t xml:space="preserve"> </w:t>
      </w:r>
      <w:r>
        <w:rPr>
          <w:rStyle w:val="VerbatimChar"/>
        </w:rPr>
        <w:t xml:space="preserve">Message</w:t>
      </w:r>
      <w:r>
        <w:t xml:space="preserve">,</w:t>
      </w:r>
      <w:r>
        <w:t xml:space="preserve"> </w:t>
      </w:r>
      <w:r>
        <w:rPr>
          <w:rStyle w:val="VerbatimChar"/>
        </w:rPr>
        <w:t xml:space="preserve">AuditEvent</w:t>
      </w:r>
      <w:r>
        <w:t xml:space="preserve">,</w:t>
      </w:r>
      <w:r>
        <w:t xml:space="preserve"> </w:t>
      </w:r>
      <w:r>
        <w:rPr>
          <w:rStyle w:val="VerbatimChar"/>
        </w:rPr>
        <w:t xml:space="preserve">DataExport</w:t>
      </w:r>
      <w:r>
        <w:t xml:space="preserve">,</w:t>
      </w:r>
      <w:r>
        <w:t xml:space="preserve"> </w:t>
      </w:r>
      <w:r>
        <w:rPr>
          <w:rStyle w:val="VerbatimChar"/>
        </w:rPr>
        <w:t xml:space="preserve">FileDocument</w:t>
      </w:r>
      <w:r>
        <w:t xml:space="preserve">,</w:t>
      </w:r>
      <w:r>
        <w:t xml:space="preserve"> </w:t>
      </w:r>
      <w:r>
        <w:rPr>
          <w:rStyle w:val="VerbatimChar"/>
        </w:rPr>
        <w:t xml:space="preserve">SupportAccessGrant</w:t>
      </w:r>
      <w:r>
        <w:t xml:space="preserve">.</w:t>
      </w:r>
    </w:p>
    <w:p>
      <w:pPr>
        <w:pStyle w:val="BodyText"/>
      </w:pPr>
      <w:r>
        <w:rPr>
          <w:b/>
          <w:bCs/>
        </w:rPr>
        <w:t xml:space="preserve">Mandatory relationships:</w:t>
      </w:r>
      <w:r>
        <w:t xml:space="preserve"> </w:t>
      </w:r>
      <w:r>
        <w:t xml:space="preserve">Every operational record has</w:t>
      </w:r>
      <w:r>
        <w:t xml:space="preserve"> </w:t>
      </w:r>
      <w:r>
        <w:rPr>
          <w:rStyle w:val="VerbatimChar"/>
        </w:rPr>
        <w:t xml:space="preserve">organisation_id</w:t>
      </w:r>
      <w:r>
        <w:t xml:space="preserve"> </w:t>
      </w:r>
      <w:r>
        <w:t xml:space="preserve">and, where relevant,</w:t>
      </w:r>
      <w:r>
        <w:t xml:space="preserve"> </w:t>
      </w:r>
      <w:r>
        <w:rPr>
          <w:rStyle w:val="VerbatimChar"/>
        </w:rPr>
        <w:t xml:space="preserve">campus_id</w:t>
      </w:r>
      <w:r>
        <w:t xml:space="preserve">; school-specific business IDs cannot collide globally. Learner history is event/period-aware rather than a mutable single</w:t>
      </w:r>
      <w:r>
        <w:t xml:space="preserve"> </w:t>
      </w:r>
      <w:r>
        <w:rPr>
          <w:rStyle w:val="VerbatimChar"/>
        </w:rPr>
        <w:t xml:space="preserve">current_grade</w:t>
      </w:r>
      <w:r>
        <w:t xml:space="preserve"> </w:t>
      </w:r>
      <w:r>
        <w:t xml:space="preserve">value. Sensitive contact and safeguarding records are partitioned by permission domains. Use stable internal UUIDs with separately configurable human-readable school IDs.</w:t>
      </w:r>
    </w:p>
    <w:bookmarkEnd w:id="44"/>
    <w:bookmarkStart w:id="45" w:name="integrity-rules"/>
    <w:p>
      <w:pPr>
        <w:pStyle w:val="Heading3"/>
        <w:keepNext/>
      </w:pPr>
      <w:r>
        <w:t xml:space="preserve">7.2 Integrity rules</w:t>
      </w:r>
    </w:p>
    <w:p>
      <w:pPr>
        <w:pStyle w:val="Compact"/>
        <w:numPr>
          <w:ilvl w:val="0"/>
          <w:numId w:val="1015"/>
        </w:numPr>
      </w:pPr>
      <w:r>
        <w:rPr>
          <w:rStyle w:val="VerbatimChar"/>
        </w:rPr>
        <w:t xml:space="preserve">organisation_id</w:t>
      </w:r>
      <w:r>
        <w:t xml:space="preserve"> </w:t>
      </w:r>
      <w:r>
        <w:t xml:space="preserve">is required and enforced server-side, not trusted from a client request.</w:t>
      </w:r>
    </w:p>
    <w:p>
      <w:pPr>
        <w:pStyle w:val="Compact"/>
        <w:numPr>
          <w:ilvl w:val="0"/>
          <w:numId w:val="1015"/>
        </w:numPr>
      </w:pPr>
      <w:r>
        <w:t xml:space="preserve">Unique receipt numbers and payment provider transaction references per merchant/provider; transaction deduplication by external ID + event type.</w:t>
      </w:r>
    </w:p>
    <w:p>
      <w:pPr>
        <w:pStyle w:val="Compact"/>
        <w:numPr>
          <w:ilvl w:val="0"/>
          <w:numId w:val="1015"/>
        </w:numPr>
      </w:pPr>
      <w:r>
        <w:t xml:space="preserve">Every posted ledger entry has debit/credit or clearly identified charge/payment/adjustment direction, signed authority and creation timestamp.</w:t>
      </w:r>
    </w:p>
    <w:p>
      <w:pPr>
        <w:pStyle w:val="Compact"/>
        <w:numPr>
          <w:ilvl w:val="0"/>
          <w:numId w:val="1015"/>
        </w:numPr>
      </w:pPr>
      <w:r>
        <w:t xml:space="preserve">Student-to-guardian link contains relationship type, verification status, start/end dates, permitted actions and authorising officer.</w:t>
      </w:r>
    </w:p>
    <w:p>
      <w:pPr>
        <w:pStyle w:val="Compact"/>
        <w:numPr>
          <w:ilvl w:val="0"/>
          <w:numId w:val="1015"/>
        </w:numPr>
      </w:pPr>
      <w:r>
        <w:t xml:space="preserve">Assessment record links to curriculum and grading scheme</w:t>
      </w:r>
      <w:r>
        <w:t xml:space="preserve"> </w:t>
      </w:r>
      <w:r>
        <w:rPr>
          <w:b/>
          <w:bCs/>
        </w:rPr>
        <w:t xml:space="preserve">version</w:t>
      </w:r>
      <w:r>
        <w:t xml:space="preserve">, with history after later changes.</w:t>
      </w:r>
    </w:p>
    <w:p>
      <w:pPr>
        <w:pStyle w:val="Compact"/>
        <w:numPr>
          <w:ilvl w:val="0"/>
          <w:numId w:val="1015"/>
        </w:numPr>
      </w:pPr>
      <w:r>
        <w:t xml:space="preserve">Deletes are soft/archive by default; legal erasure requests follow lawful retention review and irreversibly remove eligible data plus derivatives/backups according to tested schedules.</w:t>
      </w:r>
    </w:p>
    <w:bookmarkEnd w:id="45"/>
    <w:bookmarkStart w:id="46" w:name="apis-and-events"/>
    <w:p>
      <w:pPr>
        <w:pStyle w:val="Heading3"/>
        <w:keepNext/>
      </w:pPr>
      <w:r>
        <w:t xml:space="preserve">7.3 APIs and events</w:t>
      </w:r>
    </w:p>
    <w:p>
      <w:pPr>
        <w:pStyle w:val="FirstParagraph"/>
      </w:pPr>
      <w:r>
        <w:t xml:space="preserve">REST/JSON API with OpenAPI documentation, versioning, tenant-scoped access and webhook signatures. Representative routes:</w:t>
      </w:r>
      <w:r>
        <w:t xml:space="preserve"> </w:t>
      </w:r>
      <w:r>
        <w:rPr>
          <w:rStyle w:val="VerbatimChar"/>
        </w:rPr>
        <w:t xml:space="preserve">/v1/students</w:t>
      </w:r>
      <w:r>
        <w:t xml:space="preserve">,</w:t>
      </w:r>
      <w:r>
        <w:t xml:space="preserve"> </w:t>
      </w:r>
      <w:r>
        <w:rPr>
          <w:rStyle w:val="VerbatimChar"/>
        </w:rPr>
        <w:t xml:space="preserve">/v1/admissions</w:t>
      </w:r>
      <w:r>
        <w:t xml:space="preserve">,</w:t>
      </w:r>
      <w:r>
        <w:t xml:space="preserve"> </w:t>
      </w:r>
      <w:r>
        <w:rPr>
          <w:rStyle w:val="VerbatimChar"/>
        </w:rPr>
        <w:t xml:space="preserve">/v1/enrolments</w:t>
      </w:r>
      <w:r>
        <w:t xml:space="preserve">,</w:t>
      </w:r>
      <w:r>
        <w:t xml:space="preserve"> </w:t>
      </w:r>
      <w:r>
        <w:rPr>
          <w:rStyle w:val="VerbatimChar"/>
        </w:rPr>
        <w:t xml:space="preserve">/v1/classes</w:t>
      </w:r>
      <w:r>
        <w:t xml:space="preserve">,</w:t>
      </w:r>
      <w:r>
        <w:t xml:space="preserve"> </w:t>
      </w:r>
      <w:r>
        <w:rPr>
          <w:rStyle w:val="VerbatimChar"/>
        </w:rPr>
        <w:t xml:space="preserve">/v1/attendance</w:t>
      </w:r>
      <w:r>
        <w:t xml:space="preserve">,</w:t>
      </w:r>
      <w:r>
        <w:t xml:space="preserve"> </w:t>
      </w:r>
      <w:r>
        <w:rPr>
          <w:rStyle w:val="VerbatimChar"/>
        </w:rPr>
        <w:t xml:space="preserve">/v1/assessments</w:t>
      </w:r>
      <w:r>
        <w:t xml:space="preserve">,</w:t>
      </w:r>
      <w:r>
        <w:t xml:space="preserve"> </w:t>
      </w:r>
      <w:r>
        <w:rPr>
          <w:rStyle w:val="VerbatimChar"/>
        </w:rPr>
        <w:t xml:space="preserve">/v1/report-cards</w:t>
      </w:r>
      <w:r>
        <w:t xml:space="preserve">,</w:t>
      </w:r>
      <w:r>
        <w:t xml:space="preserve"> </w:t>
      </w:r>
      <w:r>
        <w:rPr>
          <w:rStyle w:val="VerbatimChar"/>
        </w:rPr>
        <w:t xml:space="preserve">/v1/invoices</w:t>
      </w:r>
      <w:r>
        <w:t xml:space="preserve">,</w:t>
      </w:r>
      <w:r>
        <w:t xml:space="preserve"> </w:t>
      </w:r>
      <w:r>
        <w:rPr>
          <w:rStyle w:val="VerbatimChar"/>
        </w:rPr>
        <w:t xml:space="preserve">/v1/payment-intents</w:t>
      </w:r>
      <w:r>
        <w:t xml:space="preserve">,</w:t>
      </w:r>
      <w:r>
        <w:t xml:space="preserve"> </w:t>
      </w:r>
      <w:r>
        <w:rPr>
          <w:rStyle w:val="VerbatimChar"/>
        </w:rPr>
        <w:t xml:space="preserve">/v1/reports</w:t>
      </w:r>
      <w:r>
        <w:t xml:space="preserve">,</w:t>
      </w:r>
      <w:r>
        <w:t xml:space="preserve"> </w:t>
      </w:r>
      <w:r>
        <w:rPr>
          <w:rStyle w:val="VerbatimChar"/>
        </w:rPr>
        <w:t xml:space="preserve">/v1/guardian-links</w:t>
      </w:r>
      <w:r>
        <w:t xml:space="preserve">,</w:t>
      </w:r>
      <w:r>
        <w:t xml:space="preserve"> </w:t>
      </w:r>
      <w:r>
        <w:rPr>
          <w:rStyle w:val="VerbatimChar"/>
        </w:rPr>
        <w:t xml:space="preserve">/v1/hr/staff</w:t>
      </w:r>
      <w:r>
        <w:t xml:space="preserve">.</w:t>
      </w:r>
    </w:p>
    <w:p>
      <w:pPr>
        <w:pStyle w:val="BodyText"/>
      </w:pPr>
      <w:r>
        <w:t xml:space="preserve">Publish internal events such as</w:t>
      </w:r>
      <w:r>
        <w:t xml:space="preserve"> </w:t>
      </w:r>
      <w:r>
        <w:rPr>
          <w:rStyle w:val="VerbatimChar"/>
        </w:rPr>
        <w:t xml:space="preserve">learner.admitted</w:t>
      </w:r>
      <w:r>
        <w:t xml:space="preserve">,</w:t>
      </w:r>
      <w:r>
        <w:t xml:space="preserve"> </w:t>
      </w:r>
      <w:r>
        <w:rPr>
          <w:rStyle w:val="VerbatimChar"/>
        </w:rPr>
        <w:t xml:space="preserve">assessment.approved</w:t>
      </w:r>
      <w:r>
        <w:t xml:space="preserve">,</w:t>
      </w:r>
      <w:r>
        <w:t xml:space="preserve"> </w:t>
      </w:r>
      <w:r>
        <w:rPr>
          <w:rStyle w:val="VerbatimChar"/>
        </w:rPr>
        <w:t xml:space="preserve">report.published</w:t>
      </w:r>
      <w:r>
        <w:t xml:space="preserve">,</w:t>
      </w:r>
      <w:r>
        <w:t xml:space="preserve"> </w:t>
      </w:r>
      <w:r>
        <w:rPr>
          <w:rStyle w:val="VerbatimChar"/>
        </w:rPr>
        <w:t xml:space="preserve">invoice.issued</w:t>
      </w:r>
      <w:r>
        <w:t xml:space="preserve">,</w:t>
      </w:r>
      <w:r>
        <w:t xml:space="preserve"> </w:t>
      </w:r>
      <w:r>
        <w:rPr>
          <w:rStyle w:val="VerbatimChar"/>
        </w:rPr>
        <w:t xml:space="preserve">payment.confirmed</w:t>
      </w:r>
      <w:r>
        <w:t xml:space="preserve">,</w:t>
      </w:r>
      <w:r>
        <w:t xml:space="preserve"> </w:t>
      </w:r>
      <w:r>
        <w:rPr>
          <w:rStyle w:val="VerbatimChar"/>
        </w:rPr>
        <w:t xml:space="preserve">payment.reconciled</w:t>
      </w:r>
      <w:r>
        <w:t xml:space="preserve">,</w:t>
      </w:r>
      <w:r>
        <w:t xml:space="preserve"> </w:t>
      </w:r>
      <w:r>
        <w:rPr>
          <w:rStyle w:val="VerbatimChar"/>
        </w:rPr>
        <w:t xml:space="preserve">attendance.missing</w:t>
      </w:r>
      <w:r>
        <w:t xml:space="preserve">,</w:t>
      </w:r>
      <w:r>
        <w:t xml:space="preserve"> </w:t>
      </w:r>
      <w:r>
        <w:rPr>
          <w:rStyle w:val="VerbatimChar"/>
        </w:rPr>
        <w:t xml:space="preserve">guardian.access_revoked</w:t>
      </w:r>
      <w:r>
        <w:t xml:space="preserve">,</w:t>
      </w:r>
      <w:r>
        <w:t xml:space="preserve"> </w:t>
      </w:r>
      <w:r>
        <w:rPr>
          <w:rStyle w:val="VerbatimChar"/>
        </w:rPr>
        <w:t xml:space="preserve">subscription.changed</w:t>
      </w:r>
      <w:r>
        <w:t xml:space="preserve">; consumers must be idempotent. Standards-oriented CSV and Excel import/export must exist even without paid API features.</w:t>
      </w:r>
    </w:p>
    <w:p>
      <w:pPr>
        <w:pStyle w:val="BodyText"/>
      </w:pPr>
      <w:r>
        <w:rPr>
          <w:b/>
          <w:bCs/>
        </w:rPr>
        <w:t xml:space="preserve">Integration boundary:</w:t>
      </w:r>
      <w:r>
        <w:t xml:space="preserve"> </w:t>
      </w:r>
      <w:r>
        <w:t xml:space="preserve">Accounting packages, message gateways, mobile-money providers, ZRA Smart Invoice, TCZ and national education platforms require independent agreements, schemas and validation. Placeholders in a settings screen are not evidence that an external integration exists.</w:t>
      </w:r>
    </w:p>
    <w:bookmarkEnd w:id="46"/>
    <w:bookmarkEnd w:id="47"/>
    <w:bookmarkStart w:id="51" w:name="Xc1aab0f50b7bbbcaa4dbad4c13e96ee92401b96"/>
    <w:p>
      <w:pPr>
        <w:pStyle w:val="Heading2"/>
        <w:keepNext/>
      </w:pPr>
      <w:r>
        <w:t xml:space="preserve">8. Security, privacy, compliance and child protection</w:t>
      </w:r>
    </w:p>
    <w:bookmarkStart w:id="48" w:name="regulatory-requirements-matrix"/>
    <w:p>
      <w:pPr>
        <w:pStyle w:val="Heading3"/>
        <w:keepNext/>
      </w:pPr>
      <w:r>
        <w:t xml:space="preserve">8.1 Regulatory requirements matrix</w:t>
      </w:r>
    </w:p>
    <w:tbl>
      <w:tblPr>
        <w:tblW w:type="pct" w:w="5000"/>
        <w:jc w:val="center"/>
        <w:tblLayout w:type="autofit"/>
        <w:tblLook w:firstRow="1" w:lastRow="0" w:firstColumn="0" w:lastColumn="0" w:noHBand="0" w:noVBand="0" w:val="0020"/>
      </w:tblPr>
      <w:tblGrid>
        <w:gridCol w:w="2640"/>
        <w:gridCol w:w="2640"/>
        <w:gridCol w:w="2640"/>
      </w:tblGrid>
      <w:tr>
        <w:trPr>
          <w:tblHeader w:val="on"/>
          <w:cantSplit/>
        </w:trPr>
        <w:tc>
          <w:tcPr>
            <w:vAlign w:val="center"/>
            <w:shd w:fill="0D5577"/>
          </w:tcPr>
          <w:p>
            <w:pPr>
              <w:pStyle w:val="Compact"/>
              <w:spacing w:after="40"/>
              <w:jc w:val="left"/>
            </w:pPr>
            <w:r>
              <w:rPr>
                <w:b/>
                <w:color w:val="FFFFFF"/>
                <w:sz w:val="16"/>
              </w:rPr>
              <w:t xml:space="preserve">Source</w:t>
            </w:r>
          </w:p>
        </w:tc>
        <w:tc>
          <w:tcPr>
            <w:vAlign w:val="center"/>
            <w:shd w:fill="0D5577"/>
          </w:tcPr>
          <w:p>
            <w:pPr>
              <w:pStyle w:val="Compact"/>
              <w:spacing w:after="40"/>
              <w:jc w:val="left"/>
            </w:pPr>
            <w:r>
              <w:rPr>
                <w:b/>
                <w:color w:val="FFFFFF"/>
                <w:sz w:val="16"/>
              </w:rPr>
              <w:t xml:space="preserve">Platform implementation</w:t>
            </w:r>
          </w:p>
        </w:tc>
        <w:tc>
          <w:tcPr>
            <w:vAlign w:val="center"/>
            <w:shd w:fill="0D5577"/>
          </w:tcPr>
          <w:p>
            <w:pPr>
              <w:pStyle w:val="Compact"/>
              <w:spacing w:after="40"/>
              <w:jc w:val="left"/>
            </w:pPr>
            <w:r>
              <w:rPr>
                <w:b/>
                <w:color w:val="FFFFFF"/>
                <w:sz w:val="16"/>
              </w:rPr>
              <w:t xml:space="preserve">Go-live verification</w:t>
            </w:r>
          </w:p>
        </w:tc>
      </w:tr>
      <w:tr>
        <w:trPr>
          <w:cantSplit/>
        </w:trPr>
        <w:tc>
          <w:tcPr>
            <w:vAlign w:val="center"/>
          </w:tcPr>
          <w:p>
            <w:pPr>
              <w:pStyle w:val="Compact"/>
              <w:spacing w:after="40"/>
              <w:jc w:val="left"/>
            </w:pPr>
            <w:r>
              <w:rPr>
                <w:sz w:val="16"/>
              </w:rPr>
              <w:t xml:space="preserve">Education Act, 2011, as amended by Education (Amendment) Act, 2026</w:t>
            </w:r>
          </w:p>
        </w:tc>
        <w:tc>
          <w:tcPr>
            <w:vAlign w:val="center"/>
          </w:tcPr>
          <w:p>
            <w:pPr>
              <w:pStyle w:val="Compact"/>
              <w:spacing w:after="40"/>
              <w:jc w:val="left"/>
            </w:pPr>
            <w:r>
              <w:rPr>
                <w:sz w:val="16"/>
              </w:rPr>
              <w:t xml:space="preserve">School registration/licence metadata, audits, inspection-ready registers, authorised statistical exports, configurable school structure</w:t>
            </w:r>
          </w:p>
        </w:tc>
        <w:tc>
          <w:tcPr>
            <w:vAlign w:val="center"/>
          </w:tcPr>
          <w:p>
            <w:pPr>
              <w:pStyle w:val="Compact"/>
              <w:spacing w:after="40"/>
              <w:jc w:val="left"/>
            </w:pPr>
            <w:r>
              <w:rPr>
                <w:sz w:val="16"/>
              </w:rPr>
              <w:t xml:space="preserve">School owner/legal adviser validates exact registration and statutory reporting duties</w:t>
            </w:r>
          </w:p>
        </w:tc>
      </w:tr>
      <w:tr>
        <w:trPr>
          <w:cantSplit/>
        </w:trPr>
        <w:tc>
          <w:tcPr>
            <w:vAlign w:val="center"/>
          </w:tcPr>
          <w:p>
            <w:pPr>
              <w:pStyle w:val="Compact"/>
              <w:spacing w:after="40"/>
              <w:jc w:val="left"/>
            </w:pPr>
            <w:r>
              <w:rPr>
                <w:sz w:val="16"/>
              </w:rPr>
              <w:t xml:space="preserve">Ministry of Education 2023 curriculum, phased rollout</w:t>
            </w:r>
          </w:p>
        </w:tc>
        <w:tc>
          <w:tcPr>
            <w:vAlign w:val="center"/>
          </w:tcPr>
          <w:p>
            <w:pPr>
              <w:pStyle w:val="Compact"/>
              <w:spacing w:after="40"/>
              <w:jc w:val="left"/>
            </w:pPr>
            <w:r>
              <w:rPr>
                <w:sz w:val="16"/>
              </w:rPr>
              <w:t xml:space="preserve">Versioned curricula, effective-year grade/form pathways, adjustable age-bands, subject/assessment templates</w:t>
            </w:r>
          </w:p>
        </w:tc>
        <w:tc>
          <w:tcPr>
            <w:vAlign w:val="center"/>
          </w:tcPr>
          <w:p>
            <w:pPr>
              <w:pStyle w:val="Compact"/>
              <w:spacing w:after="40"/>
              <w:jc w:val="left"/>
            </w:pPr>
            <w:r>
              <w:rPr>
                <w:sz w:val="16"/>
              </w:rPr>
              <w:t xml:space="preserve">Compare with current Ministry circulars and school-approved framework each year</w:t>
            </w:r>
          </w:p>
        </w:tc>
      </w:tr>
      <w:tr>
        <w:trPr>
          <w:cantSplit/>
        </w:trPr>
        <w:tc>
          <w:tcPr>
            <w:vAlign w:val="center"/>
          </w:tcPr>
          <w:p>
            <w:pPr>
              <w:pStyle w:val="Compact"/>
              <w:spacing w:after="40"/>
              <w:jc w:val="left"/>
            </w:pPr>
            <w:r>
              <w:rPr>
                <w:sz w:val="16"/>
              </w:rPr>
              <w:t xml:space="preserve">Data Protection Act, 2021 and regulations</w:t>
            </w:r>
          </w:p>
        </w:tc>
        <w:tc>
          <w:tcPr>
            <w:vAlign w:val="center"/>
          </w:tcPr>
          <w:p>
            <w:pPr>
              <w:pStyle w:val="Compact"/>
              <w:spacing w:after="40"/>
              <w:jc w:val="left"/>
            </w:pPr>
            <w:r>
              <w:rPr>
                <w:sz w:val="16"/>
              </w:rPr>
              <w:t xml:space="preserve">Privacy notices, child/guardian consent handling, access controls, records of processing, rights workflow, retention, breach process, data-residency controls</w:t>
            </w:r>
          </w:p>
        </w:tc>
        <w:tc>
          <w:tcPr>
            <w:vAlign w:val="center"/>
          </w:tcPr>
          <w:p>
            <w:pPr>
              <w:pStyle w:val="Compact"/>
              <w:spacing w:after="40"/>
              <w:jc w:val="left"/>
            </w:pPr>
            <w:r>
              <w:rPr>
                <w:sz w:val="16"/>
              </w:rPr>
              <w:t xml:space="preserve">Confirm controller/processor registration and contracts with Data Protection Commissioner as applicable</w:t>
            </w:r>
          </w:p>
        </w:tc>
      </w:tr>
      <w:tr>
        <w:trPr>
          <w:cantSplit/>
        </w:trPr>
        <w:tc>
          <w:tcPr>
            <w:vAlign w:val="center"/>
          </w:tcPr>
          <w:p>
            <w:pPr>
              <w:pStyle w:val="Compact"/>
              <w:spacing w:after="40"/>
              <w:jc w:val="left"/>
            </w:pPr>
            <w:r>
              <w:rPr>
                <w:sz w:val="16"/>
              </w:rPr>
              <w:t xml:space="preserve">Teaching Profession Act, 2026 (in force 15 May 2026)</w:t>
            </w:r>
          </w:p>
        </w:tc>
        <w:tc>
          <w:tcPr>
            <w:vAlign w:val="center"/>
          </w:tcPr>
          <w:p>
            <w:pPr>
              <w:pStyle w:val="Compact"/>
              <w:spacing w:after="40"/>
              <w:jc w:val="left"/>
            </w:pPr>
            <w:r>
              <w:rPr>
                <w:sz w:val="16"/>
              </w:rPr>
              <w:t xml:space="preserve">Teacher registration and practising-certificate tracking, renewal alerts, evidence and audit</w:t>
            </w:r>
          </w:p>
        </w:tc>
        <w:tc>
          <w:tcPr>
            <w:vAlign w:val="center"/>
          </w:tcPr>
          <w:p>
            <w:pPr>
              <w:pStyle w:val="Compact"/>
              <w:spacing w:after="40"/>
              <w:jc w:val="left"/>
            </w:pPr>
            <w:r>
              <w:rPr>
                <w:sz w:val="16"/>
              </w:rPr>
              <w:t xml:space="preserve">School HR confirms TCZ process and credential validity</w:t>
            </w:r>
          </w:p>
        </w:tc>
      </w:tr>
      <w:tr>
        <w:trPr>
          <w:cantSplit/>
        </w:trPr>
        <w:tc>
          <w:tcPr>
            <w:vAlign w:val="center"/>
          </w:tcPr>
          <w:p>
            <w:pPr>
              <w:pStyle w:val="Compact"/>
              <w:spacing w:after="40"/>
              <w:jc w:val="left"/>
            </w:pPr>
            <w:r>
              <w:rPr>
                <w:sz w:val="16"/>
              </w:rPr>
              <w:t xml:space="preserve">Current BoZ National Payment Systems framework</w:t>
            </w:r>
          </w:p>
        </w:tc>
        <w:tc>
          <w:tcPr>
            <w:vAlign w:val="center"/>
          </w:tcPr>
          <w:p>
            <w:pPr>
              <w:pStyle w:val="Compact"/>
              <w:spacing w:after="40"/>
              <w:jc w:val="left"/>
            </w:pPr>
            <w:r>
              <w:rPr>
                <w:sz w:val="16"/>
              </w:rPr>
              <w:t xml:space="preserve">Integrate appropriately authorised gateways; school direct settlement; avoid custody of money</w:t>
            </w:r>
          </w:p>
        </w:tc>
        <w:tc>
          <w:tcPr>
            <w:vAlign w:val="center"/>
          </w:tcPr>
          <w:p>
            <w:pPr>
              <w:pStyle w:val="Compact"/>
              <w:spacing w:after="40"/>
              <w:jc w:val="left"/>
            </w:pPr>
            <w:r>
              <w:rPr>
                <w:sz w:val="16"/>
              </w:rPr>
              <w:t xml:space="preserve">Check current law, 2026 transition and provider permissions before payment go-live</w:t>
            </w:r>
          </w:p>
        </w:tc>
      </w:tr>
      <w:tr>
        <w:trPr>
          <w:cantSplit/>
        </w:trPr>
        <w:tc>
          <w:tcPr>
            <w:vAlign w:val="center"/>
          </w:tcPr>
          <w:p>
            <w:pPr>
              <w:pStyle w:val="Compact"/>
              <w:spacing w:after="40"/>
              <w:jc w:val="left"/>
            </w:pPr>
            <w:r>
              <w:rPr>
                <w:sz w:val="16"/>
              </w:rPr>
              <w:t xml:space="preserve">ZRA Smart Invoice / applicable tax rules</w:t>
            </w:r>
          </w:p>
        </w:tc>
        <w:tc>
          <w:tcPr>
            <w:vAlign w:val="center"/>
          </w:tcPr>
          <w:p>
            <w:pPr>
              <w:pStyle w:val="Compact"/>
              <w:spacing w:after="40"/>
              <w:jc w:val="left"/>
            </w:pPr>
            <w:r>
              <w:rPr>
                <w:sz w:val="16"/>
              </w:rPr>
              <w:t xml:space="preserve">Tax config, fee classifications, compliant invoices/exports; adapter for authorised fiscal integration</w:t>
            </w:r>
          </w:p>
        </w:tc>
        <w:tc>
          <w:tcPr>
            <w:vAlign w:val="center"/>
          </w:tcPr>
          <w:p>
            <w:pPr>
              <w:pStyle w:val="Compact"/>
              <w:spacing w:after="40"/>
              <w:jc w:val="left"/>
            </w:pPr>
            <w:r>
              <w:rPr>
                <w:sz w:val="16"/>
              </w:rPr>
              <w:t xml:space="preserve">Determine school-specific tax treatment; do not assume all fees incur VAT or all are exempt</w:t>
            </w:r>
          </w:p>
        </w:tc>
      </w:tr>
      <w:tr>
        <w:trPr>
          <w:cantSplit/>
        </w:trPr>
        <w:tc>
          <w:tcPr>
            <w:vAlign w:val="center"/>
          </w:tcPr>
          <w:p>
            <w:pPr>
              <w:pStyle w:val="Compact"/>
              <w:spacing w:after="40"/>
              <w:jc w:val="left"/>
            </w:pPr>
            <w:r>
              <w:rPr>
                <w:sz w:val="16"/>
              </w:rPr>
              <w:t xml:space="preserve">Cyber Security / Cyber Crimes Acts, 2025</w:t>
            </w:r>
          </w:p>
        </w:tc>
        <w:tc>
          <w:tcPr>
            <w:vAlign w:val="center"/>
          </w:tcPr>
          <w:p>
            <w:pPr>
              <w:pStyle w:val="Compact"/>
              <w:spacing w:after="40"/>
              <w:jc w:val="left"/>
            </w:pPr>
            <w:r>
              <w:rPr>
                <w:sz w:val="16"/>
              </w:rPr>
              <w:t xml:space="preserve">Hardening, account protection, incident response, access logging and abuse-reporting workflows</w:t>
            </w:r>
          </w:p>
        </w:tc>
        <w:tc>
          <w:tcPr>
            <w:vAlign w:val="center"/>
          </w:tcPr>
          <w:p>
            <w:pPr>
              <w:pStyle w:val="Compact"/>
              <w:spacing w:after="40"/>
              <w:jc w:val="left"/>
            </w:pPr>
            <w:r>
              <w:rPr>
                <w:sz w:val="16"/>
              </w:rPr>
              <w:t xml:space="preserve">Local legal/security review of platform operator obligations</w:t>
            </w:r>
          </w:p>
        </w:tc>
      </w:tr>
    </w:tbl>
    <w:p>
      <w:pPr>
        <w:pStyle w:val="BodyText"/>
      </w:pPr>
      <w:r>
        <w:rPr>
          <w:b/>
          <w:bCs/>
        </w:rPr>
        <w:t xml:space="preserve">Critical hosting rule:</w:t>
      </w:r>
      <w:r>
        <w:t xml:space="preserve"> </w:t>
      </w:r>
      <w:r>
        <w:t xml:space="preserve">Section 70 of the Data Protection Act generally requires personal data to be processed and stored on servers/data centres in Zambia and imposes stricter rules for sensitive personal data, subject to statutory exceptions/authorisations.</w:t>
      </w:r>
      <w:r>
        <w:t xml:space="preserve"> </w:t>
      </w:r>
      <w:r>
        <w:rPr>
          <w:b/>
          <w:bCs/>
        </w:rPr>
        <w:t xml:space="preserve">Do not run live identifiable learner records, sensitive pupil files or production backups on an overseas VPS by default.</w:t>
      </w:r>
      <w:r>
        <w:t xml:space="preserve"> </w:t>
      </w:r>
      <w:r>
        <w:t xml:space="preserve">Select a demonstrably Zambia-based hosting arrangement; obtain competent legal and regulatory advice before any cross-border transfer, offshore backup, external analytics, CDN or support access that may transfer protected data (Republic of Zambia, 2021, ss. 70–71). A non-local server may be appropriate for synthetic-data development environments only.</w:t>
      </w:r>
    </w:p>
    <w:p>
      <w:pPr>
        <w:pStyle w:val="BodyText"/>
      </w:pPr>
      <w:r>
        <w:rPr>
          <w:b/>
          <w:bCs/>
        </w:rPr>
        <w:t xml:space="preserve">Controller–processor boundary:</w:t>
      </w:r>
      <w:r>
        <w:t xml:space="preserve"> </w:t>
      </w:r>
      <w:r>
        <w:t xml:space="preserve">School is generally the controller of its learner and staff records; SMIS vendor generally acts as processor for hosted school data. The vendor may be controller for its own marketing/support and billing data. Execute data-processing agreement (DPA) specifying lawful instructions, sub-processors, security, breach notification, retention, data subject requests, exit/export and audit rights. Both parties should verify their registration responsibilities with the Data Protection Commissioner.</w:t>
      </w:r>
    </w:p>
    <w:bookmarkEnd w:id="48"/>
    <w:bookmarkStart w:id="49" w:name="security-controls-must-unless-noted"/>
    <w:p>
      <w:pPr>
        <w:pStyle w:val="Heading3"/>
        <w:keepNext/>
      </w:pPr>
      <w:r>
        <w:t xml:space="preserve">8.2 Security controls (Must unless noted)</w:t>
      </w:r>
    </w:p>
    <w:p>
      <w:pPr>
        <w:pStyle w:val="Compact"/>
        <w:numPr>
          <w:ilvl w:val="0"/>
          <w:numId w:val="1016"/>
        </w:numPr>
      </w:pPr>
      <w:r>
        <w:t xml:space="preserve">Transport TLS 1.2+/1.3; encryption at rest; managed secrets; least-privilege database/application accounts; secure password hashing; MFA for administrators/finance/HR.</w:t>
      </w:r>
    </w:p>
    <w:p>
      <w:pPr>
        <w:pStyle w:val="Compact"/>
        <w:numPr>
          <w:ilvl w:val="0"/>
          <w:numId w:val="1016"/>
        </w:numPr>
      </w:pPr>
      <w:r>
        <w:t xml:space="preserve">Tenant isolation integration tests, structured security reviews, annual independent penetration testing target and secure software development lifecycle.</w:t>
      </w:r>
    </w:p>
    <w:p>
      <w:pPr>
        <w:pStyle w:val="Compact"/>
        <w:numPr>
          <w:ilvl w:val="0"/>
          <w:numId w:val="1016"/>
        </w:numPr>
      </w:pPr>
      <w:r>
        <w:t xml:space="preserve">Rate limiting, bot protection, device/session management, short-lived reset tokens, secure OAuth/OIDC where supported and revoked sessions on guardian-role change.</w:t>
      </w:r>
    </w:p>
    <w:p>
      <w:pPr>
        <w:pStyle w:val="Compact"/>
        <w:numPr>
          <w:ilvl w:val="0"/>
          <w:numId w:val="1016"/>
        </w:numPr>
      </w:pPr>
      <w:r>
        <w:t xml:space="preserve">Tamper-evident audit logs for finance, grades, student access, consent, exports and platform support; protect logs from school admin editing.</w:t>
      </w:r>
    </w:p>
    <w:p>
      <w:pPr>
        <w:pStyle w:val="Compact"/>
        <w:numPr>
          <w:ilvl w:val="0"/>
          <w:numId w:val="1016"/>
        </w:numPr>
      </w:pPr>
      <w:r>
        <w:t xml:space="preserve">Backups encrypted, Zambia-local by default, tested restore, documented RPO/RTO and retention; require separate key access controls.</w:t>
      </w:r>
    </w:p>
    <w:p>
      <w:pPr>
        <w:pStyle w:val="Compact"/>
        <w:numPr>
          <w:ilvl w:val="0"/>
          <w:numId w:val="1016"/>
        </w:numPr>
      </w:pPr>
      <w:r>
        <w:t xml:space="preserve">Access to medical, disability, disciplinary and safeguarding information only for legitimate authorised users; never include it in generic exports or AI prompts.</w:t>
      </w:r>
    </w:p>
    <w:p>
      <w:pPr>
        <w:pStyle w:val="Compact"/>
        <w:numPr>
          <w:ilvl w:val="0"/>
          <w:numId w:val="1016"/>
        </w:numPr>
      </w:pPr>
      <w:r>
        <w:t xml:space="preserve">Incident reporting playbooks, event triage, notification based on applicable law, patch/change management and vulnerability disclosure channel.</w:t>
      </w:r>
    </w:p>
    <w:p>
      <w:pPr>
        <w:pStyle w:val="Compact"/>
        <w:numPr>
          <w:ilvl w:val="0"/>
          <w:numId w:val="1016"/>
        </w:numPr>
      </w:pPr>
      <w:r>
        <w:t xml:space="preserve">Configurable retention schedules and legal holds, secure deletion workflows and data portability; schools remain accountable for approved retention periods.</w:t>
      </w:r>
    </w:p>
    <w:p>
      <w:pPr>
        <w:pStyle w:val="Compact"/>
        <w:numPr>
          <w:ilvl w:val="0"/>
          <w:numId w:val="1016"/>
        </w:numPr>
      </w:pPr>
      <w:r>
        <w:t xml:space="preserve">No public student directory, facial recognition, biometrics, public ranks or profiling by default.</w:t>
      </w:r>
    </w:p>
    <w:bookmarkEnd w:id="49"/>
    <w:bookmarkStart w:id="50" w:name="privacy-by-design-for-children"/>
    <w:p>
      <w:pPr>
        <w:pStyle w:val="Heading3"/>
        <w:keepNext/>
      </w:pPr>
      <w:r>
        <w:t xml:space="preserve">8.3 Privacy-by-design for children</w:t>
      </w:r>
    </w:p>
    <w:p>
      <w:pPr>
        <w:pStyle w:val="FirstParagraph"/>
      </w:pPr>
      <w:r>
        <w:t xml:space="preserve">Collect the minimum data necessary. Verify guardianship/parental consent where required by law; give age-appropriate information and ensure staff can record school-authorised legal basis. Photograph, location, welfare and health data need purpose-specific controls. An underage child must not be forced into a public account, marketing consent or automated high-impact decision. Implement child-safe messaging, safeguarding escalation and teacher-to-parent communication through monitored school policies.</w:t>
      </w:r>
    </w:p>
    <w:bookmarkEnd w:id="50"/>
    <w:bookmarkEnd w:id="51"/>
    <w:bookmarkStart w:id="52" w:name="X92682a811e1a507cbf874bfde616f4a6410d354"/>
    <w:p>
      <w:pPr>
        <w:pStyle w:val="Heading2"/>
        <w:keepNext/>
      </w:pPr>
      <w:r>
        <w:t xml:space="preserve">9. Non-functional and operational requirements</w:t>
      </w:r>
    </w:p>
    <w:tbl>
      <w:tblPr>
        <w:tblW w:type="pct" w:w="5000"/>
        <w:jc w:val="center"/>
        <w:tblLayout w:type="autofit"/>
        <w:tblLook w:firstRow="1" w:lastRow="0" w:firstColumn="0" w:lastColumn="0" w:noHBand="0" w:noVBand="0" w:val="0020"/>
      </w:tblPr>
      <w:tblGrid>
        <w:gridCol w:w="3960"/>
        <w:gridCol w:w="3960"/>
      </w:tblGrid>
      <w:tr>
        <w:trPr>
          <w:tblHeader w:val="on"/>
          <w:cantSplit/>
        </w:trPr>
        <w:tc>
          <w:tcPr>
            <w:vAlign w:val="center"/>
            <w:shd w:fill="0D5577"/>
          </w:tcPr>
          <w:p>
            <w:pPr>
              <w:pStyle w:val="Compact"/>
              <w:spacing w:after="40"/>
              <w:jc w:val="left"/>
            </w:pPr>
            <w:r>
              <w:rPr>
                <w:b/>
                <w:color w:val="FFFFFF"/>
                <w:sz w:val="16"/>
              </w:rPr>
              <w:t xml:space="preserve">Area</w:t>
            </w:r>
          </w:p>
        </w:tc>
        <w:tc>
          <w:tcPr>
            <w:vAlign w:val="center"/>
            <w:shd w:fill="0D5577"/>
          </w:tcPr>
          <w:p>
            <w:pPr>
              <w:pStyle w:val="Compact"/>
              <w:spacing w:after="40"/>
              <w:jc w:val="left"/>
            </w:pPr>
            <w:r>
              <w:rPr>
                <w:b/>
                <w:color w:val="FFFFFF"/>
                <w:sz w:val="16"/>
              </w:rPr>
              <w:t xml:space="preserve">Target / requirement</w:t>
            </w:r>
          </w:p>
        </w:tc>
      </w:tr>
      <w:tr>
        <w:trPr>
          <w:cantSplit/>
        </w:trPr>
        <w:tc>
          <w:tcPr>
            <w:vAlign w:val="center"/>
          </w:tcPr>
          <w:p>
            <w:pPr>
              <w:pStyle w:val="Compact"/>
              <w:spacing w:after="40"/>
              <w:jc w:val="left"/>
            </w:pPr>
            <w:r>
              <w:rPr>
                <w:sz w:val="16"/>
              </w:rPr>
              <w:t xml:space="preserve">Availability</w:t>
            </w:r>
          </w:p>
        </w:tc>
        <w:tc>
          <w:tcPr>
            <w:vAlign w:val="center"/>
          </w:tcPr>
          <w:p>
            <w:pPr>
              <w:pStyle w:val="Compact"/>
              <w:spacing w:after="40"/>
              <w:jc w:val="left"/>
            </w:pPr>
            <w:r>
              <w:rPr>
                <w:sz w:val="16"/>
              </w:rPr>
              <w:t xml:space="preserve">Standard SaaS 99.5% monthly target; enterprise SLA 99.9% target after proven capacity; scheduled maintenance disclosed</w:t>
            </w:r>
          </w:p>
        </w:tc>
      </w:tr>
      <w:tr>
        <w:trPr>
          <w:cantSplit/>
        </w:trPr>
        <w:tc>
          <w:tcPr>
            <w:vAlign w:val="center"/>
          </w:tcPr>
          <w:p>
            <w:pPr>
              <w:pStyle w:val="Compact"/>
              <w:spacing w:after="40"/>
              <w:jc w:val="left"/>
            </w:pPr>
            <w:r>
              <w:rPr>
                <w:sz w:val="16"/>
              </w:rPr>
              <w:t xml:space="preserve">Performance</w:t>
            </w:r>
          </w:p>
        </w:tc>
        <w:tc>
          <w:tcPr>
            <w:vAlign w:val="center"/>
          </w:tcPr>
          <w:p>
            <w:pPr>
              <w:pStyle w:val="Compact"/>
              <w:spacing w:after="40"/>
              <w:jc w:val="left"/>
            </w:pPr>
            <w:r>
              <w:rPr>
                <w:sz w:val="16"/>
              </w:rPr>
              <w:t xml:space="preserve">p95 interactive page response &lt;2.5 sec under agreed load and normal connection; design for usable 3G experience</w:t>
            </w:r>
          </w:p>
        </w:tc>
      </w:tr>
      <w:tr>
        <w:trPr>
          <w:cantSplit/>
        </w:trPr>
        <w:tc>
          <w:tcPr>
            <w:vAlign w:val="center"/>
          </w:tcPr>
          <w:p>
            <w:pPr>
              <w:pStyle w:val="Compact"/>
              <w:spacing w:after="40"/>
              <w:jc w:val="left"/>
            </w:pPr>
            <w:r>
              <w:rPr>
                <w:sz w:val="16"/>
              </w:rPr>
              <w:t xml:space="preserve">Scale</w:t>
            </w:r>
          </w:p>
        </w:tc>
        <w:tc>
          <w:tcPr>
            <w:vAlign w:val="center"/>
          </w:tcPr>
          <w:p>
            <w:pPr>
              <w:pStyle w:val="Compact"/>
              <w:spacing w:after="40"/>
              <w:jc w:val="left"/>
            </w:pPr>
            <w:r>
              <w:rPr>
                <w:sz w:val="16"/>
              </w:rPr>
              <w:t xml:space="preserve">Initial 100 schools / 100,000 enrolled learner records design target; load-test target, not an existing capacity claim; horizontally scale web and workers</w:t>
            </w:r>
          </w:p>
        </w:tc>
      </w:tr>
      <w:tr>
        <w:trPr>
          <w:cantSplit/>
        </w:trPr>
        <w:tc>
          <w:tcPr>
            <w:vAlign w:val="center"/>
          </w:tcPr>
          <w:p>
            <w:pPr>
              <w:pStyle w:val="Compact"/>
              <w:spacing w:after="40"/>
              <w:jc w:val="left"/>
            </w:pPr>
            <w:r>
              <w:rPr>
                <w:sz w:val="16"/>
              </w:rPr>
              <w:t xml:space="preserve">Recovery</w:t>
            </w:r>
          </w:p>
        </w:tc>
        <w:tc>
          <w:tcPr>
            <w:vAlign w:val="center"/>
          </w:tcPr>
          <w:p>
            <w:pPr>
              <w:pStyle w:val="Compact"/>
              <w:spacing w:after="40"/>
              <w:jc w:val="left"/>
            </w:pPr>
            <w:r>
              <w:rPr>
                <w:sz w:val="16"/>
              </w:rPr>
              <w:t xml:space="preserve">Hosted financial data targeted RPO &lt;=1 hour and RTO &lt;=4 hours at mature tier; standard initial tier RPO &lt;=24 hours, RTO &lt;=8 hours, validated by drills</w:t>
            </w:r>
          </w:p>
        </w:tc>
      </w:tr>
      <w:tr>
        <w:trPr>
          <w:cantSplit/>
        </w:trPr>
        <w:tc>
          <w:tcPr>
            <w:vAlign w:val="center"/>
          </w:tcPr>
          <w:p>
            <w:pPr>
              <w:pStyle w:val="Compact"/>
              <w:spacing w:after="40"/>
              <w:jc w:val="left"/>
            </w:pPr>
            <w:r>
              <w:rPr>
                <w:sz w:val="16"/>
              </w:rPr>
              <w:t xml:space="preserve">Mobile/low bandwidth</w:t>
            </w:r>
          </w:p>
        </w:tc>
        <w:tc>
          <w:tcPr>
            <w:vAlign w:val="center"/>
          </w:tcPr>
          <w:p>
            <w:pPr>
              <w:pStyle w:val="Compact"/>
              <w:spacing w:after="40"/>
              <w:jc w:val="left"/>
            </w:pPr>
            <w:r>
              <w:rPr>
                <w:sz w:val="16"/>
              </w:rPr>
              <w:t xml:space="preserve">Responsive web/PWA; offline staff attendance and limited queued data capture; parent pages use small payloads</w:t>
            </w:r>
          </w:p>
        </w:tc>
      </w:tr>
      <w:tr>
        <w:trPr>
          <w:cantSplit/>
        </w:trPr>
        <w:tc>
          <w:tcPr>
            <w:vAlign w:val="center"/>
          </w:tcPr>
          <w:p>
            <w:pPr>
              <w:pStyle w:val="Compact"/>
              <w:spacing w:after="40"/>
              <w:jc w:val="left"/>
            </w:pPr>
            <w:r>
              <w:rPr>
                <w:sz w:val="16"/>
              </w:rPr>
              <w:t xml:space="preserve">Accessibility</w:t>
            </w:r>
          </w:p>
        </w:tc>
        <w:tc>
          <w:tcPr>
            <w:vAlign w:val="center"/>
          </w:tcPr>
          <w:p>
            <w:pPr>
              <w:pStyle w:val="Compact"/>
              <w:spacing w:after="40"/>
              <w:jc w:val="left"/>
            </w:pPr>
            <w:r>
              <w:rPr>
                <w:sz w:val="16"/>
              </w:rPr>
              <w:t xml:space="preserve">Target WCAG 2.2 AA for portal workflows; keyboard use, labels, screen reader semantics and legible reports</w:t>
            </w:r>
          </w:p>
        </w:tc>
      </w:tr>
      <w:tr>
        <w:trPr>
          <w:cantSplit/>
        </w:trPr>
        <w:tc>
          <w:tcPr>
            <w:vAlign w:val="center"/>
          </w:tcPr>
          <w:p>
            <w:pPr>
              <w:pStyle w:val="Compact"/>
              <w:spacing w:after="40"/>
              <w:jc w:val="left"/>
            </w:pPr>
            <w:r>
              <w:rPr>
                <w:sz w:val="16"/>
              </w:rPr>
              <w:t xml:space="preserve">Availability of exports</w:t>
            </w:r>
          </w:p>
        </w:tc>
        <w:tc>
          <w:tcPr>
            <w:vAlign w:val="center"/>
          </w:tcPr>
          <w:p>
            <w:pPr>
              <w:pStyle w:val="Compact"/>
              <w:spacing w:after="40"/>
              <w:jc w:val="left"/>
            </w:pPr>
            <w:r>
              <w:rPr>
                <w:sz w:val="16"/>
              </w:rPr>
              <w:t xml:space="preserve">CSV/XLSX/PDF downloadable to authorised users and tracked in audit; scheduled export and secure time-limited links</w:t>
            </w:r>
          </w:p>
        </w:tc>
      </w:tr>
      <w:tr>
        <w:trPr>
          <w:cantSplit/>
        </w:trPr>
        <w:tc>
          <w:tcPr>
            <w:vAlign w:val="center"/>
          </w:tcPr>
          <w:p>
            <w:pPr>
              <w:pStyle w:val="Compact"/>
              <w:spacing w:after="40"/>
              <w:jc w:val="left"/>
            </w:pPr>
            <w:r>
              <w:rPr>
                <w:sz w:val="16"/>
              </w:rPr>
              <w:t xml:space="preserve">Observability</w:t>
            </w:r>
          </w:p>
        </w:tc>
        <w:tc>
          <w:tcPr>
            <w:vAlign w:val="center"/>
          </w:tcPr>
          <w:p>
            <w:pPr>
              <w:pStyle w:val="Compact"/>
              <w:spacing w:after="40"/>
              <w:jc w:val="left"/>
            </w:pPr>
            <w:r>
              <w:rPr>
                <w:sz w:val="16"/>
              </w:rPr>
              <w:t xml:space="preserve">Structured logs, metrics, traces, automated health checks, error reporting and alert escalation without exposing child data</w:t>
            </w:r>
          </w:p>
        </w:tc>
      </w:tr>
      <w:tr>
        <w:trPr>
          <w:cantSplit/>
        </w:trPr>
        <w:tc>
          <w:tcPr>
            <w:vAlign w:val="center"/>
          </w:tcPr>
          <w:p>
            <w:pPr>
              <w:pStyle w:val="Compact"/>
              <w:spacing w:after="40"/>
              <w:jc w:val="left"/>
            </w:pPr>
            <w:r>
              <w:rPr>
                <w:sz w:val="16"/>
              </w:rPr>
              <w:t xml:space="preserve">Operational governance</w:t>
            </w:r>
          </w:p>
        </w:tc>
        <w:tc>
          <w:tcPr>
            <w:vAlign w:val="center"/>
          </w:tcPr>
          <w:p>
            <w:pPr>
              <w:pStyle w:val="Compact"/>
              <w:spacing w:after="40"/>
              <w:jc w:val="left"/>
            </w:pPr>
            <w:r>
              <w:rPr>
                <w:sz w:val="16"/>
              </w:rPr>
              <w:t xml:space="preserve">Infrastructure inventory, vulnerability patch policy, runbooks, restore exercises and change approvals</w:t>
            </w:r>
          </w:p>
        </w:tc>
      </w:tr>
      <w:tr>
        <w:trPr>
          <w:cantSplit/>
        </w:trPr>
        <w:tc>
          <w:tcPr>
            <w:vAlign w:val="center"/>
          </w:tcPr>
          <w:p>
            <w:pPr>
              <w:pStyle w:val="Compact"/>
              <w:spacing w:after="40"/>
              <w:jc w:val="left"/>
            </w:pPr>
            <w:r>
              <w:rPr>
                <w:sz w:val="16"/>
              </w:rPr>
              <w:t xml:space="preserve">Language/currency</w:t>
            </w:r>
          </w:p>
        </w:tc>
        <w:tc>
          <w:tcPr>
            <w:vAlign w:val="center"/>
          </w:tcPr>
          <w:p>
            <w:pPr>
              <w:pStyle w:val="Compact"/>
              <w:spacing w:after="40"/>
              <w:jc w:val="left"/>
            </w:pPr>
            <w:r>
              <w:rPr>
                <w:sz w:val="16"/>
              </w:rPr>
              <w:t xml:space="preserve">English UI initially; localisation-ready; ZMW primary, appropriate formatting and</w:t>
            </w:r>
            <w:r>
              <w:rPr>
                <w:sz w:val="16"/>
              </w:rPr>
              <w:t xml:space="preserve"> </w:t>
            </w:r>
            <w:r>
              <w:rPr>
                <w:rStyle w:val="VerbatimChar"/>
                <w:sz w:val="16"/>
              </w:rPr>
              <w:t xml:space="preserve">Africa/Lusaka</w:t>
            </w:r>
            <w:r>
              <w:rPr>
                <w:sz w:val="16"/>
              </w:rPr>
              <w:t xml:space="preserve"> </w:t>
            </w:r>
            <w:r>
              <w:rPr>
                <w:sz w:val="16"/>
              </w:rPr>
              <w:t xml:space="preserve">dates</w:t>
            </w:r>
          </w:p>
        </w:tc>
      </w:tr>
    </w:tbl>
    <w:bookmarkEnd w:id="52"/>
    <w:bookmarkStart w:id="55" w:name="X69d286056b64af1d30cc590785f6fbb44b61870"/>
    <w:p>
      <w:pPr>
        <w:pStyle w:val="Heading2"/>
        <w:keepNext/>
      </w:pPr>
      <w:r>
        <w:t xml:space="preserve">10. Technical architecture and deployment models</w:t>
      </w:r>
    </w:p>
    <w:bookmarkStart w:id="53" w:name="recommended-initial-stack"/>
    <w:p>
      <w:pPr>
        <w:pStyle w:val="Heading3"/>
        <w:keepNext/>
      </w:pPr>
      <w:r>
        <w:t xml:space="preserve">10.1 Recommended initial stack</w:t>
      </w:r>
    </w:p>
    <w:p>
      <w:pPr>
        <w:pStyle w:val="Compact"/>
        <w:numPr>
          <w:ilvl w:val="0"/>
          <w:numId w:val="1017"/>
        </w:numPr>
      </w:pPr>
      <w:r>
        <w:rPr>
          <w:b/>
          <w:bCs/>
        </w:rPr>
        <w:t xml:space="preserve">Frontend:</w:t>
      </w:r>
      <w:r>
        <w:t xml:space="preserve"> </w:t>
      </w:r>
      <w:r>
        <w:t xml:space="preserve">TypeScript + Next.js/React, responsive design system, accessible tables/forms, PWA offline attendance extension.</w:t>
      </w:r>
    </w:p>
    <w:p>
      <w:pPr>
        <w:pStyle w:val="Compact"/>
        <w:numPr>
          <w:ilvl w:val="0"/>
          <w:numId w:val="1017"/>
        </w:numPr>
      </w:pPr>
      <w:r>
        <w:rPr>
          <w:b/>
          <w:bCs/>
        </w:rPr>
        <w:t xml:space="preserve">Backend:</w:t>
      </w:r>
      <w:r>
        <w:t xml:space="preserve"> </w:t>
      </w:r>
      <w:r>
        <w:t xml:space="preserve">Node.js/TypeScript + NestJS (or well-structured Express), OpenAPI REST, domain module boundaries and shared event/outbox infrastructure.</w:t>
      </w:r>
    </w:p>
    <w:p>
      <w:pPr>
        <w:pStyle w:val="Compact"/>
        <w:numPr>
          <w:ilvl w:val="0"/>
          <w:numId w:val="1017"/>
        </w:numPr>
      </w:pPr>
      <w:r>
        <w:rPr>
          <w:b/>
          <w:bCs/>
        </w:rPr>
        <w:t xml:space="preserve">Database:</w:t>
      </w:r>
      <w:r>
        <w:t xml:space="preserve"> </w:t>
      </w:r>
      <w:r>
        <w:t xml:space="preserve">PostgreSQL 16+ with tenant-scoped relational schema and explicit isolation policies; use RLS as defence in depth where feasible.</w:t>
      </w:r>
    </w:p>
    <w:p>
      <w:pPr>
        <w:pStyle w:val="Compact"/>
        <w:numPr>
          <w:ilvl w:val="0"/>
          <w:numId w:val="1017"/>
        </w:numPr>
      </w:pPr>
      <w:r>
        <w:rPr>
          <w:b/>
          <w:bCs/>
        </w:rPr>
        <w:t xml:space="preserve">Queue/cache:</w:t>
      </w:r>
      <w:r>
        <w:t xml:space="preserve"> </w:t>
      </w:r>
      <w:r>
        <w:t xml:space="preserve">Redis + BullMQ or equivalent for reminders, payment webhooks, report rendering, email/SMS and imports.</w:t>
      </w:r>
    </w:p>
    <w:p>
      <w:pPr>
        <w:pStyle w:val="Compact"/>
        <w:numPr>
          <w:ilvl w:val="0"/>
          <w:numId w:val="1017"/>
        </w:numPr>
      </w:pPr>
      <w:r>
        <w:rPr>
          <w:b/>
          <w:bCs/>
        </w:rPr>
        <w:t xml:space="preserve">Storage:</w:t>
      </w:r>
      <w:r>
        <w:t xml:space="preserve"> </w:t>
      </w:r>
      <w:r>
        <w:t xml:space="preserve">Encrypted S3-compatible object storage physically hosted in Zambia with signed URLs and document-scoped policies.</w:t>
      </w:r>
    </w:p>
    <w:p>
      <w:pPr>
        <w:pStyle w:val="Compact"/>
        <w:numPr>
          <w:ilvl w:val="0"/>
          <w:numId w:val="1017"/>
        </w:numPr>
      </w:pPr>
      <w:r>
        <w:rPr>
          <w:b/>
          <w:bCs/>
        </w:rPr>
        <w:t xml:space="preserve">Infrastructure:</w:t>
      </w:r>
      <w:r>
        <w:t xml:space="preserve"> </w:t>
      </w:r>
      <w:r>
        <w:t xml:space="preserve">Docker containers, Linux hardened hosts, reverse proxy, TLS, CI/CD, migration tooling, health checks, metrics and secure secrets.</w:t>
      </w:r>
    </w:p>
    <w:p>
      <w:pPr>
        <w:pStyle w:val="Compact"/>
        <w:numPr>
          <w:ilvl w:val="0"/>
          <w:numId w:val="1017"/>
        </w:numPr>
      </w:pPr>
      <w:r>
        <w:rPr>
          <w:b/>
          <w:bCs/>
        </w:rPr>
        <w:t xml:space="preserve">Analytics:</w:t>
      </w:r>
      <w:r>
        <w:t xml:space="preserve"> </w:t>
      </w:r>
      <w:r>
        <w:t xml:space="preserve">Materialised/aggregated reporting tables first; add BI warehouse only when school scale warrants it.</w:t>
      </w:r>
    </w:p>
    <w:p>
      <w:pPr>
        <w:pStyle w:val="Compact"/>
        <w:numPr>
          <w:ilvl w:val="0"/>
          <w:numId w:val="1017"/>
        </w:numPr>
      </w:pPr>
      <w:r>
        <w:rPr>
          <w:b/>
          <w:bCs/>
        </w:rPr>
        <w:t xml:space="preserve">Payments:</w:t>
      </w:r>
      <w:r>
        <w:t xml:space="preserve"> </w:t>
      </w:r>
      <w:r>
        <w:t xml:space="preserve">Gateway adapter interface; merchant-specific sandbox and production credentials, no in-house wallet or custody ledger.</w:t>
      </w:r>
    </w:p>
    <w:p>
      <w:pPr>
        <w:pStyle w:val="FirstParagraph"/>
      </w:pPr>
      <w:r>
        <w:rPr>
          <w:b/>
          <w:bCs/>
        </w:rPr>
        <w:t xml:space="preserve">Deployment shape:</w:t>
      </w:r>
      <w:r>
        <w:t xml:space="preserve"> </w:t>
      </w:r>
      <w:r>
        <w:rPr>
          <w:rStyle w:val="VerbatimChar"/>
        </w:rPr>
        <w:t xml:space="preserve">PWA/Web and parent portal → API Gateway/Reverse proxy → modular SMIS API → PostgreSQL</w:t>
      </w:r>
      <w:r>
        <w:t xml:space="preserve">; asynchronous workers handle notifications, payment reconciliation, exports and analytics. All services enforce tenant scopes; external adapters are isolated, logged and monitored.</w:t>
      </w:r>
    </w:p>
    <w:bookmarkEnd w:id="53"/>
    <w:bookmarkStart w:id="54" w:name="hosting-choices"/>
    <w:p>
      <w:pPr>
        <w:pStyle w:val="Heading3"/>
        <w:keepNext/>
      </w:pPr>
      <w:r>
        <w:t xml:space="preserve">10.2 Hosting choices</w:t>
      </w:r>
    </w:p>
    <w:tbl>
      <w:tblPr>
        <w:tblW w:type="pct" w:w="5000"/>
        <w:jc w:val="center"/>
        <w:tblLayout w:type="autofit"/>
        <w:tblLook w:firstRow="1" w:lastRow="0" w:firstColumn="0" w:lastColumn="0" w:noHBand="0" w:noVBand="0" w:val="0020"/>
      </w:tblPr>
      <w:tblGrid>
        <w:gridCol w:w="2640"/>
        <w:gridCol w:w="2640"/>
        <w:gridCol w:w="2640"/>
      </w:tblGrid>
      <w:tr>
        <w:trPr>
          <w:tblHeader w:val="on"/>
          <w:cantSplit/>
        </w:trPr>
        <w:tc>
          <w:tcPr>
            <w:vAlign w:val="center"/>
            <w:shd w:fill="0D5577"/>
          </w:tcPr>
          <w:p>
            <w:pPr>
              <w:pStyle w:val="Compact"/>
              <w:spacing w:after="40"/>
              <w:jc w:val="left"/>
            </w:pPr>
            <w:r>
              <w:rPr>
                <w:b/>
                <w:color w:val="FFFFFF"/>
                <w:sz w:val="16"/>
              </w:rPr>
              <w:t xml:space="preserve">Model</w:t>
            </w:r>
          </w:p>
        </w:tc>
        <w:tc>
          <w:tcPr>
            <w:vAlign w:val="center"/>
            <w:shd w:fill="0D5577"/>
          </w:tcPr>
          <w:p>
            <w:pPr>
              <w:pStyle w:val="Compact"/>
              <w:spacing w:after="40"/>
              <w:jc w:val="left"/>
            </w:pPr>
            <w:r>
              <w:rPr>
                <w:b/>
                <w:color w:val="FFFFFF"/>
                <w:sz w:val="16"/>
              </w:rPr>
              <w:t xml:space="preserve">Appropriate customer</w:t>
            </w:r>
          </w:p>
        </w:tc>
        <w:tc>
          <w:tcPr>
            <w:vAlign w:val="center"/>
            <w:shd w:fill="0D5577"/>
          </w:tcPr>
          <w:p>
            <w:pPr>
              <w:pStyle w:val="Compact"/>
              <w:spacing w:after="40"/>
              <w:jc w:val="left"/>
            </w:pPr>
            <w:r>
              <w:rPr>
                <w:b/>
                <w:color w:val="FFFFFF"/>
                <w:sz w:val="16"/>
              </w:rPr>
              <w:t xml:space="preserve">Ownership and responsibilities</w:t>
            </w:r>
          </w:p>
        </w:tc>
      </w:tr>
      <w:tr>
        <w:trPr>
          <w:cantSplit/>
        </w:trPr>
        <w:tc>
          <w:tcPr>
            <w:vAlign w:val="center"/>
          </w:tcPr>
          <w:p>
            <w:pPr>
              <w:pStyle w:val="Compact"/>
              <w:spacing w:after="40"/>
              <w:jc w:val="left"/>
            </w:pPr>
            <w:r>
              <w:rPr>
                <w:b/>
                <w:bCs/>
                <w:sz w:val="16"/>
              </w:rPr>
              <w:t xml:space="preserve">Shared secure Zambia-hosted SaaS</w:t>
            </w:r>
            <w:r>
              <w:rPr>
                <w:sz w:val="16"/>
              </w:rPr>
              <w:t xml:space="preserve"> </w:t>
            </w:r>
            <w:r>
              <w:rPr>
                <w:sz w:val="16"/>
              </w:rPr>
              <w:t xml:space="preserve">(default)</w:t>
            </w:r>
          </w:p>
        </w:tc>
        <w:tc>
          <w:tcPr>
            <w:vAlign w:val="center"/>
          </w:tcPr>
          <w:p>
            <w:pPr>
              <w:pStyle w:val="Compact"/>
              <w:spacing w:after="40"/>
              <w:jc w:val="left"/>
            </w:pPr>
            <w:r>
              <w:rPr>
                <w:sz w:val="16"/>
              </w:rPr>
              <w:t xml:space="preserve">Small and medium schools</w:t>
            </w:r>
          </w:p>
        </w:tc>
        <w:tc>
          <w:tcPr>
            <w:vAlign w:val="center"/>
          </w:tcPr>
          <w:p>
            <w:pPr>
              <w:pStyle w:val="Compact"/>
              <w:spacing w:after="40"/>
              <w:jc w:val="left"/>
            </w:pPr>
            <w:r>
              <w:rPr>
                <w:sz w:val="16"/>
              </w:rPr>
              <w:t xml:space="preserve">Vendor operates app, backups, upgrades, monitoring; schools configure records and user rights; contract sets data processor terms</w:t>
            </w:r>
          </w:p>
        </w:tc>
      </w:tr>
      <w:tr>
        <w:trPr>
          <w:cantSplit/>
        </w:trPr>
        <w:tc>
          <w:tcPr>
            <w:vAlign w:val="center"/>
          </w:tcPr>
          <w:p>
            <w:pPr>
              <w:pStyle w:val="Compact"/>
              <w:spacing w:after="40"/>
              <w:jc w:val="left"/>
            </w:pPr>
            <w:r>
              <w:rPr>
                <w:b/>
                <w:bCs/>
                <w:sz w:val="16"/>
              </w:rPr>
              <w:t xml:space="preserve">Dedicated Zambia-hosted private SaaS</w:t>
            </w:r>
          </w:p>
        </w:tc>
        <w:tc>
          <w:tcPr>
            <w:vAlign w:val="center"/>
          </w:tcPr>
          <w:p>
            <w:pPr>
              <w:pStyle w:val="Compact"/>
              <w:spacing w:after="40"/>
              <w:jc w:val="left"/>
            </w:pPr>
            <w:r>
              <w:rPr>
                <w:sz w:val="16"/>
              </w:rPr>
              <w:t xml:space="preserve">Large or multi-campus schools</w:t>
            </w:r>
          </w:p>
        </w:tc>
        <w:tc>
          <w:tcPr>
            <w:vAlign w:val="center"/>
          </w:tcPr>
          <w:p>
            <w:pPr>
              <w:pStyle w:val="Compact"/>
              <w:spacing w:after="40"/>
              <w:jc w:val="left"/>
            </w:pPr>
            <w:r>
              <w:rPr>
                <w:sz w:val="16"/>
              </w:rPr>
              <w:t xml:space="preserve">Separate environment/database and tailored SLA; vendor operates; premium monthly/annual fee</w:t>
            </w:r>
          </w:p>
        </w:tc>
      </w:tr>
      <w:tr>
        <w:trPr>
          <w:cantSplit/>
        </w:trPr>
        <w:tc>
          <w:tcPr>
            <w:vAlign w:val="center"/>
          </w:tcPr>
          <w:p>
            <w:pPr>
              <w:pStyle w:val="Compact"/>
              <w:spacing w:after="40"/>
              <w:jc w:val="left"/>
            </w:pPr>
            <w:r>
              <w:rPr>
                <w:b/>
                <w:bCs/>
                <w:sz w:val="16"/>
              </w:rPr>
              <w:t xml:space="preserve">School-managed/private on-premises</w:t>
            </w:r>
          </w:p>
        </w:tc>
        <w:tc>
          <w:tcPr>
            <w:vAlign w:val="center"/>
          </w:tcPr>
          <w:p>
            <w:pPr>
              <w:pStyle w:val="Compact"/>
              <w:spacing w:after="40"/>
              <w:jc w:val="left"/>
            </w:pPr>
            <w:r>
              <w:rPr>
                <w:sz w:val="16"/>
              </w:rPr>
              <w:t xml:space="preserve">Institution with capable IT team</w:t>
            </w:r>
          </w:p>
        </w:tc>
        <w:tc>
          <w:tcPr>
            <w:vAlign w:val="center"/>
          </w:tcPr>
          <w:p>
            <w:pPr>
              <w:pStyle w:val="Compact"/>
              <w:spacing w:after="40"/>
              <w:jc w:val="left"/>
            </w:pPr>
            <w:r>
              <w:rPr>
                <w:sz w:val="16"/>
              </w:rPr>
              <w:t xml:space="preserve">School provides compliant infrastructure, connectivity, backups, security and administrators; vendor licences/maintains application</w:t>
            </w:r>
          </w:p>
        </w:tc>
      </w:tr>
      <w:tr>
        <w:trPr>
          <w:cantSplit/>
        </w:trPr>
        <w:tc>
          <w:tcPr>
            <w:vAlign w:val="center"/>
          </w:tcPr>
          <w:p>
            <w:pPr>
              <w:pStyle w:val="Compact"/>
              <w:spacing w:after="40"/>
              <w:jc w:val="left"/>
            </w:pPr>
            <w:r>
              <w:rPr>
                <w:b/>
                <w:bCs/>
                <w:sz w:val="16"/>
              </w:rPr>
              <w:t xml:space="preserve">Perpetual on-prem/private license</w:t>
            </w:r>
          </w:p>
        </w:tc>
        <w:tc>
          <w:tcPr>
            <w:vAlign w:val="center"/>
          </w:tcPr>
          <w:p>
            <w:pPr>
              <w:pStyle w:val="Compact"/>
              <w:spacing w:after="40"/>
              <w:jc w:val="left"/>
            </w:pPr>
            <w:r>
              <w:rPr>
                <w:sz w:val="16"/>
              </w:rPr>
              <w:t xml:space="preserve">Institution seeking capex ownership</w:t>
            </w:r>
          </w:p>
        </w:tc>
        <w:tc>
          <w:tcPr>
            <w:vAlign w:val="center"/>
          </w:tcPr>
          <w:p>
            <w:pPr>
              <w:pStyle w:val="Compact"/>
              <w:spacing w:after="40"/>
              <w:jc w:val="left"/>
            </w:pPr>
            <w:r>
              <w:rPr>
                <w:sz w:val="16"/>
              </w:rPr>
              <w:t xml:space="preserve">School buys right to use a version; maintenance, security updates and support separately contracted; software IP not transferred unless explicitly negotiated</w:t>
            </w:r>
          </w:p>
        </w:tc>
      </w:tr>
    </w:tbl>
    <w:p>
      <w:pPr>
        <w:pStyle w:val="BodyText"/>
      </w:pPr>
      <w:r>
        <w:t xml:space="preserve">A school-specific custom domain (</w:t>
      </w:r>
      <w:r>
        <w:rPr>
          <w:rStyle w:val="VerbatimChar"/>
        </w:rPr>
        <w:t xml:space="preserve">portal.schoolname...</w:t>
      </w:r>
      <w:r>
        <w:t xml:space="preserve">) is optional. White-label branding is a paid enterprise feature. Any remote vendor access to a school-hosted server requires written approval and access logging.</w:t>
      </w:r>
    </w:p>
    <w:bookmarkEnd w:id="54"/>
    <w:bookmarkEnd w:id="55"/>
    <w:bookmarkStart w:id="60" w:name="X86d4f9084dc637d0cf73ed124f307e54709926f"/>
    <w:p>
      <w:pPr>
        <w:pStyle w:val="Heading2"/>
        <w:keepNext/>
      </w:pPr>
      <w:r>
        <w:t xml:space="preserve">11. Packaging, entitlements and commercial strategy</w:t>
      </w:r>
    </w:p>
    <w:bookmarkStart w:id="56" w:name="product-policy"/>
    <w:p>
      <w:pPr>
        <w:pStyle w:val="Heading3"/>
        <w:keepNext/>
      </w:pPr>
      <w:r>
        <w:t xml:space="preserve">11.1 Product policy</w:t>
      </w:r>
    </w:p>
    <w:p>
      <w:pPr>
        <w:pStyle w:val="FirstParagraph"/>
      </w:pPr>
      <w:r>
        <w:t xml:space="preserve">Keep an</w:t>
      </w:r>
      <w:r>
        <w:t xml:space="preserve"> </w:t>
      </w:r>
      <w:r>
        <w:rPr>
          <w:b/>
          <w:bCs/>
        </w:rPr>
        <w:t xml:space="preserve">essential core</w:t>
      </w:r>
      <w:r>
        <w:t xml:space="preserve">, never lock a pupil’s historical records behind an unreasonably priced add-on, and price by</w:t>
      </w:r>
      <w:r>
        <w:t xml:space="preserve"> </w:t>
      </w:r>
      <w:r>
        <w:rPr>
          <w:b/>
          <w:bCs/>
        </w:rPr>
        <w:t xml:space="preserve">active enrolled learners</w:t>
      </w:r>
      <w:r>
        <w:t xml:space="preserve"> </w:t>
      </w:r>
      <w:r>
        <w:t xml:space="preserve">rather than number of parent accounts or teacher logins. Do not bill archived alumni as active seats. Provide an entry-level flat price so very small schools are not forced into per-user billing. No surprise cost for merely viewing report cards. Offer monthly, school-term and discounted annual payment options; show SMS and gateway transaction costs separately.</w:t>
      </w:r>
    </w:p>
    <w:bookmarkEnd w:id="56"/>
    <w:bookmarkStart w:id="57" w:name="X153d6f199f346b28562426723ad025fba41197d"/>
    <w:p>
      <w:pPr>
        <w:pStyle w:val="Heading3"/>
        <w:keepNext/>
      </w:pPr>
      <w:r>
        <w:t xml:space="preserve">11.2 Illustrative Zambia launch prices — business hypotheses, not market survey</w:t>
      </w:r>
    </w:p>
    <w:tbl>
      <w:tblPr>
        <w:tblW w:type="pct" w:w="5000"/>
        <w:jc w:val="center"/>
        <w:tblLayout w:type="autofit"/>
        <w:tblLook w:firstRow="1" w:lastRow="0" w:firstColumn="0" w:lastColumn="0" w:noHBand="0" w:noVBand="0" w:val="0020"/>
      </w:tblPr>
      <w:tblGrid>
        <w:gridCol w:w="1697"/>
        <w:gridCol w:w="2262"/>
        <w:gridCol w:w="2262"/>
        <w:gridCol w:w="1697"/>
      </w:tblGrid>
      <w:tr>
        <w:trPr>
          <w:tblHeader w:val="on"/>
          <w:cantSplit/>
        </w:trPr>
        <w:tc>
          <w:tcPr>
            <w:vAlign w:val="center"/>
            <w:shd w:fill="0D5577"/>
          </w:tcPr>
          <w:p>
            <w:pPr>
              <w:pStyle w:val="Compact"/>
              <w:spacing w:after="40"/>
              <w:jc w:val="left"/>
            </w:pPr>
            <w:r>
              <w:rPr>
                <w:b/>
                <w:color w:val="FFFFFF"/>
                <w:sz w:val="16"/>
              </w:rPr>
              <w:t xml:space="preserve">Hosted tier</w:t>
            </w:r>
          </w:p>
        </w:tc>
        <w:tc>
          <w:tcPr>
            <w:vAlign w:val="center"/>
            <w:shd w:fill="0D5577"/>
          </w:tcPr>
          <w:p>
            <w:pPr>
              <w:pStyle w:val="Compact"/>
              <w:spacing w:after="40"/>
              <w:jc w:val="right"/>
            </w:pPr>
            <w:r>
              <w:rPr>
                <w:b/>
                <w:color w:val="FFFFFF"/>
                <w:sz w:val="16"/>
              </w:rPr>
              <w:t xml:space="preserve">Active learners</w:t>
            </w:r>
          </w:p>
        </w:tc>
        <w:tc>
          <w:tcPr>
            <w:vAlign w:val="center"/>
            <w:shd w:fill="0D5577"/>
          </w:tcPr>
          <w:p>
            <w:pPr>
              <w:pStyle w:val="Compact"/>
              <w:spacing w:after="40"/>
              <w:jc w:val="right"/>
            </w:pPr>
            <w:r>
              <w:rPr>
                <w:b/>
                <w:color w:val="FFFFFF"/>
                <w:sz w:val="16"/>
              </w:rPr>
              <w:t xml:space="preserve">Monthly base subscription (ZMW)</w:t>
            </w:r>
          </w:p>
        </w:tc>
        <w:tc>
          <w:tcPr>
            <w:vAlign w:val="center"/>
            <w:shd w:fill="0D5577"/>
          </w:tcPr>
          <w:p>
            <w:pPr>
              <w:pStyle w:val="Compact"/>
              <w:spacing w:after="40"/>
              <w:jc w:val="left"/>
            </w:pPr>
            <w:r>
              <w:rPr>
                <w:b/>
                <w:color w:val="FFFFFF"/>
                <w:sz w:val="16"/>
              </w:rPr>
              <w:t xml:space="preserve">Included</w:t>
            </w:r>
          </w:p>
        </w:tc>
      </w:tr>
      <w:tr>
        <w:trPr>
          <w:cantSplit/>
        </w:trPr>
        <w:tc>
          <w:tcPr>
            <w:vAlign w:val="center"/>
          </w:tcPr>
          <w:p>
            <w:pPr>
              <w:pStyle w:val="Compact"/>
              <w:spacing w:after="40"/>
              <w:jc w:val="left"/>
            </w:pPr>
            <w:r>
              <w:rPr>
                <w:sz w:val="16"/>
              </w:rPr>
              <w:t xml:space="preserve">Community Starter</w:t>
            </w:r>
          </w:p>
        </w:tc>
        <w:tc>
          <w:tcPr>
            <w:vAlign w:val="center"/>
          </w:tcPr>
          <w:p>
            <w:pPr>
              <w:pStyle w:val="Compact"/>
              <w:spacing w:after="40"/>
              <w:jc w:val="right"/>
            </w:pPr>
            <w:r>
              <w:rPr>
                <w:sz w:val="16"/>
              </w:rPr>
              <w:t xml:space="preserve">1–80</w:t>
            </w:r>
          </w:p>
        </w:tc>
        <w:tc>
          <w:tcPr>
            <w:vAlign w:val="center"/>
          </w:tcPr>
          <w:p>
            <w:pPr>
              <w:pStyle w:val="Compact"/>
              <w:spacing w:after="40"/>
              <w:jc w:val="right"/>
            </w:pPr>
            <w:r>
              <w:rPr>
                <w:b/>
                <w:bCs/>
                <w:sz w:val="16"/>
              </w:rPr>
              <w:t xml:space="preserve">K149</w:t>
            </w:r>
          </w:p>
        </w:tc>
        <w:tc>
          <w:tcPr>
            <w:vAlign w:val="center"/>
          </w:tcPr>
          <w:p>
            <w:pPr>
              <w:pStyle w:val="Compact"/>
              <w:spacing w:after="40"/>
              <w:jc w:val="left"/>
            </w:pPr>
            <w:r>
              <w:rPr>
                <w:sz w:val="16"/>
              </w:rPr>
              <w:t xml:space="preserve">Student records, admissions, attendance, results, basic timetable, parent portal, manual fee ledger, core reports</w:t>
            </w:r>
          </w:p>
        </w:tc>
      </w:tr>
      <w:tr>
        <w:trPr>
          <w:cantSplit/>
        </w:trPr>
        <w:tc>
          <w:tcPr>
            <w:vAlign w:val="center"/>
          </w:tcPr>
          <w:p>
            <w:pPr>
              <w:pStyle w:val="Compact"/>
              <w:spacing w:after="40"/>
              <w:jc w:val="left"/>
            </w:pPr>
            <w:r>
              <w:rPr>
                <w:sz w:val="16"/>
              </w:rPr>
              <w:t xml:space="preserve">Growing School</w:t>
            </w:r>
          </w:p>
        </w:tc>
        <w:tc>
          <w:tcPr>
            <w:vAlign w:val="center"/>
          </w:tcPr>
          <w:p>
            <w:pPr>
              <w:pStyle w:val="Compact"/>
              <w:spacing w:after="40"/>
              <w:jc w:val="right"/>
            </w:pPr>
            <w:r>
              <w:rPr>
                <w:sz w:val="16"/>
              </w:rPr>
              <w:t xml:space="preserve">81–250</w:t>
            </w:r>
          </w:p>
        </w:tc>
        <w:tc>
          <w:tcPr>
            <w:vAlign w:val="center"/>
          </w:tcPr>
          <w:p>
            <w:pPr>
              <w:pStyle w:val="Compact"/>
              <w:spacing w:after="40"/>
              <w:jc w:val="right"/>
            </w:pPr>
            <w:r>
              <w:rPr>
                <w:b/>
                <w:bCs/>
                <w:sz w:val="16"/>
              </w:rPr>
              <w:t xml:space="preserve">K399</w:t>
            </w:r>
          </w:p>
        </w:tc>
        <w:tc>
          <w:tcPr>
            <w:vAlign w:val="center"/>
          </w:tcPr>
          <w:p>
            <w:pPr>
              <w:pStyle w:val="Compact"/>
              <w:spacing w:after="40"/>
              <w:jc w:val="left"/>
            </w:pPr>
            <w:r>
              <w:rPr>
                <w:sz w:val="16"/>
              </w:rPr>
              <w:t xml:space="preserve">All core, multi-class workflows, expanded reports and onboarding support</w:t>
            </w:r>
          </w:p>
        </w:tc>
      </w:tr>
      <w:tr>
        <w:trPr>
          <w:cantSplit/>
        </w:trPr>
        <w:tc>
          <w:tcPr>
            <w:vAlign w:val="center"/>
          </w:tcPr>
          <w:p>
            <w:pPr>
              <w:pStyle w:val="Compact"/>
              <w:spacing w:after="40"/>
              <w:jc w:val="left"/>
            </w:pPr>
            <w:r>
              <w:rPr>
                <w:sz w:val="16"/>
              </w:rPr>
              <w:t xml:space="preserve">Professional</w:t>
            </w:r>
          </w:p>
        </w:tc>
        <w:tc>
          <w:tcPr>
            <w:vAlign w:val="center"/>
          </w:tcPr>
          <w:p>
            <w:pPr>
              <w:pStyle w:val="Compact"/>
              <w:spacing w:after="40"/>
              <w:jc w:val="right"/>
            </w:pPr>
            <w:r>
              <w:rPr>
                <w:sz w:val="16"/>
              </w:rPr>
              <w:t xml:space="preserve">251–600</w:t>
            </w:r>
          </w:p>
        </w:tc>
        <w:tc>
          <w:tcPr>
            <w:vAlign w:val="center"/>
          </w:tcPr>
          <w:p>
            <w:pPr>
              <w:pStyle w:val="Compact"/>
              <w:spacing w:after="40"/>
              <w:jc w:val="right"/>
            </w:pPr>
            <w:r>
              <w:rPr>
                <w:b/>
                <w:bCs/>
                <w:sz w:val="16"/>
              </w:rPr>
              <w:t xml:space="preserve">K799</w:t>
            </w:r>
          </w:p>
        </w:tc>
        <w:tc>
          <w:tcPr>
            <w:vAlign w:val="center"/>
          </w:tcPr>
          <w:p>
            <w:pPr>
              <w:pStyle w:val="Compact"/>
              <w:spacing w:after="40"/>
              <w:jc w:val="left"/>
            </w:pPr>
            <w:r>
              <w:rPr>
                <w:sz w:val="16"/>
              </w:rPr>
              <w:t xml:space="preserve">Core, more approval controls, priority support, greater import and report capacity</w:t>
            </w:r>
          </w:p>
        </w:tc>
      </w:tr>
      <w:tr>
        <w:trPr>
          <w:cantSplit/>
        </w:trPr>
        <w:tc>
          <w:tcPr>
            <w:vAlign w:val="center"/>
          </w:tcPr>
          <w:p>
            <w:pPr>
              <w:pStyle w:val="Compact"/>
              <w:spacing w:after="40"/>
              <w:jc w:val="left"/>
            </w:pPr>
            <w:r>
              <w:rPr>
                <w:sz w:val="16"/>
              </w:rPr>
              <w:t xml:space="preserve">Campus Plus</w:t>
            </w:r>
          </w:p>
        </w:tc>
        <w:tc>
          <w:tcPr>
            <w:vAlign w:val="center"/>
          </w:tcPr>
          <w:p>
            <w:pPr>
              <w:pStyle w:val="Compact"/>
              <w:spacing w:after="40"/>
              <w:jc w:val="right"/>
            </w:pPr>
            <w:r>
              <w:rPr>
                <w:sz w:val="16"/>
              </w:rPr>
              <w:t xml:space="preserve">601–1,500</w:t>
            </w:r>
          </w:p>
        </w:tc>
        <w:tc>
          <w:tcPr>
            <w:vAlign w:val="center"/>
          </w:tcPr>
          <w:p>
            <w:pPr>
              <w:pStyle w:val="Compact"/>
              <w:spacing w:after="40"/>
              <w:jc w:val="right"/>
            </w:pPr>
            <w:r>
              <w:rPr>
                <w:b/>
                <w:bCs/>
                <w:sz w:val="16"/>
              </w:rPr>
              <w:t xml:space="preserve">K1,499</w:t>
            </w:r>
          </w:p>
        </w:tc>
        <w:tc>
          <w:tcPr>
            <w:vAlign w:val="center"/>
          </w:tcPr>
          <w:p>
            <w:pPr>
              <w:pStyle w:val="Compact"/>
              <w:spacing w:after="40"/>
              <w:jc w:val="left"/>
            </w:pPr>
            <w:r>
              <w:rPr>
                <w:sz w:val="16"/>
              </w:rPr>
              <w:t xml:space="preserve">Core, advanced analytics quota, enhanced administration and support</w:t>
            </w:r>
          </w:p>
        </w:tc>
      </w:tr>
      <w:tr>
        <w:trPr>
          <w:cantSplit/>
        </w:trPr>
        <w:tc>
          <w:tcPr>
            <w:vAlign w:val="center"/>
          </w:tcPr>
          <w:p>
            <w:pPr>
              <w:pStyle w:val="Compact"/>
              <w:spacing w:after="40"/>
              <w:jc w:val="left"/>
            </w:pPr>
            <w:r>
              <w:rPr>
                <w:sz w:val="16"/>
              </w:rPr>
              <w:t xml:space="preserve">Enterprise Group</w:t>
            </w:r>
          </w:p>
        </w:tc>
        <w:tc>
          <w:tcPr>
            <w:vAlign w:val="center"/>
          </w:tcPr>
          <w:p>
            <w:pPr>
              <w:pStyle w:val="Compact"/>
              <w:spacing w:after="40"/>
              <w:jc w:val="right"/>
            </w:pPr>
            <w:r>
              <w:rPr>
                <w:sz w:val="16"/>
              </w:rPr>
              <w:t xml:space="preserve">&gt;1,500 / multi-campus</w:t>
            </w:r>
          </w:p>
        </w:tc>
        <w:tc>
          <w:tcPr>
            <w:vAlign w:val="center"/>
          </w:tcPr>
          <w:p>
            <w:pPr>
              <w:pStyle w:val="Compact"/>
              <w:spacing w:after="40"/>
              <w:jc w:val="right"/>
            </w:pPr>
            <w:r>
              <w:rPr>
                <w:b/>
                <w:bCs/>
                <w:sz w:val="16"/>
              </w:rPr>
              <w:t xml:space="preserve">Custom quote</w:t>
            </w:r>
          </w:p>
        </w:tc>
        <w:tc>
          <w:tcPr>
            <w:vAlign w:val="center"/>
          </w:tcPr>
          <w:p>
            <w:pPr>
              <w:pStyle w:val="Compact"/>
              <w:spacing w:after="40"/>
              <w:jc w:val="left"/>
            </w:pPr>
            <w:r>
              <w:rPr>
                <w:sz w:val="16"/>
              </w:rPr>
              <w:t xml:space="preserve">Dedicated policies, custom SLA, branch consolidation and deployment options</w:t>
            </w:r>
          </w:p>
        </w:tc>
      </w:tr>
    </w:tbl>
    <w:p>
      <w:pPr>
        <w:pStyle w:val="BodyText"/>
      </w:pPr>
      <w:r>
        <w:rPr>
          <w:b/>
          <w:bCs/>
        </w:rPr>
        <w:t xml:space="preserve">Add-on pricing hypothesis (per school/month):</w:t>
      </w:r>
      <w:r>
        <w:t xml:space="preserve"> </w:t>
      </w:r>
      <w:r>
        <w:t xml:space="preserve">Online gateway/reconciliation</w:t>
      </w:r>
      <w:r>
        <w:t xml:space="preserve"> </w:t>
      </w:r>
      <w:r>
        <w:rPr>
          <w:b/>
          <w:bCs/>
        </w:rPr>
        <w:t xml:space="preserve">K99</w:t>
      </w:r>
      <w:r>
        <w:t xml:space="preserve"> </w:t>
      </w:r>
      <w:r>
        <w:t xml:space="preserve">(gateway fees additional); HR basic</w:t>
      </w:r>
      <w:r>
        <w:t xml:space="preserve"> </w:t>
      </w:r>
      <w:r>
        <w:rPr>
          <w:b/>
          <w:bCs/>
        </w:rPr>
        <w:t xml:space="preserve">K149</w:t>
      </w:r>
      <w:r>
        <w:t xml:space="preserve">; Payroll</w:t>
      </w:r>
      <w:r>
        <w:t xml:space="preserve"> </w:t>
      </w:r>
      <w:r>
        <w:rPr>
          <w:b/>
          <w:bCs/>
        </w:rPr>
        <w:t xml:space="preserve">K149</w:t>
      </w:r>
      <w:r>
        <w:t xml:space="preserve">; LMS</w:t>
      </w:r>
      <w:r>
        <w:t xml:space="preserve"> </w:t>
      </w:r>
      <w:r>
        <w:rPr>
          <w:b/>
          <w:bCs/>
        </w:rPr>
        <w:t xml:space="preserve">K149</w:t>
      </w:r>
      <w:r>
        <w:t xml:space="preserve">; Transport</w:t>
      </w:r>
      <w:r>
        <w:t xml:space="preserve"> </w:t>
      </w:r>
      <w:r>
        <w:rPr>
          <w:b/>
          <w:bCs/>
        </w:rPr>
        <w:t xml:space="preserve">K99</w:t>
      </w:r>
      <w:r>
        <w:t xml:space="preserve">; Library</w:t>
      </w:r>
      <w:r>
        <w:t xml:space="preserve"> </w:t>
      </w:r>
      <w:r>
        <w:rPr>
          <w:b/>
          <w:bCs/>
        </w:rPr>
        <w:t xml:space="preserve">K59</w:t>
      </w:r>
      <w:r>
        <w:t xml:space="preserve">; Inventory/assets</w:t>
      </w:r>
      <w:r>
        <w:t xml:space="preserve"> </w:t>
      </w:r>
      <w:r>
        <w:rPr>
          <w:b/>
          <w:bCs/>
        </w:rPr>
        <w:t xml:space="preserve">K99</w:t>
      </w:r>
      <w:r>
        <w:t xml:space="preserve">; Advanced finance</w:t>
      </w:r>
      <w:r>
        <w:t xml:space="preserve"> </w:t>
      </w:r>
      <w:r>
        <w:rPr>
          <w:b/>
          <w:bCs/>
        </w:rPr>
        <w:t xml:space="preserve">K199</w:t>
      </w:r>
      <w:r>
        <w:t xml:space="preserve">; premium communications/analytics packages</w:t>
      </w:r>
      <w:r>
        <w:t xml:space="preserve"> </w:t>
      </w:r>
      <w:r>
        <w:rPr>
          <w:b/>
          <w:bCs/>
        </w:rPr>
        <w:t xml:space="preserve">quoted</w:t>
      </w:r>
      <w:r>
        <w:t xml:space="preserve">. Offer 10–20% bundle discounts without hiding individual module prices. For Community Starter schools, allow a subsidised launch bundle and waivers where commercially feasible.</w:t>
      </w:r>
    </w:p>
    <w:p>
      <w:pPr>
        <w:pStyle w:val="BodyText"/>
      </w:pPr>
      <w:r>
        <w:rPr>
          <w:b/>
          <w:bCs/>
        </w:rPr>
        <w:t xml:space="preserve">Billing policy:</w:t>
      </w:r>
      <w:r>
        <w:t xml:space="preserve"> </w:t>
      </w:r>
      <w:r>
        <w:t xml:space="preserve">An</w:t>
      </w:r>
      <w:r>
        <w:t xml:space="preserve"> </w:t>
      </w:r>
      <w:r>
        <w:t xml:space="preserve">“</w:t>
      </w:r>
      <w:r>
        <w:t xml:space="preserve">active learner</w:t>
      </w:r>
      <w:r>
        <w:t xml:space="preserve">”</w:t>
      </w:r>
      <w:r>
        <w:t xml:space="preserve"> </w:t>
      </w:r>
      <w:r>
        <w:t xml:space="preserve">means a pupil currently enrolled in an active academic period; do not count withdrawn/alumni records. Review headcount each term with a grace band, rather than surprise mid-term overage invoices. Suspend only new non-essential transactions after a notice/grace period; always preserve controlled read/export access and student safeguarding/emergency information under agreed terms.</w:t>
      </w:r>
    </w:p>
    <w:p>
      <w:pPr>
        <w:pStyle w:val="BodyText"/>
      </w:pPr>
      <w:r>
        <w:rPr>
          <w:b/>
          <w:bCs/>
        </w:rPr>
        <w:t xml:space="preserve">Payment cadence:</w:t>
      </w:r>
      <w:r>
        <w:t xml:space="preserve"> </w:t>
      </w:r>
      <w:r>
        <w:t xml:space="preserve">Monthly, at published monthly rate; termly prepaid (3 months, no surcharge); annual prepaid (suggested 10% discount). Separate optional installation/data-cleaning fee (small school: waive during pilot; complex migration quoted). Payment-provider merchant fees, SMS/WhatsApp charges, school domain registration and dedicated infrastructure are pass-through or separately quoted, transparently.</w:t>
      </w:r>
    </w:p>
    <w:bookmarkEnd w:id="57"/>
    <w:bookmarkStart w:id="58" w:name="alternative-purchase-self-host-models"/>
    <w:p>
      <w:pPr>
        <w:pStyle w:val="Heading3"/>
        <w:keepNext/>
      </w:pPr>
      <w:r>
        <w:t xml:space="preserve">11.3 Alternative purchase / self-host models</w:t>
      </w:r>
    </w:p>
    <w:p>
      <w:pPr>
        <w:pStyle w:val="Compact"/>
        <w:numPr>
          <w:ilvl w:val="0"/>
          <w:numId w:val="1018"/>
        </w:numPr>
      </w:pPr>
      <w:r>
        <w:rPr>
          <w:b/>
          <w:bCs/>
        </w:rPr>
        <w:t xml:space="preserve">Annual private-instance licence:</w:t>
      </w:r>
      <w:r>
        <w:t xml:space="preserve"> </w:t>
      </w:r>
      <w:r>
        <w:t xml:space="preserve">starting commercial</w:t>
      </w:r>
      <w:r>
        <w:t xml:space="preserve"> </w:t>
      </w:r>
      <w:r>
        <w:rPr>
          <w:b/>
          <w:bCs/>
        </w:rPr>
        <w:t xml:space="preserve">indicative K12,000–K25,000/year</w:t>
      </w:r>
      <w:r>
        <w:t xml:space="preserve"> </w:t>
      </w:r>
      <w:r>
        <w:t xml:space="preserve">for smaller single campuses, plus separately quoted deployment/hosting/support obligations; advanced and larger installations cost more.</w:t>
      </w:r>
    </w:p>
    <w:p>
      <w:pPr>
        <w:pStyle w:val="Compact"/>
        <w:numPr>
          <w:ilvl w:val="0"/>
          <w:numId w:val="1018"/>
        </w:numPr>
      </w:pPr>
      <w:r>
        <w:rPr>
          <w:b/>
          <w:bCs/>
        </w:rPr>
        <w:t xml:space="preserve">Perpetual site licence:</w:t>
      </w:r>
      <w:r>
        <w:t xml:space="preserve"> </w:t>
      </w:r>
      <w:r>
        <w:rPr>
          <w:b/>
          <w:bCs/>
        </w:rPr>
        <w:t xml:space="preserve">indicative K25,000–K90,000+ upfront</w:t>
      </w:r>
      <w:r>
        <w:t xml:space="preserve"> </w:t>
      </w:r>
      <w:r>
        <w:t xml:space="preserve">based on learner count/modules/site count, plus optional or contractually required</w:t>
      </w:r>
      <w:r>
        <w:t xml:space="preserve"> </w:t>
      </w:r>
      <w:r>
        <w:rPr>
          <w:b/>
          <w:bCs/>
        </w:rPr>
        <w:t xml:space="preserve">18–25% per year</w:t>
      </w:r>
      <w:r>
        <w:t xml:space="preserve"> </w:t>
      </w:r>
      <w:r>
        <w:t xml:space="preserve">for new versions, security updates and support. Clarify consequences of ending support.</w:t>
      </w:r>
    </w:p>
    <w:p>
      <w:pPr>
        <w:pStyle w:val="Compact"/>
        <w:numPr>
          <w:ilvl w:val="0"/>
          <w:numId w:val="1018"/>
        </w:numPr>
      </w:pPr>
      <w:r>
        <w:rPr>
          <w:b/>
          <w:bCs/>
        </w:rPr>
        <w:t xml:space="preserve">Custom implementation:</w:t>
      </w:r>
      <w:r>
        <w:t xml:space="preserve"> </w:t>
      </w:r>
      <w:r>
        <w:t xml:space="preserve">data cleansing, integration, training, on-prem deployment and SLA priced through a statement of work; minimum compliance and security requirements cannot be opted out of.</w:t>
      </w:r>
    </w:p>
    <w:p>
      <w:pPr>
        <w:pStyle w:val="Compact"/>
        <w:numPr>
          <w:ilvl w:val="0"/>
          <w:numId w:val="1018"/>
        </w:numPr>
      </w:pPr>
      <w:r>
        <w:rPr>
          <w:b/>
          <w:bCs/>
        </w:rPr>
        <w:t xml:space="preserve">Multi-school franchise/group pricing:</w:t>
      </w:r>
      <w:r>
        <w:t xml:space="preserve"> </w:t>
      </w:r>
      <w:r>
        <w:t xml:space="preserve">base group fee plus per-campus or learner bands, shared group dashboards and consolidated billing where approved.</w:t>
      </w:r>
    </w:p>
    <w:p>
      <w:pPr>
        <w:pStyle w:val="FirstParagraph"/>
      </w:pPr>
      <w:r>
        <w:t xml:space="preserve">These are</w:t>
      </w:r>
      <w:r>
        <w:t xml:space="preserve"> </w:t>
      </w:r>
      <w:r>
        <w:rPr>
          <w:b/>
          <w:bCs/>
        </w:rPr>
        <w:t xml:space="preserve">proposed commercial price points requiring pilots and unit-economics validation</w:t>
      </w:r>
      <w:r>
        <w:t xml:space="preserve">, not verified current competitor rates or prices offered by third parties.</w:t>
      </w:r>
    </w:p>
    <w:bookmarkEnd w:id="58"/>
    <w:bookmarkStart w:id="59" w:name="unit-economics-and-sustainability-gate"/>
    <w:p>
      <w:pPr>
        <w:pStyle w:val="Heading3"/>
        <w:keepNext/>
      </w:pPr>
      <w:r>
        <w:t xml:space="preserve">11.4 Unit economics and sustainability gate</w:t>
      </w:r>
    </w:p>
    <w:p>
      <w:pPr>
        <w:pStyle w:val="FirstParagraph"/>
      </w:pPr>
      <w:r>
        <w:t xml:space="preserve">Before publishing prices, model Zambia-hosted compute/storage and encrypted backup per tenant; human support; SMS charges; payment gateway fees; customer acquisition; onboarding labour; legal/compliance cost; payment collection risk; security testing; disaster recovery; and support tier. At K149/month, support must be largely self-service and infrastructure safely shared. If compliant local hosting makes the starter tier uneconomic, fund it through a group-school programme, minimum annual commitment or transparent higher price—</w:t>
      </w:r>
      <w:r>
        <w:rPr>
          <w:b/>
          <w:bCs/>
        </w:rPr>
        <w:t xml:space="preserve">not</w:t>
      </w:r>
      <w:r>
        <w:t xml:space="preserve"> </w:t>
      </w:r>
      <w:r>
        <w:t xml:space="preserve">by weakening data protection.</w:t>
      </w:r>
    </w:p>
    <w:bookmarkEnd w:id="59"/>
    <w:bookmarkEnd w:id="60"/>
    <w:bookmarkStart w:id="63" w:name="X9e44fa02028ea25d55ad601778f69db56c41d8a"/>
    <w:p>
      <w:pPr>
        <w:pStyle w:val="Heading2"/>
        <w:keepNext/>
      </w:pPr>
      <w:r>
        <w:t xml:space="preserve">12. MVP, staged roadmap and release boundaries</w:t>
      </w:r>
    </w:p>
    <w:tbl>
      <w:tblPr>
        <w:tblW w:type="pct" w:w="5000"/>
        <w:jc w:val="center"/>
        <w:tblLayout w:type="autofit"/>
        <w:tblLook w:firstRow="1" w:lastRow="0" w:firstColumn="0" w:lastColumn="0" w:noHBand="0" w:noVBand="0" w:val="0020"/>
      </w:tblPr>
      <w:tblGrid>
        <w:gridCol w:w="2640"/>
        <w:gridCol w:w="2640"/>
        <w:gridCol w:w="2640"/>
      </w:tblGrid>
      <w:tr>
        <w:trPr>
          <w:tblHeader w:val="on"/>
          <w:cantSplit/>
        </w:trPr>
        <w:tc>
          <w:tcPr>
            <w:vAlign w:val="center"/>
            <w:shd w:fill="0D5577"/>
          </w:tcPr>
          <w:p>
            <w:pPr>
              <w:pStyle w:val="Compact"/>
              <w:spacing w:after="40"/>
              <w:jc w:val="left"/>
            </w:pPr>
            <w:r>
              <w:rPr>
                <w:b/>
                <w:color w:val="FFFFFF"/>
                <w:sz w:val="16"/>
              </w:rPr>
              <w:t xml:space="preserve">Phase</w:t>
            </w:r>
          </w:p>
        </w:tc>
        <w:tc>
          <w:tcPr>
            <w:vAlign w:val="center"/>
            <w:shd w:fill="0D5577"/>
          </w:tcPr>
          <w:p>
            <w:pPr>
              <w:pStyle w:val="Compact"/>
              <w:spacing w:after="40"/>
              <w:jc w:val="left"/>
            </w:pPr>
            <w:r>
              <w:rPr>
                <w:b/>
                <w:color w:val="FFFFFF"/>
                <w:sz w:val="16"/>
              </w:rPr>
              <w:t xml:space="preserve">Indicative build sequence</w:t>
            </w:r>
          </w:p>
        </w:tc>
        <w:tc>
          <w:tcPr>
            <w:vAlign w:val="center"/>
            <w:shd w:fill="0D5577"/>
          </w:tcPr>
          <w:p>
            <w:pPr>
              <w:pStyle w:val="Compact"/>
              <w:spacing w:after="40"/>
              <w:jc w:val="left"/>
            </w:pPr>
            <w:r>
              <w:rPr>
                <w:b/>
                <w:color w:val="FFFFFF"/>
                <w:sz w:val="16"/>
              </w:rPr>
              <w:t xml:space="preserve">Entry / exit deliverables</w:t>
            </w:r>
          </w:p>
        </w:tc>
      </w:tr>
      <w:tr>
        <w:trPr>
          <w:cantSplit/>
        </w:trPr>
        <w:tc>
          <w:tcPr>
            <w:vAlign w:val="center"/>
          </w:tcPr>
          <w:p>
            <w:pPr>
              <w:pStyle w:val="Compact"/>
              <w:spacing w:after="40"/>
              <w:jc w:val="left"/>
            </w:pPr>
            <w:r>
              <w:rPr>
                <w:b/>
                <w:bCs/>
                <w:sz w:val="16"/>
              </w:rPr>
              <w:t xml:space="preserve">0. Discovery and compliance</w:t>
            </w:r>
          </w:p>
        </w:tc>
        <w:tc>
          <w:tcPr>
            <w:vAlign w:val="center"/>
          </w:tcPr>
          <w:p>
            <w:pPr>
              <w:pStyle w:val="Compact"/>
              <w:spacing w:after="40"/>
              <w:jc w:val="left"/>
            </w:pPr>
            <w:r>
              <w:rPr>
                <w:sz w:val="16"/>
              </w:rPr>
              <w:t xml:space="preserve">Weeks 1–3</w:t>
            </w:r>
          </w:p>
        </w:tc>
        <w:tc>
          <w:tcPr>
            <w:vAlign w:val="center"/>
          </w:tcPr>
          <w:p>
            <w:pPr>
              <w:pStyle w:val="Compact"/>
              <w:spacing w:after="40"/>
              <w:jc w:val="left"/>
            </w:pPr>
            <w:r>
              <w:rPr>
                <w:sz w:val="16"/>
              </w:rPr>
              <w:t xml:space="preserve">3–5 school interviews (ECE, small primary, combined and secondary), field inventory, curriculum templates, legal/hosting decision, clickable prototype, sample datasets</w:t>
            </w:r>
          </w:p>
        </w:tc>
      </w:tr>
      <w:tr>
        <w:trPr>
          <w:cantSplit/>
        </w:trPr>
        <w:tc>
          <w:tcPr>
            <w:vAlign w:val="center"/>
          </w:tcPr>
          <w:p>
            <w:pPr>
              <w:pStyle w:val="Compact"/>
              <w:spacing w:after="40"/>
              <w:jc w:val="left"/>
            </w:pPr>
            <w:r>
              <w:rPr>
                <w:b/>
                <w:bCs/>
                <w:sz w:val="16"/>
              </w:rPr>
              <w:t xml:space="preserve">1. Platform and SIS</w:t>
            </w:r>
          </w:p>
        </w:tc>
        <w:tc>
          <w:tcPr>
            <w:vAlign w:val="center"/>
          </w:tcPr>
          <w:p>
            <w:pPr>
              <w:pStyle w:val="Compact"/>
              <w:spacing w:after="40"/>
              <w:jc w:val="left"/>
            </w:pPr>
            <w:r>
              <w:rPr>
                <w:sz w:val="16"/>
              </w:rPr>
              <w:t xml:space="preserve">Weeks 4–10</w:t>
            </w:r>
          </w:p>
        </w:tc>
        <w:tc>
          <w:tcPr>
            <w:vAlign w:val="center"/>
          </w:tcPr>
          <w:p>
            <w:pPr>
              <w:pStyle w:val="Compact"/>
              <w:spacing w:after="40"/>
              <w:jc w:val="left"/>
            </w:pPr>
            <w:r>
              <w:rPr>
                <w:sz w:val="16"/>
              </w:rPr>
              <w:t xml:space="preserve">Tenancy, roles, school setup, admission/enrolment, student history, guardian links, import/export, audit, core security</w:t>
            </w:r>
          </w:p>
        </w:tc>
      </w:tr>
      <w:tr>
        <w:trPr>
          <w:cantSplit/>
        </w:trPr>
        <w:tc>
          <w:tcPr>
            <w:vAlign w:val="center"/>
          </w:tcPr>
          <w:p>
            <w:pPr>
              <w:pStyle w:val="Compact"/>
              <w:spacing w:after="40"/>
              <w:jc w:val="left"/>
            </w:pPr>
            <w:r>
              <w:rPr>
                <w:b/>
                <w:bCs/>
                <w:sz w:val="16"/>
              </w:rPr>
              <w:t xml:space="preserve">2. Operations MVP</w:t>
            </w:r>
          </w:p>
        </w:tc>
        <w:tc>
          <w:tcPr>
            <w:vAlign w:val="center"/>
          </w:tcPr>
          <w:p>
            <w:pPr>
              <w:pStyle w:val="Compact"/>
              <w:spacing w:after="40"/>
              <w:jc w:val="left"/>
            </w:pPr>
            <w:r>
              <w:rPr>
                <w:sz w:val="16"/>
              </w:rPr>
              <w:t xml:space="preserve">Weeks 11–16</w:t>
            </w:r>
          </w:p>
        </w:tc>
        <w:tc>
          <w:tcPr>
            <w:vAlign w:val="center"/>
          </w:tcPr>
          <w:p>
            <w:pPr>
              <w:pStyle w:val="Compact"/>
              <w:spacing w:after="40"/>
              <w:jc w:val="left"/>
            </w:pPr>
            <w:r>
              <w:rPr>
                <w:sz w:val="16"/>
              </w:rPr>
              <w:t xml:space="preserve">Attendance, academic engine, report approval/publication, parent portal, manual fees, receipts, school dashboards</w:t>
            </w:r>
          </w:p>
        </w:tc>
      </w:tr>
      <w:tr>
        <w:trPr>
          <w:cantSplit/>
        </w:trPr>
        <w:tc>
          <w:tcPr>
            <w:vAlign w:val="center"/>
          </w:tcPr>
          <w:p>
            <w:pPr>
              <w:pStyle w:val="Compact"/>
              <w:spacing w:after="40"/>
              <w:jc w:val="left"/>
            </w:pPr>
            <w:r>
              <w:rPr>
                <w:b/>
                <w:bCs/>
                <w:sz w:val="16"/>
              </w:rPr>
              <w:t xml:space="preserve">3. Pilot hardening</w:t>
            </w:r>
          </w:p>
        </w:tc>
        <w:tc>
          <w:tcPr>
            <w:vAlign w:val="center"/>
          </w:tcPr>
          <w:p>
            <w:pPr>
              <w:pStyle w:val="Compact"/>
              <w:spacing w:after="40"/>
              <w:jc w:val="left"/>
            </w:pPr>
            <w:r>
              <w:rPr>
                <w:sz w:val="16"/>
              </w:rPr>
              <w:t xml:space="preserve">Weeks 17–20</w:t>
            </w:r>
          </w:p>
        </w:tc>
        <w:tc>
          <w:tcPr>
            <w:vAlign w:val="center"/>
          </w:tcPr>
          <w:p>
            <w:pPr>
              <w:pStyle w:val="Compact"/>
              <w:spacing w:after="40"/>
              <w:jc w:val="left"/>
            </w:pPr>
            <w:r>
              <w:rPr>
                <w:sz w:val="16"/>
              </w:rPr>
              <w:t xml:space="preserve">2–3 pilot schools, privacy review, migration rehearsal, mobile usability, performance tests, restore drills, user training</w:t>
            </w:r>
          </w:p>
        </w:tc>
      </w:tr>
      <w:tr>
        <w:trPr>
          <w:cantSplit/>
        </w:trPr>
        <w:tc>
          <w:tcPr>
            <w:vAlign w:val="center"/>
          </w:tcPr>
          <w:p>
            <w:pPr>
              <w:pStyle w:val="Compact"/>
              <w:spacing w:after="40"/>
              <w:jc w:val="left"/>
            </w:pPr>
            <w:r>
              <w:rPr>
                <w:b/>
                <w:bCs/>
                <w:sz w:val="16"/>
              </w:rPr>
              <w:t xml:space="preserve">4. Commercial launch</w:t>
            </w:r>
          </w:p>
        </w:tc>
        <w:tc>
          <w:tcPr>
            <w:vAlign w:val="center"/>
          </w:tcPr>
          <w:p>
            <w:pPr>
              <w:pStyle w:val="Compact"/>
              <w:spacing w:after="40"/>
              <w:jc w:val="left"/>
            </w:pPr>
            <w:r>
              <w:rPr>
                <w:sz w:val="16"/>
              </w:rPr>
              <w:t xml:space="preserve">Weeks 21–26</w:t>
            </w:r>
          </w:p>
        </w:tc>
        <w:tc>
          <w:tcPr>
            <w:vAlign w:val="center"/>
          </w:tcPr>
          <w:p>
            <w:pPr>
              <w:pStyle w:val="Compact"/>
              <w:spacing w:after="40"/>
              <w:jc w:val="left"/>
            </w:pPr>
            <w:r>
              <w:rPr>
                <w:sz w:val="16"/>
              </w:rPr>
              <w:t xml:space="preserve">Subscriptions, module entitlements, online payment gateway (after approval), automated reconciliation, support centre and billing</w:t>
            </w:r>
          </w:p>
        </w:tc>
      </w:tr>
      <w:tr>
        <w:trPr>
          <w:cantSplit/>
        </w:trPr>
        <w:tc>
          <w:tcPr>
            <w:vAlign w:val="center"/>
          </w:tcPr>
          <w:p>
            <w:pPr>
              <w:pStyle w:val="Compact"/>
              <w:spacing w:after="40"/>
              <w:jc w:val="left"/>
            </w:pPr>
            <w:r>
              <w:rPr>
                <w:b/>
                <w:bCs/>
                <w:sz w:val="16"/>
              </w:rPr>
              <w:t xml:space="preserve">5. Growth modules</w:t>
            </w:r>
          </w:p>
        </w:tc>
        <w:tc>
          <w:tcPr>
            <w:vAlign w:val="center"/>
          </w:tcPr>
          <w:p>
            <w:pPr>
              <w:pStyle w:val="Compact"/>
              <w:spacing w:after="40"/>
              <w:jc w:val="left"/>
            </w:pPr>
            <w:r>
              <w:rPr>
                <w:sz w:val="16"/>
              </w:rPr>
              <w:t xml:space="preserve">Following 2 quarters</w:t>
            </w:r>
          </w:p>
        </w:tc>
        <w:tc>
          <w:tcPr>
            <w:vAlign w:val="center"/>
          </w:tcPr>
          <w:p>
            <w:pPr>
              <w:pStyle w:val="Compact"/>
              <w:spacing w:after="40"/>
              <w:jc w:val="left"/>
            </w:pPr>
            <w:r>
              <w:rPr>
                <w:sz w:val="16"/>
              </w:rPr>
              <w:t xml:space="preserve">HR/teacher credentials, payroll subject to validation, messaging, timetabling, LMS, library, transport, analytics</w:t>
            </w:r>
          </w:p>
        </w:tc>
      </w:tr>
      <w:tr>
        <w:trPr>
          <w:cantSplit/>
        </w:trPr>
        <w:tc>
          <w:tcPr>
            <w:vAlign w:val="center"/>
          </w:tcPr>
          <w:p>
            <w:pPr>
              <w:pStyle w:val="Compact"/>
              <w:spacing w:after="40"/>
              <w:jc w:val="left"/>
            </w:pPr>
            <w:r>
              <w:rPr>
                <w:b/>
                <w:bCs/>
                <w:sz w:val="16"/>
              </w:rPr>
              <w:t xml:space="preserve">6. Enterprise maturity</w:t>
            </w:r>
          </w:p>
        </w:tc>
        <w:tc>
          <w:tcPr>
            <w:vAlign w:val="center"/>
          </w:tcPr>
          <w:p>
            <w:pPr>
              <w:pStyle w:val="Compact"/>
              <w:spacing w:after="40"/>
              <w:jc w:val="left"/>
            </w:pPr>
            <w:r>
              <w:rPr>
                <w:sz w:val="16"/>
              </w:rPr>
              <w:t xml:space="preserve">Subsequent roadmap</w:t>
            </w:r>
          </w:p>
        </w:tc>
        <w:tc>
          <w:tcPr>
            <w:vAlign w:val="center"/>
          </w:tcPr>
          <w:p>
            <w:pPr>
              <w:pStyle w:val="Compact"/>
              <w:spacing w:after="40"/>
              <w:jc w:val="left"/>
            </w:pPr>
            <w:r>
              <w:rPr>
                <w:sz w:val="16"/>
              </w:rPr>
              <w:t xml:space="preserve">Dedicated deployments, multi-school groups, approved government/accounting integrations, advanced analytics and integrations</w:t>
            </w:r>
          </w:p>
        </w:tc>
      </w:tr>
    </w:tbl>
    <w:p>
      <w:pPr>
        <w:pStyle w:val="BodyText"/>
      </w:pPr>
      <w:r>
        <w:t xml:space="preserve">Durations are</w:t>
      </w:r>
      <w:r>
        <w:t xml:space="preserve"> </w:t>
      </w:r>
      <w:r>
        <w:rPr>
          <w:b/>
          <w:bCs/>
        </w:rPr>
        <w:t xml:space="preserve">planning estimates</w:t>
      </w:r>
      <w:r>
        <w:t xml:space="preserve">, dependent on team size, legal review, provider credentials and school feedback. Do not promise payment or official integrations until authorisations are confirmed.</w:t>
      </w:r>
    </w:p>
    <w:bookmarkStart w:id="61" w:name="mvp-definition-must-ship-together"/>
    <w:p>
      <w:pPr>
        <w:pStyle w:val="Heading3"/>
        <w:keepNext/>
      </w:pPr>
      <w:r>
        <w:t xml:space="preserve">12.1 MVP definition (must ship together)</w:t>
      </w:r>
    </w:p>
    <w:p>
      <w:pPr>
        <w:pStyle w:val="FirstParagraph"/>
      </w:pPr>
      <w:r>
        <w:t xml:space="preserve">School setup and user roles; admissions; student and guardian records; academic-year and flexible level setup; classes/teachers; attendance; internal assessment with ECE support; approval and report publication; parent portal; invoice/receipt/manual payment ledger; basic management reports; protected CSV import/export; local hosting, privacy controls, MFA for privileged users, logs, encrypted backups, recovery test, help and onboarding.</w:t>
      </w:r>
    </w:p>
    <w:bookmarkEnd w:id="61"/>
    <w:bookmarkStart w:id="62" w:name="explicit-mvp-exclusions"/>
    <w:p>
      <w:pPr>
        <w:pStyle w:val="Heading3"/>
        <w:keepNext/>
      </w:pPr>
      <w:r>
        <w:t xml:space="preserve">12.2 Explicit MVP exclusions</w:t>
      </w:r>
    </w:p>
    <w:p>
      <w:pPr>
        <w:pStyle w:val="FirstParagraph"/>
      </w:pPr>
      <w:r>
        <w:t xml:space="preserve">Live mobile-money integration; full accounting GL; payroll submissions; GPS transport tracking; AI; native Android/iOS applications; automated ECZ/EMIS/TCZ/ZRA interfaces; biometrics; facial recognition; school marketplace; sophisticated LMS. These are separately gated capabilities, not dependencies for ordinary SIS adoption.</w:t>
      </w:r>
    </w:p>
    <w:bookmarkEnd w:id="62"/>
    <w:bookmarkEnd w:id="63"/>
    <w:bookmarkStart w:id="64" w:name="X949346fe5aef73e63f66dfd48e1aff4b39d5d9d"/>
    <w:p>
      <w:pPr>
        <w:pStyle w:val="Heading2"/>
        <w:keepNext/>
      </w:pPr>
      <w:r>
        <w:t xml:space="preserve">13. Acceptance criteria and critical test cases</w:t>
      </w:r>
    </w:p>
    <w:tbl>
      <w:tblPr>
        <w:tblW w:type="pct" w:w="5000"/>
        <w:jc w:val="center"/>
        <w:tblLayout w:type="autofit"/>
        <w:tblLook w:firstRow="1" w:lastRow="0" w:firstColumn="0" w:lastColumn="0" w:noHBand="0" w:noVBand="0" w:val="0020"/>
      </w:tblPr>
      <w:tblGrid>
        <w:gridCol w:w="3960"/>
        <w:gridCol w:w="3960"/>
      </w:tblGrid>
      <w:tr>
        <w:trPr>
          <w:tblHeader w:val="on"/>
          <w:cantSplit/>
        </w:trPr>
        <w:tc>
          <w:tcPr>
            <w:vAlign w:val="center"/>
            <w:shd w:fill="0D5577"/>
          </w:tcPr>
          <w:p>
            <w:pPr>
              <w:pStyle w:val="Compact"/>
              <w:spacing w:after="40"/>
              <w:jc w:val="left"/>
            </w:pPr>
            <w:r>
              <w:rPr>
                <w:b/>
                <w:color w:val="FFFFFF"/>
                <w:sz w:val="16"/>
              </w:rPr>
              <w:t xml:space="preserve">ID</w:t>
            </w:r>
          </w:p>
        </w:tc>
        <w:tc>
          <w:tcPr>
            <w:vAlign w:val="center"/>
            <w:shd w:fill="0D5577"/>
          </w:tcPr>
          <w:p>
            <w:pPr>
              <w:pStyle w:val="Compact"/>
              <w:spacing w:after="40"/>
              <w:jc w:val="left"/>
            </w:pPr>
            <w:r>
              <w:rPr>
                <w:b/>
                <w:color w:val="FFFFFF"/>
                <w:sz w:val="16"/>
              </w:rPr>
              <w:t xml:space="preserve">Test / acceptance criterion</w:t>
            </w:r>
          </w:p>
        </w:tc>
      </w:tr>
      <w:tr>
        <w:trPr>
          <w:cantSplit/>
        </w:trPr>
        <w:tc>
          <w:tcPr>
            <w:vAlign w:val="center"/>
          </w:tcPr>
          <w:p>
            <w:pPr>
              <w:pStyle w:val="Compact"/>
              <w:spacing w:after="40"/>
              <w:jc w:val="left"/>
            </w:pPr>
            <w:r>
              <w:rPr>
                <w:sz w:val="16"/>
              </w:rPr>
              <w:t xml:space="preserve">AC-01</w:t>
            </w:r>
          </w:p>
        </w:tc>
        <w:tc>
          <w:tcPr>
            <w:vAlign w:val="center"/>
          </w:tcPr>
          <w:p>
            <w:pPr>
              <w:pStyle w:val="Compact"/>
              <w:spacing w:after="40"/>
              <w:jc w:val="left"/>
            </w:pPr>
            <w:r>
              <w:rPr>
                <w:sz w:val="16"/>
              </w:rPr>
              <w:t xml:space="preserve">School A administrator, API token, export job and report cannot see School B records; automated tenant-isolation tests pass</w:t>
            </w:r>
          </w:p>
        </w:tc>
      </w:tr>
      <w:tr>
        <w:trPr>
          <w:cantSplit/>
        </w:trPr>
        <w:tc>
          <w:tcPr>
            <w:vAlign w:val="center"/>
          </w:tcPr>
          <w:p>
            <w:pPr>
              <w:pStyle w:val="Compact"/>
              <w:spacing w:after="40"/>
              <w:jc w:val="left"/>
            </w:pPr>
            <w:r>
              <w:rPr>
                <w:sz w:val="16"/>
              </w:rPr>
              <w:t xml:space="preserve">AC-02</w:t>
            </w:r>
          </w:p>
        </w:tc>
        <w:tc>
          <w:tcPr>
            <w:vAlign w:val="center"/>
          </w:tcPr>
          <w:p>
            <w:pPr>
              <w:pStyle w:val="Compact"/>
              <w:spacing w:after="40"/>
              <w:jc w:val="left"/>
            </w:pPr>
            <w:r>
              <w:rPr>
                <w:sz w:val="16"/>
              </w:rPr>
              <w:t xml:space="preserve">Two carers linked to two children can see only explicitly authorised children and only permitted records; revocation acts immediately</w:t>
            </w:r>
          </w:p>
        </w:tc>
      </w:tr>
      <w:tr>
        <w:trPr>
          <w:cantSplit/>
        </w:trPr>
        <w:tc>
          <w:tcPr>
            <w:vAlign w:val="center"/>
          </w:tcPr>
          <w:p>
            <w:pPr>
              <w:pStyle w:val="Compact"/>
              <w:spacing w:after="40"/>
              <w:jc w:val="left"/>
            </w:pPr>
            <w:r>
              <w:rPr>
                <w:sz w:val="16"/>
              </w:rPr>
              <w:t xml:space="preserve">AC-03</w:t>
            </w:r>
          </w:p>
        </w:tc>
        <w:tc>
          <w:tcPr>
            <w:vAlign w:val="center"/>
          </w:tcPr>
          <w:p>
            <w:pPr>
              <w:pStyle w:val="Compact"/>
              <w:spacing w:after="40"/>
              <w:jc w:val="left"/>
            </w:pPr>
            <w:r>
              <w:rPr>
                <w:sz w:val="16"/>
              </w:rPr>
              <w:t xml:space="preserve">A kindergarten learner has narrative/competency assessments while a secondary learner receives weighted numerical assessments under different curriculum versions</w:t>
            </w:r>
          </w:p>
        </w:tc>
      </w:tr>
      <w:tr>
        <w:trPr>
          <w:cantSplit/>
        </w:trPr>
        <w:tc>
          <w:tcPr>
            <w:vAlign w:val="center"/>
          </w:tcPr>
          <w:p>
            <w:pPr>
              <w:pStyle w:val="Compact"/>
              <w:spacing w:after="40"/>
              <w:jc w:val="left"/>
            </w:pPr>
            <w:r>
              <w:rPr>
                <w:sz w:val="16"/>
              </w:rPr>
              <w:t xml:space="preserve">AC-04</w:t>
            </w:r>
          </w:p>
        </w:tc>
        <w:tc>
          <w:tcPr>
            <w:vAlign w:val="center"/>
          </w:tcPr>
          <w:p>
            <w:pPr>
              <w:pStyle w:val="Compact"/>
              <w:spacing w:after="40"/>
              <w:jc w:val="left"/>
            </w:pPr>
            <w:r>
              <w:rPr>
                <w:sz w:val="16"/>
              </w:rPr>
              <w:t xml:space="preserve">A cohort following historical grades retains its report-card format after another cohort migrates to reformed forms</w:t>
            </w:r>
          </w:p>
        </w:tc>
      </w:tr>
      <w:tr>
        <w:trPr>
          <w:cantSplit/>
        </w:trPr>
        <w:tc>
          <w:tcPr>
            <w:vAlign w:val="center"/>
          </w:tcPr>
          <w:p>
            <w:pPr>
              <w:pStyle w:val="Compact"/>
              <w:spacing w:after="40"/>
              <w:jc w:val="left"/>
            </w:pPr>
            <w:r>
              <w:rPr>
                <w:sz w:val="16"/>
              </w:rPr>
              <w:t xml:space="preserve">AC-05</w:t>
            </w:r>
          </w:p>
        </w:tc>
        <w:tc>
          <w:tcPr>
            <w:vAlign w:val="center"/>
          </w:tcPr>
          <w:p>
            <w:pPr>
              <w:pStyle w:val="Compact"/>
              <w:spacing w:after="40"/>
              <w:jc w:val="left"/>
            </w:pPr>
            <w:r>
              <w:rPr>
                <w:sz w:val="16"/>
              </w:rPr>
              <w:t xml:space="preserve">A teacher cannot publish marks without approved moderation; published report correction retains original version and reason</w:t>
            </w:r>
          </w:p>
        </w:tc>
      </w:tr>
      <w:tr>
        <w:trPr>
          <w:cantSplit/>
        </w:trPr>
        <w:tc>
          <w:tcPr>
            <w:vAlign w:val="center"/>
          </w:tcPr>
          <w:p>
            <w:pPr>
              <w:pStyle w:val="Compact"/>
              <w:spacing w:after="40"/>
              <w:jc w:val="left"/>
            </w:pPr>
            <w:r>
              <w:rPr>
                <w:sz w:val="16"/>
              </w:rPr>
              <w:t xml:space="preserve">AC-06</w:t>
            </w:r>
          </w:p>
        </w:tc>
        <w:tc>
          <w:tcPr>
            <w:vAlign w:val="center"/>
          </w:tcPr>
          <w:p>
            <w:pPr>
              <w:pStyle w:val="Compact"/>
              <w:spacing w:after="40"/>
              <w:jc w:val="left"/>
            </w:pPr>
            <w:r>
              <w:rPr>
                <w:sz w:val="16"/>
              </w:rPr>
              <w:t xml:space="preserve">Duplicate verified gateway callbacks create exactly</w:t>
            </w:r>
            <w:r>
              <w:rPr>
                <w:sz w:val="16"/>
              </w:rPr>
              <w:t xml:space="preserve"> </w:t>
            </w:r>
            <w:r>
              <w:rPr>
                <w:b/>
                <w:bCs/>
                <w:sz w:val="16"/>
              </w:rPr>
              <w:t xml:space="preserve">one</w:t>
            </w:r>
            <w:r>
              <w:rPr>
                <w:sz w:val="16"/>
              </w:rPr>
              <w:t xml:space="preserve"> </w:t>
            </w:r>
            <w:r>
              <w:rPr>
                <w:sz w:val="16"/>
              </w:rPr>
              <w:t xml:space="preserve">receipt and one ledger posting; pending payments are not marked paid</w:t>
            </w:r>
          </w:p>
        </w:tc>
      </w:tr>
      <w:tr>
        <w:trPr>
          <w:cantSplit/>
        </w:trPr>
        <w:tc>
          <w:tcPr>
            <w:vAlign w:val="center"/>
          </w:tcPr>
          <w:p>
            <w:pPr>
              <w:pStyle w:val="Compact"/>
              <w:spacing w:after="40"/>
              <w:jc w:val="left"/>
            </w:pPr>
            <w:r>
              <w:rPr>
                <w:sz w:val="16"/>
              </w:rPr>
              <w:t xml:space="preserve">AC-07</w:t>
            </w:r>
          </w:p>
        </w:tc>
        <w:tc>
          <w:tcPr>
            <w:vAlign w:val="center"/>
          </w:tcPr>
          <w:p>
            <w:pPr>
              <w:pStyle w:val="Compact"/>
              <w:spacing w:after="40"/>
              <w:jc w:val="left"/>
            </w:pPr>
            <w:r>
              <w:rPr>
                <w:sz w:val="16"/>
              </w:rPr>
              <w:t xml:space="preserve">Partial payment leaves accurate outstanding balance; reversal/refund creates traceable corrective entries, not deletion</w:t>
            </w:r>
          </w:p>
        </w:tc>
      </w:tr>
      <w:tr>
        <w:trPr>
          <w:cantSplit/>
        </w:trPr>
        <w:tc>
          <w:tcPr>
            <w:vAlign w:val="center"/>
          </w:tcPr>
          <w:p>
            <w:pPr>
              <w:pStyle w:val="Compact"/>
              <w:spacing w:after="40"/>
              <w:jc w:val="left"/>
            </w:pPr>
            <w:r>
              <w:rPr>
                <w:sz w:val="16"/>
              </w:rPr>
              <w:t xml:space="preserve">AC-08</w:t>
            </w:r>
          </w:p>
        </w:tc>
        <w:tc>
          <w:tcPr>
            <w:vAlign w:val="center"/>
          </w:tcPr>
          <w:p>
            <w:pPr>
              <w:pStyle w:val="Compact"/>
              <w:spacing w:after="40"/>
              <w:jc w:val="left"/>
            </w:pPr>
            <w:r>
              <w:rPr>
                <w:sz w:val="16"/>
              </w:rPr>
              <w:t xml:space="preserve">An absent pupil’s guardian receives only a notice for a child to whom they are linked, subject to school alert policy</w:t>
            </w:r>
          </w:p>
        </w:tc>
      </w:tr>
      <w:tr>
        <w:trPr>
          <w:cantSplit/>
        </w:trPr>
        <w:tc>
          <w:tcPr>
            <w:vAlign w:val="center"/>
          </w:tcPr>
          <w:p>
            <w:pPr>
              <w:pStyle w:val="Compact"/>
              <w:spacing w:after="40"/>
              <w:jc w:val="left"/>
            </w:pPr>
            <w:r>
              <w:rPr>
                <w:sz w:val="16"/>
              </w:rPr>
              <w:t xml:space="preserve">AC-09</w:t>
            </w:r>
          </w:p>
        </w:tc>
        <w:tc>
          <w:tcPr>
            <w:vAlign w:val="center"/>
          </w:tcPr>
          <w:p>
            <w:pPr>
              <w:pStyle w:val="Compact"/>
              <w:spacing w:after="40"/>
              <w:jc w:val="left"/>
            </w:pPr>
            <w:r>
              <w:rPr>
                <w:sz w:val="16"/>
              </w:rPr>
              <w:t xml:space="preserve">Offline teacher attendance synchronises, resolves class-roster conflicts and does not silently overwrite newer authoritative data</w:t>
            </w:r>
          </w:p>
        </w:tc>
      </w:tr>
      <w:tr>
        <w:trPr>
          <w:cantSplit/>
        </w:trPr>
        <w:tc>
          <w:tcPr>
            <w:vAlign w:val="center"/>
          </w:tcPr>
          <w:p>
            <w:pPr>
              <w:pStyle w:val="Compact"/>
              <w:spacing w:after="40"/>
              <w:jc w:val="left"/>
            </w:pPr>
            <w:r>
              <w:rPr>
                <w:sz w:val="16"/>
              </w:rPr>
              <w:t xml:space="preserve">AC-10</w:t>
            </w:r>
          </w:p>
        </w:tc>
        <w:tc>
          <w:tcPr>
            <w:vAlign w:val="center"/>
          </w:tcPr>
          <w:p>
            <w:pPr>
              <w:pStyle w:val="Compact"/>
              <w:spacing w:after="40"/>
              <w:jc w:val="left"/>
            </w:pPr>
            <w:r>
              <w:rPr>
                <w:sz w:val="16"/>
              </w:rPr>
              <w:t xml:space="preserve">PDF reports and school-statistical returns reconcile with the underlying records and exclude unauthorised sensitive identifiers</w:t>
            </w:r>
          </w:p>
        </w:tc>
      </w:tr>
      <w:tr>
        <w:trPr>
          <w:cantSplit/>
        </w:trPr>
        <w:tc>
          <w:tcPr>
            <w:vAlign w:val="center"/>
          </w:tcPr>
          <w:p>
            <w:pPr>
              <w:pStyle w:val="Compact"/>
              <w:spacing w:after="40"/>
              <w:jc w:val="left"/>
            </w:pPr>
            <w:r>
              <w:rPr>
                <w:sz w:val="16"/>
              </w:rPr>
              <w:t xml:space="preserve">AC-11</w:t>
            </w:r>
          </w:p>
        </w:tc>
        <w:tc>
          <w:tcPr>
            <w:vAlign w:val="center"/>
          </w:tcPr>
          <w:p>
            <w:pPr>
              <w:pStyle w:val="Compact"/>
              <w:spacing w:after="40"/>
              <w:jc w:val="left"/>
            </w:pPr>
            <w:r>
              <w:rPr>
                <w:sz w:val="16"/>
              </w:rPr>
              <w:t xml:space="preserve">School passes backup restore test and measured RPO/RTO target for its subscription tier</w:t>
            </w:r>
          </w:p>
        </w:tc>
      </w:tr>
      <w:tr>
        <w:trPr>
          <w:cantSplit/>
        </w:trPr>
        <w:tc>
          <w:tcPr>
            <w:vAlign w:val="center"/>
          </w:tcPr>
          <w:p>
            <w:pPr>
              <w:pStyle w:val="Compact"/>
              <w:spacing w:after="40"/>
              <w:jc w:val="left"/>
            </w:pPr>
            <w:r>
              <w:rPr>
                <w:sz w:val="16"/>
              </w:rPr>
              <w:t xml:space="preserve">AC-12</w:t>
            </w:r>
          </w:p>
        </w:tc>
        <w:tc>
          <w:tcPr>
            <w:vAlign w:val="center"/>
          </w:tcPr>
          <w:p>
            <w:pPr>
              <w:pStyle w:val="Compact"/>
              <w:spacing w:after="40"/>
              <w:jc w:val="left"/>
            </w:pPr>
            <w:r>
              <w:rPr>
                <w:sz w:val="16"/>
              </w:rPr>
              <w:t xml:space="preserve">Access to HR/payroll/safeguarding/health records is denied to unrelated roles and logged for authorised viewing</w:t>
            </w:r>
          </w:p>
        </w:tc>
      </w:tr>
      <w:tr>
        <w:trPr>
          <w:cantSplit/>
        </w:trPr>
        <w:tc>
          <w:tcPr>
            <w:vAlign w:val="center"/>
          </w:tcPr>
          <w:p>
            <w:pPr>
              <w:pStyle w:val="Compact"/>
              <w:spacing w:after="40"/>
              <w:jc w:val="left"/>
            </w:pPr>
            <w:r>
              <w:rPr>
                <w:sz w:val="16"/>
              </w:rPr>
              <w:t xml:space="preserve">AC-13</w:t>
            </w:r>
          </w:p>
        </w:tc>
        <w:tc>
          <w:tcPr>
            <w:vAlign w:val="center"/>
          </w:tcPr>
          <w:p>
            <w:pPr>
              <w:pStyle w:val="Compact"/>
              <w:spacing w:after="40"/>
              <w:jc w:val="left"/>
            </w:pPr>
            <w:r>
              <w:rPr>
                <w:sz w:val="16"/>
              </w:rPr>
              <w:t xml:space="preserve">Subscription downgrade leaves records intact and offers agreed export; no paid module silently deletes user data</w:t>
            </w:r>
          </w:p>
        </w:tc>
      </w:tr>
      <w:tr>
        <w:trPr>
          <w:cantSplit/>
        </w:trPr>
        <w:tc>
          <w:tcPr>
            <w:vAlign w:val="center"/>
          </w:tcPr>
          <w:p>
            <w:pPr>
              <w:pStyle w:val="Compact"/>
              <w:spacing w:after="40"/>
              <w:jc w:val="left"/>
            </w:pPr>
            <w:r>
              <w:rPr>
                <w:sz w:val="16"/>
              </w:rPr>
              <w:t xml:space="preserve">AC-14</w:t>
            </w:r>
          </w:p>
        </w:tc>
        <w:tc>
          <w:tcPr>
            <w:vAlign w:val="center"/>
          </w:tcPr>
          <w:p>
            <w:pPr>
              <w:pStyle w:val="Compact"/>
              <w:spacing w:after="40"/>
              <w:jc w:val="left"/>
            </w:pPr>
            <w:r>
              <w:rPr>
                <w:sz w:val="16"/>
              </w:rPr>
              <w:t xml:space="preserve">All live data and backup host locations satisfy approved data-residency design and supplier DPA</w:t>
            </w:r>
          </w:p>
        </w:tc>
      </w:tr>
      <w:tr>
        <w:trPr>
          <w:cantSplit/>
        </w:trPr>
        <w:tc>
          <w:tcPr>
            <w:vAlign w:val="center"/>
          </w:tcPr>
          <w:p>
            <w:pPr>
              <w:pStyle w:val="Compact"/>
              <w:spacing w:after="40"/>
              <w:jc w:val="left"/>
            </w:pPr>
            <w:r>
              <w:rPr>
                <w:sz w:val="16"/>
              </w:rPr>
              <w:t xml:space="preserve">AC-15</w:t>
            </w:r>
          </w:p>
        </w:tc>
        <w:tc>
          <w:tcPr>
            <w:vAlign w:val="center"/>
          </w:tcPr>
          <w:p>
            <w:pPr>
              <w:pStyle w:val="Compact"/>
              <w:spacing w:after="40"/>
              <w:jc w:val="left"/>
            </w:pPr>
            <w:r>
              <w:rPr>
                <w:sz w:val="16"/>
              </w:rPr>
              <w:t xml:space="preserve">New school can import a tested representative CSV and resolve duplicate/invalid rows without corrupting existing records</w:t>
            </w:r>
          </w:p>
        </w:tc>
      </w:tr>
      <w:tr>
        <w:trPr>
          <w:cantSplit/>
        </w:trPr>
        <w:tc>
          <w:tcPr>
            <w:vAlign w:val="center"/>
          </w:tcPr>
          <w:p>
            <w:pPr>
              <w:pStyle w:val="Compact"/>
              <w:spacing w:after="40"/>
              <w:jc w:val="left"/>
            </w:pPr>
            <w:r>
              <w:rPr>
                <w:sz w:val="16"/>
              </w:rPr>
              <w:t xml:space="preserve">AC-16</w:t>
            </w:r>
          </w:p>
        </w:tc>
        <w:tc>
          <w:tcPr>
            <w:vAlign w:val="center"/>
          </w:tcPr>
          <w:p>
            <w:pPr>
              <w:pStyle w:val="Compact"/>
              <w:spacing w:after="40"/>
              <w:jc w:val="left"/>
            </w:pPr>
            <w:r>
              <w:rPr>
                <w:sz w:val="16"/>
              </w:rPr>
              <w:t xml:space="preserve">Fee reminders and parent reports remain readable and usable on common mid-range smartphones and constrained bandwidth</w:t>
            </w:r>
          </w:p>
        </w:tc>
      </w:tr>
    </w:tbl>
    <w:bookmarkEnd w:id="64"/>
    <w:bookmarkStart w:id="65" w:name="X4c4ab1be5c4972d057df1b641aa20dd0e5939d2"/>
    <w:p>
      <w:pPr>
        <w:pStyle w:val="Heading2"/>
        <w:keepNext/>
      </w:pPr>
      <w:r>
        <w:t xml:space="preserve">14. Governance, operational roles and data stewardship</w:t>
      </w:r>
    </w:p>
    <w:p>
      <w:pPr>
        <w:pStyle w:val="FirstParagraph"/>
      </w:pPr>
      <w:r>
        <w:rPr>
          <w:b/>
          <w:bCs/>
        </w:rPr>
        <w:t xml:space="preserve">Product owner:</w:t>
      </w:r>
      <w:r>
        <w:t xml:space="preserve"> </w:t>
      </w:r>
      <w:r>
        <w:t xml:space="preserve">controls prioritisation, pricing and feature acceptance.</w:t>
      </w:r>
      <w:r>
        <w:t xml:space="preserve"> </w:t>
      </w:r>
      <w:r>
        <w:rPr>
          <w:b/>
          <w:bCs/>
        </w:rPr>
        <w:t xml:space="preserve">Engineering lead:</w:t>
      </w:r>
      <w:r>
        <w:t xml:space="preserve"> </w:t>
      </w:r>
      <w:r>
        <w:t xml:space="preserve">architecture/security/coding standards.</w:t>
      </w:r>
      <w:r>
        <w:t xml:space="preserve"> </w:t>
      </w:r>
      <w:r>
        <w:rPr>
          <w:b/>
          <w:bCs/>
        </w:rPr>
        <w:t xml:space="preserve">Compliance/privacy lead:</w:t>
      </w:r>
      <w:r>
        <w:t xml:space="preserve"> </w:t>
      </w:r>
      <w:r>
        <w:t xml:space="preserve">record of processing, school DPA and privacy reviews.</w:t>
      </w:r>
      <w:r>
        <w:t xml:space="preserve"> </w:t>
      </w:r>
      <w:r>
        <w:rPr>
          <w:b/>
          <w:bCs/>
        </w:rPr>
        <w:t xml:space="preserve">Education advisory panel:</w:t>
      </w:r>
      <w:r>
        <w:t xml:space="preserve"> </w:t>
      </w:r>
      <w:r>
        <w:t xml:space="preserve">two ECE heads, two primary heads, one secondary academic head, one bursar, one teacher and parent representatives.</w:t>
      </w:r>
      <w:r>
        <w:t xml:space="preserve"> </w:t>
      </w:r>
      <w:r>
        <w:rPr>
          <w:b/>
          <w:bCs/>
        </w:rPr>
        <w:t xml:space="preserve">School authority:</w:t>
      </w:r>
      <w:r>
        <w:t xml:space="preserve"> </w:t>
      </w:r>
      <w:r>
        <w:t xml:space="preserve">retains decisions regarding curricula, grades, promotion, finance and data access.</w:t>
      </w:r>
      <w:r>
        <w:t xml:space="preserve"> </w:t>
      </w:r>
      <w:r>
        <w:rPr>
          <w:b/>
          <w:bCs/>
        </w:rPr>
        <w:t xml:space="preserve">Vendor support:</w:t>
      </w:r>
      <w:r>
        <w:t xml:space="preserve"> </w:t>
      </w:r>
      <w:r>
        <w:t xml:space="preserve">must use just-in-time authorised sessions, audit logs and minimum necessary diagnostic information.</w:t>
      </w:r>
    </w:p>
    <w:p>
      <w:pPr>
        <w:pStyle w:val="BodyText"/>
      </w:pPr>
      <w:r>
        <w:rPr>
          <w:b/>
          <w:bCs/>
        </w:rPr>
        <w:t xml:space="preserve">Change governance:</w:t>
      </w:r>
      <w:r>
        <w:t xml:space="preserve"> </w:t>
      </w:r>
      <w:r>
        <w:t xml:space="preserve">curriculum scale change, report template update, fee schedule change, payment gateway provider and regulatory reporting updates require controlled approval, version number, effective date and backward-compatibility review. Sensitive child-data fields undergo privacy impact assessment before release.</w:t>
      </w:r>
    </w:p>
    <w:bookmarkEnd w:id="65"/>
    <w:bookmarkStart w:id="66" w:name="principal-risks-and-mitigations"/>
    <w:p>
      <w:pPr>
        <w:pStyle w:val="Heading2"/>
        <w:keepNext/>
      </w:pPr>
      <w:r>
        <w:t xml:space="preserve">15. Principal risks and mitigations</w:t>
      </w:r>
    </w:p>
    <w:tbl>
      <w:tblPr>
        <w:tblW w:type="pct" w:w="5000"/>
        <w:jc w:val="center"/>
        <w:tblLayout w:type="autofit"/>
        <w:tblLook w:firstRow="1" w:lastRow="0" w:firstColumn="0" w:lastColumn="0" w:noHBand="0" w:noVBand="0" w:val="0020"/>
      </w:tblPr>
      <w:tblGrid>
        <w:gridCol w:w="3960"/>
        <w:gridCol w:w="3960"/>
      </w:tblGrid>
      <w:tr>
        <w:trPr>
          <w:tblHeader w:val="on"/>
          <w:cantSplit/>
        </w:trPr>
        <w:tc>
          <w:tcPr>
            <w:vAlign w:val="center"/>
            <w:shd w:fill="0D5577"/>
          </w:tcPr>
          <w:p>
            <w:pPr>
              <w:pStyle w:val="Compact"/>
              <w:spacing w:after="40"/>
              <w:jc w:val="left"/>
            </w:pPr>
            <w:r>
              <w:rPr>
                <w:b/>
                <w:color w:val="FFFFFF"/>
                <w:sz w:val="16"/>
              </w:rPr>
              <w:t xml:space="preserve">Risk</w:t>
            </w:r>
          </w:p>
        </w:tc>
        <w:tc>
          <w:tcPr>
            <w:vAlign w:val="center"/>
            <w:shd w:fill="0D5577"/>
          </w:tcPr>
          <w:p>
            <w:pPr>
              <w:pStyle w:val="Compact"/>
              <w:spacing w:after="40"/>
              <w:jc w:val="left"/>
            </w:pPr>
            <w:r>
              <w:rPr>
                <w:b/>
                <w:color w:val="FFFFFF"/>
                <w:sz w:val="16"/>
              </w:rPr>
              <w:t xml:space="preserve">Mitigation</w:t>
            </w:r>
          </w:p>
        </w:tc>
      </w:tr>
      <w:tr>
        <w:trPr>
          <w:cantSplit/>
        </w:trPr>
        <w:tc>
          <w:tcPr>
            <w:vAlign w:val="center"/>
          </w:tcPr>
          <w:p>
            <w:pPr>
              <w:pStyle w:val="Compact"/>
              <w:spacing w:after="40"/>
              <w:jc w:val="left"/>
            </w:pPr>
            <w:r>
              <w:rPr>
                <w:sz w:val="16"/>
              </w:rPr>
              <w:t xml:space="preserve">Overseas infrastructure or foreign sub-processors compromise local data-residency duties</w:t>
            </w:r>
          </w:p>
        </w:tc>
        <w:tc>
          <w:tcPr>
            <w:vAlign w:val="center"/>
          </w:tcPr>
          <w:p>
            <w:pPr>
              <w:pStyle w:val="Compact"/>
              <w:spacing w:after="40"/>
              <w:jc w:val="left"/>
            </w:pPr>
            <w:r>
              <w:rPr>
                <w:sz w:val="16"/>
              </w:rPr>
              <w:t xml:space="preserve">Make Zambia-local production deployment a launch gate; legal review and vendor location audit; synthetic-data-only offshore test</w:t>
            </w:r>
          </w:p>
        </w:tc>
      </w:tr>
      <w:tr>
        <w:trPr>
          <w:cantSplit/>
        </w:trPr>
        <w:tc>
          <w:tcPr>
            <w:vAlign w:val="center"/>
          </w:tcPr>
          <w:p>
            <w:pPr>
              <w:pStyle w:val="Compact"/>
              <w:spacing w:after="40"/>
              <w:jc w:val="left"/>
            </w:pPr>
            <w:r>
              <w:rPr>
                <w:sz w:val="16"/>
              </w:rPr>
              <w:t xml:space="preserve">Incorrect guardian access exposes child’s records</w:t>
            </w:r>
          </w:p>
        </w:tc>
        <w:tc>
          <w:tcPr>
            <w:vAlign w:val="center"/>
          </w:tcPr>
          <w:p>
            <w:pPr>
              <w:pStyle w:val="Compact"/>
              <w:spacing w:after="40"/>
              <w:jc w:val="left"/>
            </w:pPr>
            <w:r>
              <w:rPr>
                <w:sz w:val="16"/>
              </w:rPr>
              <w:t xml:space="preserve">Verified relationship model, fine permissions, immediate revocation and access event alerts</w:t>
            </w:r>
          </w:p>
        </w:tc>
      </w:tr>
      <w:tr>
        <w:trPr>
          <w:cantSplit/>
        </w:trPr>
        <w:tc>
          <w:tcPr>
            <w:vAlign w:val="center"/>
          </w:tcPr>
          <w:p>
            <w:pPr>
              <w:pStyle w:val="Compact"/>
              <w:spacing w:after="40"/>
              <w:jc w:val="left"/>
            </w:pPr>
            <w:r>
              <w:rPr>
                <w:sz w:val="16"/>
              </w:rPr>
              <w:t xml:space="preserve">Payment marked successful before provider confirms</w:t>
            </w:r>
          </w:p>
        </w:tc>
        <w:tc>
          <w:tcPr>
            <w:vAlign w:val="center"/>
          </w:tcPr>
          <w:p>
            <w:pPr>
              <w:pStyle w:val="Compact"/>
              <w:spacing w:after="40"/>
              <w:jc w:val="left"/>
            </w:pPr>
            <w:r>
              <w:rPr>
                <w:sz w:val="16"/>
              </w:rPr>
              <w:t xml:space="preserve">Signed webhook verification, state machine, idempotent journal, settlement exception queue</w:t>
            </w:r>
          </w:p>
        </w:tc>
      </w:tr>
      <w:tr>
        <w:trPr>
          <w:cantSplit/>
        </w:trPr>
        <w:tc>
          <w:tcPr>
            <w:vAlign w:val="center"/>
          </w:tcPr>
          <w:p>
            <w:pPr>
              <w:pStyle w:val="Compact"/>
              <w:spacing w:after="40"/>
              <w:jc w:val="left"/>
            </w:pPr>
            <w:r>
              <w:rPr>
                <w:sz w:val="16"/>
              </w:rPr>
              <w:t xml:space="preserve">Curriculum or exam changes break old records</w:t>
            </w:r>
          </w:p>
        </w:tc>
        <w:tc>
          <w:tcPr>
            <w:vAlign w:val="center"/>
          </w:tcPr>
          <w:p>
            <w:pPr>
              <w:pStyle w:val="Compact"/>
              <w:spacing w:after="40"/>
              <w:jc w:val="left"/>
            </w:pPr>
            <w:r>
              <w:rPr>
                <w:sz w:val="16"/>
              </w:rPr>
              <w:t xml:space="preserve">Effective-dated versioned schemes, historical snapshots, school-reviewed templates</w:t>
            </w:r>
          </w:p>
        </w:tc>
      </w:tr>
      <w:tr>
        <w:trPr>
          <w:cantSplit/>
        </w:trPr>
        <w:tc>
          <w:tcPr>
            <w:vAlign w:val="center"/>
          </w:tcPr>
          <w:p>
            <w:pPr>
              <w:pStyle w:val="Compact"/>
              <w:spacing w:after="40"/>
              <w:jc w:val="left"/>
            </w:pPr>
            <w:r>
              <w:rPr>
                <w:sz w:val="16"/>
              </w:rPr>
              <w:t xml:space="preserve">Small-school pricing is below support/hosting cost</w:t>
            </w:r>
          </w:p>
        </w:tc>
        <w:tc>
          <w:tcPr>
            <w:vAlign w:val="center"/>
          </w:tcPr>
          <w:p>
            <w:pPr>
              <w:pStyle w:val="Compact"/>
              <w:spacing w:after="40"/>
              <w:jc w:val="left"/>
            </w:pPr>
            <w:r>
              <w:rPr>
                <w:sz w:val="16"/>
              </w:rPr>
              <w:t xml:space="preserve">Self-service onboarding, disciplined quotas, cohort pilots, termly commitment and tiered support</w:t>
            </w:r>
          </w:p>
        </w:tc>
      </w:tr>
      <w:tr>
        <w:trPr>
          <w:cantSplit/>
        </w:trPr>
        <w:tc>
          <w:tcPr>
            <w:vAlign w:val="center"/>
          </w:tcPr>
          <w:p>
            <w:pPr>
              <w:pStyle w:val="Compact"/>
              <w:spacing w:after="40"/>
              <w:jc w:val="left"/>
            </w:pPr>
            <w:r>
              <w:rPr>
                <w:sz w:val="16"/>
              </w:rPr>
              <w:t xml:space="preserve">Weak internet or older devices reduce adoption</w:t>
            </w:r>
          </w:p>
        </w:tc>
        <w:tc>
          <w:tcPr>
            <w:vAlign w:val="center"/>
          </w:tcPr>
          <w:p>
            <w:pPr>
              <w:pStyle w:val="Compact"/>
              <w:spacing w:after="40"/>
              <w:jc w:val="left"/>
            </w:pPr>
            <w:r>
              <w:rPr>
                <w:sz w:val="16"/>
              </w:rPr>
              <w:t xml:space="preserve">Low-bandwidth pages, offline class attendance, import/export and paper-friendly printable output</w:t>
            </w:r>
          </w:p>
        </w:tc>
      </w:tr>
      <w:tr>
        <w:trPr>
          <w:cantSplit/>
        </w:trPr>
        <w:tc>
          <w:tcPr>
            <w:vAlign w:val="center"/>
          </w:tcPr>
          <w:p>
            <w:pPr>
              <w:pStyle w:val="Compact"/>
              <w:spacing w:after="40"/>
              <w:jc w:val="left"/>
            </w:pPr>
            <w:r>
              <w:rPr>
                <w:sz w:val="16"/>
              </w:rPr>
              <w:t xml:space="preserve">Staff resistance and poor source data</w:t>
            </w:r>
          </w:p>
        </w:tc>
        <w:tc>
          <w:tcPr>
            <w:vAlign w:val="center"/>
          </w:tcPr>
          <w:p>
            <w:pPr>
              <w:pStyle w:val="Compact"/>
              <w:spacing w:after="40"/>
              <w:jc w:val="left"/>
            </w:pPr>
            <w:r>
              <w:rPr>
                <w:sz w:val="16"/>
              </w:rPr>
              <w:t xml:space="preserve">Classroom-first training, guided migration, error reports, champions and parallel-run period</w:t>
            </w:r>
          </w:p>
        </w:tc>
      </w:tr>
      <w:tr>
        <w:trPr>
          <w:cantSplit/>
        </w:trPr>
        <w:tc>
          <w:tcPr>
            <w:vAlign w:val="center"/>
          </w:tcPr>
          <w:p>
            <w:pPr>
              <w:pStyle w:val="Compact"/>
              <w:spacing w:after="40"/>
              <w:jc w:val="left"/>
            </w:pPr>
            <w:r>
              <w:rPr>
                <w:sz w:val="16"/>
              </w:rPr>
              <w:t xml:space="preserve">Misleading official integration/compliance claims</w:t>
            </w:r>
          </w:p>
        </w:tc>
        <w:tc>
          <w:tcPr>
            <w:vAlign w:val="center"/>
          </w:tcPr>
          <w:p>
            <w:pPr>
              <w:pStyle w:val="Compact"/>
              <w:spacing w:after="40"/>
              <w:jc w:val="left"/>
            </w:pPr>
            <w:r>
              <w:rPr>
                <w:sz w:val="16"/>
              </w:rPr>
              <w:t xml:space="preserve">Explicit integration registry: proposed / sandbox / certified / authorised / live</w:t>
            </w:r>
          </w:p>
        </w:tc>
      </w:tr>
      <w:tr>
        <w:trPr>
          <w:cantSplit/>
        </w:trPr>
        <w:tc>
          <w:tcPr>
            <w:vAlign w:val="center"/>
          </w:tcPr>
          <w:p>
            <w:pPr>
              <w:pStyle w:val="Compact"/>
              <w:spacing w:after="40"/>
              <w:jc w:val="left"/>
            </w:pPr>
            <w:r>
              <w:rPr>
                <w:sz w:val="16"/>
              </w:rPr>
              <w:t xml:space="preserve">Vendor dependency, subscription disputes</w:t>
            </w:r>
          </w:p>
        </w:tc>
        <w:tc>
          <w:tcPr>
            <w:vAlign w:val="center"/>
          </w:tcPr>
          <w:p>
            <w:pPr>
              <w:pStyle w:val="Compact"/>
              <w:spacing w:after="40"/>
              <w:jc w:val="left"/>
            </w:pPr>
            <w:r>
              <w:rPr>
                <w:sz w:val="16"/>
              </w:rPr>
              <w:t xml:space="preserve">Standard exports, exit plan, advance notice, clear DPA and ownership/retention rules</w:t>
            </w:r>
          </w:p>
        </w:tc>
      </w:tr>
      <w:tr>
        <w:trPr>
          <w:cantSplit/>
        </w:trPr>
        <w:tc>
          <w:tcPr>
            <w:vAlign w:val="center"/>
          </w:tcPr>
          <w:p>
            <w:pPr>
              <w:pStyle w:val="Compact"/>
              <w:spacing w:after="40"/>
              <w:jc w:val="left"/>
            </w:pPr>
            <w:r>
              <w:rPr>
                <w:sz w:val="16"/>
              </w:rPr>
              <w:t xml:space="preserve">AI recommendations create unfair learner labelling</w:t>
            </w:r>
          </w:p>
        </w:tc>
        <w:tc>
          <w:tcPr>
            <w:vAlign w:val="center"/>
          </w:tcPr>
          <w:p>
            <w:pPr>
              <w:pStyle w:val="Compact"/>
              <w:spacing w:after="40"/>
              <w:jc w:val="left"/>
            </w:pPr>
            <w:r>
              <w:rPr>
                <w:sz w:val="16"/>
              </w:rPr>
              <w:t xml:space="preserve">Optional privacy-reviewed analytics only, human approval, transparent explanations, no automated high-stakes decisions</w:t>
            </w:r>
          </w:p>
        </w:tc>
      </w:tr>
    </w:tbl>
    <w:bookmarkEnd w:id="66"/>
    <w:bookmarkStart w:id="67" w:name="X2121af8235433a1fae3a3419eb05ce296f81566"/>
    <w:p>
      <w:pPr>
        <w:pStyle w:val="Heading2"/>
        <w:keepNext/>
      </w:pPr>
      <w:r>
        <w:t xml:space="preserve">16. Forward roadmap: responsible advanced capabilities</w:t>
      </w:r>
    </w:p>
    <w:p>
      <w:pPr>
        <w:pStyle w:val="Compact"/>
        <w:numPr>
          <w:ilvl w:val="0"/>
          <w:numId w:val="1019"/>
        </w:numPr>
      </w:pPr>
      <w:r>
        <w:rPr>
          <w:b/>
          <w:bCs/>
        </w:rPr>
        <w:t xml:space="preserve">Educational intelligence (opt-in):</w:t>
      </w:r>
      <w:r>
        <w:t xml:space="preserve"> </w:t>
      </w:r>
      <w:r>
        <w:t xml:space="preserve">explainable risk flags for chronic absence or falling marks, teacher-reviewed support recommendations, restricted to minimum necessary data. No automatic child profiling or adverse decisions.</w:t>
      </w:r>
    </w:p>
    <w:p>
      <w:pPr>
        <w:pStyle w:val="Compact"/>
        <w:numPr>
          <w:ilvl w:val="0"/>
          <w:numId w:val="1019"/>
        </w:numPr>
      </w:pPr>
      <w:r>
        <w:rPr>
          <w:b/>
          <w:bCs/>
        </w:rPr>
        <w:t xml:space="preserve">School operations assistant:</w:t>
      </w:r>
      <w:r>
        <w:t xml:space="preserve"> </w:t>
      </w:r>
      <w:r>
        <w:t xml:space="preserve">AI-assisted draft letters, lesson plans and management summaries from approved aggregate datasets; no access to raw pupil/health files by default and no training on customers’ confidential data without explicit lawful agreement.</w:t>
      </w:r>
    </w:p>
    <w:p>
      <w:pPr>
        <w:pStyle w:val="Compact"/>
        <w:numPr>
          <w:ilvl w:val="0"/>
          <w:numId w:val="1019"/>
        </w:numPr>
      </w:pPr>
      <w:r>
        <w:rPr>
          <w:b/>
          <w:bCs/>
        </w:rPr>
        <w:t xml:space="preserve">Learning pathways:</w:t>
      </w:r>
      <w:r>
        <w:t xml:space="preserve"> </w:t>
      </w:r>
      <w:r>
        <w:t xml:space="preserve">age-appropriate, curriculum-aligned competency trajectories and targeted interventions, with explicit indicators and transparency.</w:t>
      </w:r>
    </w:p>
    <w:p>
      <w:pPr>
        <w:pStyle w:val="Compact"/>
        <w:numPr>
          <w:ilvl w:val="0"/>
          <w:numId w:val="1019"/>
        </w:numPr>
      </w:pPr>
      <w:r>
        <w:rPr>
          <w:b/>
          <w:bCs/>
        </w:rPr>
        <w:t xml:space="preserve">Family engagement:</w:t>
      </w:r>
      <w:r>
        <w:t xml:space="preserve"> </w:t>
      </w:r>
      <w:r>
        <w:t xml:space="preserve">secure two-way communication, school-event booking, parent-teacher appointments and multilingual notices where validated.</w:t>
      </w:r>
    </w:p>
    <w:p>
      <w:pPr>
        <w:pStyle w:val="Compact"/>
        <w:numPr>
          <w:ilvl w:val="0"/>
          <w:numId w:val="1019"/>
        </w:numPr>
      </w:pPr>
      <w:r>
        <w:rPr>
          <w:b/>
          <w:bCs/>
        </w:rPr>
        <w:t xml:space="preserve">Open interoperability:</w:t>
      </w:r>
      <w:r>
        <w:t xml:space="preserve"> </w:t>
      </w:r>
      <w:r>
        <w:t xml:space="preserve">approved education systems/EMIS statistics, ECZ files where authorised, accounting and bank interfaces, and secure government reporting adapters.</w:t>
      </w:r>
    </w:p>
    <w:p>
      <w:pPr>
        <w:pStyle w:val="Compact"/>
        <w:numPr>
          <w:ilvl w:val="0"/>
          <w:numId w:val="1019"/>
        </w:numPr>
      </w:pPr>
      <w:r>
        <w:rPr>
          <w:b/>
          <w:bCs/>
        </w:rPr>
        <w:t xml:space="preserve">Multi-country readiness:</w:t>
      </w:r>
      <w:r>
        <w:t xml:space="preserve"> </w:t>
      </w:r>
      <w:r>
        <w:t xml:space="preserve">policies, currency, local grading, data hosting jurisdiction and statutory reporting as configuration; Zambia remains the primary validated implementation.</w:t>
      </w:r>
    </w:p>
    <w:bookmarkEnd w:id="67"/>
    <w:bookmarkStart w:id="68" w:name="go-to-market-and-pilot-plan"/>
    <w:p>
      <w:pPr>
        <w:pStyle w:val="Heading2"/>
        <w:keepNext/>
      </w:pPr>
      <w:r>
        <w:t xml:space="preserve">17. Go-to-market and pilot plan</w:t>
      </w:r>
    </w:p>
    <w:p>
      <w:pPr>
        <w:pStyle w:val="FirstParagraph"/>
      </w:pPr>
      <w:r>
        <w:rPr>
          <w:b/>
          <w:bCs/>
        </w:rPr>
        <w:t xml:space="preserve">Pilot composition:</w:t>
      </w:r>
      <w:r>
        <w:t xml:space="preserve"> </w:t>
      </w:r>
      <w:r>
        <w:t xml:space="preserve">one school with &lt;=80 pupils (ECE/primary); one 80–250-pupil primary school; one combined primary-secondary school; optionally one multi-campus group. Recruit pilot headteachers, bursars, three teachers and a representative parent sample at each school. Capture existing process time, duplicate-record counts, fee reconciliation lag and reporting effort before importing records.</w:t>
      </w:r>
    </w:p>
    <w:p>
      <w:pPr>
        <w:pStyle w:val="BodyText"/>
      </w:pPr>
      <w:r>
        <w:rPr>
          <w:b/>
          <w:bCs/>
        </w:rPr>
        <w:t xml:space="preserve">Commercial onboarding steps:</w:t>
      </w:r>
      <w:r>
        <w:t xml:space="preserve"> </w:t>
      </w:r>
      <w:r>
        <w:t xml:space="preserve">(1) school registers/chooses package; (2) confirms authority, DPA, hosting and privacy obligations; (3) configures curriculum/calendar; (4) verifies users/guardian links; (5) validates CSV import and opening balances; (6) runs sandbox report and receipt tests; (7) trains admin, teachers and parents; (8) signs pilot acceptance; (9) activates with supported help channels; (10) reviews first-term KPIs and re-prices based on actual costs.</w:t>
      </w:r>
    </w:p>
    <w:p>
      <w:pPr>
        <w:pStyle w:val="BodyText"/>
      </w:pPr>
      <w:r>
        <w:rPr>
          <w:b/>
          <w:bCs/>
        </w:rPr>
        <w:t xml:space="preserve">Sales channels:</w:t>
      </w:r>
      <w:r>
        <w:t xml:space="preserve"> </w:t>
      </w:r>
      <w:r>
        <w:t xml:space="preserve">private school associations and proprietors’ networks, headteacher referrals, school administrator demonstrations, parent/teacher networks, regional school visits, and short product demonstration videos. Prepare an on-site/no-obligation school process assessment but avoid promising regulatory approval of the software.</w:t>
      </w:r>
    </w:p>
    <w:bookmarkEnd w:id="68"/>
    <w:bookmarkStart w:id="69" w:name="release-decision-definition-of-done"/>
    <w:p>
      <w:pPr>
        <w:pStyle w:val="Heading2"/>
        <w:keepNext/>
      </w:pPr>
      <w:r>
        <w:t xml:space="preserve">18. Release decision / definition of done</w:t>
      </w:r>
    </w:p>
    <w:p>
      <w:pPr>
        <w:pStyle w:val="FirstParagraph"/>
      </w:pPr>
      <w:r>
        <w:t xml:space="preserve">Do</w:t>
      </w:r>
      <w:r>
        <w:t xml:space="preserve"> </w:t>
      </w:r>
      <w:r>
        <w:rPr>
          <w:b/>
          <w:bCs/>
        </w:rPr>
        <w:t xml:space="preserve">not</w:t>
      </w:r>
      <w:r>
        <w:t xml:space="preserve"> </w:t>
      </w:r>
      <w:r>
        <w:t xml:space="preserve">launch production with real child records until the following are met: tenant isolation tested; hosting/data transfer legal design signed off; school/vendor privacy responsibilities documented; guardian-link consent and access verification tested; school report publication approvals working; cashbook/fee entries traceable; backup/restore demonstrated; basic cybersecurity assessment completed; sample Ministry-return fields checked; parent mobile usability tested; help/support and incident processes staffed; and at least two pilots sign off core workflows.</w:t>
      </w:r>
    </w:p>
    <w:p>
      <w:pPr>
        <w:pStyle w:val="BodyText"/>
      </w:pPr>
      <w:r>
        <w:rPr>
          <w:b/>
          <w:bCs/>
        </w:rPr>
        <w:t xml:space="preserve">Decision:</w:t>
      </w:r>
      <w:r>
        <w:t xml:space="preserve"> </w:t>
      </w:r>
      <w:r>
        <w:t xml:space="preserve">Start with a</w:t>
      </w:r>
      <w:r>
        <w:t xml:space="preserve"> </w:t>
      </w:r>
      <w:r>
        <w:rPr>
          <w:b/>
          <w:bCs/>
        </w:rPr>
        <w:t xml:space="preserve">Zambia-hosted, modular SaaS product containing a genuinely useful core</w:t>
      </w:r>
      <w:r>
        <w:t xml:space="preserve"> </w:t>
      </w:r>
      <w:r>
        <w:t xml:space="preserve">(student registry + attendance + flexible results + parent portal + manual fees + reporting). Make mobile-money processing, HR/payroll and premium school operations optional, using direct merchant settlement and separate legal/integration gates. Offer hosted subscriptions by active learner band and self-host/perpetual licences as enterprise or budget-specific alternatives.</w:t>
      </w:r>
    </w:p>
    <w:bookmarkEnd w:id="69"/>
    <w:bookmarkStart w:id="70" w:name="harvard-style-references"/>
    <w:p>
      <w:pPr>
        <w:pStyle w:val="Heading2"/>
        <w:keepNext/>
      </w:pPr>
      <w:r>
        <w:t xml:space="preserve">19. Harvard-style references</w:t>
      </w:r>
    </w:p>
    <w:p>
      <w:pPr>
        <w:pStyle w:val="FirstParagraph"/>
      </w:pPr>
      <w:r>
        <w:t xml:space="preserve">Bank of Zambia (n.d.)</w:t>
      </w:r>
      <w:r>
        <w:t xml:space="preserve"> </w:t>
      </w:r>
      <w:r>
        <w:rPr>
          <w:i/>
          <w:iCs/>
        </w:rPr>
        <w:t xml:space="preserve">Designation of payment systems</w:t>
      </w:r>
      <w:r>
        <w:t xml:space="preserve">. Available at: https://www.boz.zm/payment-systems/designation-of-payment-systems (Accessed: 16 October 2026).</w:t>
      </w:r>
    </w:p>
    <w:p>
      <w:pPr>
        <w:pStyle w:val="BodyText"/>
      </w:pPr>
      <w:r>
        <w:t xml:space="preserve">Data Protection Commissioner (n.d.)</w:t>
      </w:r>
      <w:r>
        <w:t xml:space="preserve"> </w:t>
      </w:r>
      <w:r>
        <w:rPr>
          <w:i/>
          <w:iCs/>
        </w:rPr>
        <w:t xml:space="preserve">Data controller and processor registration portal</w:t>
      </w:r>
      <w:r>
        <w:t xml:space="preserve">. Available at: https://registration.dataprotection.gov.zm/ (Accessed: 16 October 2026).</w:t>
      </w:r>
    </w:p>
    <w:p>
      <w:pPr>
        <w:pStyle w:val="BodyText"/>
      </w:pPr>
      <w:r>
        <w:t xml:space="preserve">DHIS2 (2021)</w:t>
      </w:r>
      <w:r>
        <w:t xml:space="preserve"> </w:t>
      </w:r>
      <w:r>
        <w:rPr>
          <w:i/>
          <w:iCs/>
        </w:rPr>
        <w:t xml:space="preserve">Zambia Education Management System (EMIS)</w:t>
      </w:r>
      <w:r>
        <w:t xml:space="preserve">. Available at: https://docs.dhis2.org/en/topics/user-stories/zambia-education-management-system-emis.html (Accessed: 16 October 2026).</w:t>
      </w:r>
    </w:p>
    <w:p>
      <w:pPr>
        <w:pStyle w:val="BodyText"/>
      </w:pPr>
      <w:r>
        <w:t xml:space="preserve">Ministry of Education (2022)</w:t>
      </w:r>
      <w:r>
        <w:t xml:space="preserve"> </w:t>
      </w:r>
      <w:r>
        <w:rPr>
          <w:i/>
          <w:iCs/>
        </w:rPr>
        <w:t xml:space="preserve">Education Statistics Bulletin 2022</w:t>
      </w:r>
      <w:r>
        <w:t xml:space="preserve">. Available at: https://www.edu.gov.zm/wp-content/uploads/2024/11/Eduaction-Statistics-Bulletin-2022_20_11_2024.pdf (Accessed: 16 October 2026).</w:t>
      </w:r>
    </w:p>
    <w:p>
      <w:pPr>
        <w:pStyle w:val="BodyText"/>
      </w:pPr>
      <w:r>
        <w:t xml:space="preserve">Ministry of Education (2024a)</w:t>
      </w:r>
      <w:r>
        <w:t xml:space="preserve"> </w:t>
      </w:r>
      <w:r>
        <w:rPr>
          <w:i/>
          <w:iCs/>
        </w:rPr>
        <w:t xml:space="preserve">New curricula to be implemented in a phased manner</w:t>
      </w:r>
      <w:r>
        <w:t xml:space="preserve">. Available at: https://www.edu.gov.zm/?p=6801 (Accessed: 16 October 2026).</w:t>
      </w:r>
    </w:p>
    <w:p>
      <w:pPr>
        <w:pStyle w:val="BodyText"/>
      </w:pPr>
      <w:r>
        <w:t xml:space="preserve">Ministry of Education (2024b)</w:t>
      </w:r>
      <w:r>
        <w:t xml:space="preserve"> </w:t>
      </w:r>
      <w:r>
        <w:rPr>
          <w:i/>
          <w:iCs/>
        </w:rPr>
        <w:t xml:space="preserve">Directorate of Curriculum Development</w:t>
      </w:r>
      <w:r>
        <w:t xml:space="preserve">. Available at: https://www.edu.gov.zm/?page_id=1142 (Accessed: 16 October 2026).</w:t>
      </w:r>
    </w:p>
    <w:p>
      <w:pPr>
        <w:pStyle w:val="BodyText"/>
      </w:pPr>
      <w:r>
        <w:t xml:space="preserve">Republic of Zambia (2011)</w:t>
      </w:r>
      <w:r>
        <w:t xml:space="preserve"> </w:t>
      </w:r>
      <w:r>
        <w:rPr>
          <w:i/>
          <w:iCs/>
        </w:rPr>
        <w:t xml:space="preserve">Education Act, 2011 (Act No. 23 of 2011)</w:t>
      </w:r>
      <w:r>
        <w:t xml:space="preserve">. Available at: https://zambialii.org/akn/zm/act/2011/23/eng%402011-04-18 (Accessed: 16 October 2026).</w:t>
      </w:r>
    </w:p>
    <w:p>
      <w:pPr>
        <w:pStyle w:val="BodyText"/>
      </w:pPr>
      <w:r>
        <w:t xml:space="preserve">Republic of Zambia (2021)</w:t>
      </w:r>
      <w:r>
        <w:t xml:space="preserve"> </w:t>
      </w:r>
      <w:r>
        <w:rPr>
          <w:i/>
          <w:iCs/>
        </w:rPr>
        <w:t xml:space="preserve">Data Protection Act, 2021 (Act No. 3 of 2021)</w:t>
      </w:r>
      <w:r>
        <w:t xml:space="preserve">. Available at: https://zambialii.org/akn/zm/act/2021/3/eng%402021-03-24 (Accessed: 16 October 2026).</w:t>
      </w:r>
    </w:p>
    <w:p>
      <w:pPr>
        <w:pStyle w:val="BodyText"/>
      </w:pPr>
      <w:r>
        <w:t xml:space="preserve">Republic of Zambia (2025)</w:t>
      </w:r>
      <w:r>
        <w:t xml:space="preserve"> </w:t>
      </w:r>
      <w:r>
        <w:rPr>
          <w:i/>
          <w:iCs/>
        </w:rPr>
        <w:t xml:space="preserve">Cyber Security Act, 2025 and Cyber Crimes Act, 2025</w:t>
      </w:r>
      <w:r>
        <w:t xml:space="preserve">. Available at: https://www.parliament.gov.zm/node/12319 and https://www.parliament.gov.zm/node/12320 (Accessed: 16 October 2026).</w:t>
      </w:r>
    </w:p>
    <w:p>
      <w:pPr>
        <w:pStyle w:val="BodyText"/>
      </w:pPr>
      <w:r>
        <w:t xml:space="preserve">Republic of Zambia (2026a)</w:t>
      </w:r>
      <w:r>
        <w:t xml:space="preserve"> </w:t>
      </w:r>
      <w:r>
        <w:rPr>
          <w:i/>
          <w:iCs/>
        </w:rPr>
        <w:t xml:space="preserve">Education (Amendment) Act, 2026 (Act No. 17 of 2026)</w:t>
      </w:r>
      <w:r>
        <w:t xml:space="preserve">. Available at: https://zambialii.org/akn/zm/act/2026/17/eng%402026-06-12 (Accessed: 16 October 2026).</w:t>
      </w:r>
    </w:p>
    <w:p>
      <w:pPr>
        <w:pStyle w:val="BodyText"/>
      </w:pPr>
      <w:r>
        <w:t xml:space="preserve">Republic of Zambia (2026b)</w:t>
      </w:r>
      <w:r>
        <w:t xml:space="preserve"> </w:t>
      </w:r>
      <w:r>
        <w:rPr>
          <w:i/>
          <w:iCs/>
        </w:rPr>
        <w:t xml:space="preserve">Teaching Profession Act, 2026 (Act No. 1 of 2026)</w:t>
      </w:r>
      <w:r>
        <w:t xml:space="preserve">. Available at: https://zambialii.org/akn/zm/act/2026/1/eng%402026-03-27 and commencement order: https://zambialii.org/akn/zm/act/si/2026/36/eng%402026-05-15 (Accessed: 16 October 2026).</w:t>
      </w:r>
    </w:p>
    <w:p>
      <w:pPr>
        <w:pStyle w:val="BodyText"/>
      </w:pPr>
      <w:r>
        <w:t xml:space="preserve">Republic of Zambia (2026c)</w:t>
      </w:r>
      <w:r>
        <w:t xml:space="preserve"> </w:t>
      </w:r>
      <w:r>
        <w:rPr>
          <w:i/>
          <w:iCs/>
        </w:rPr>
        <w:t xml:space="preserve">National Payment System Act, 2026 (Act No. 5 of 2026)</w:t>
      </w:r>
      <w:r>
        <w:t xml:space="preserve">.</w:t>
      </w:r>
      <w:r>
        <w:t xml:space="preserve"> </w:t>
      </w:r>
      <w:r>
        <w:rPr>
          <w:b/>
          <w:bCs/>
        </w:rPr>
        <w:t xml:space="preserve">Not commenced as recorded at access date.</w:t>
      </w:r>
      <w:r>
        <w:t xml:space="preserve"> </w:t>
      </w:r>
      <w:r>
        <w:t xml:space="preserve">Available at: https://zambialii.org/akn/zm/act/2026/5/eng%402026-04-08 (Accessed: 16 October 2026).</w:t>
      </w:r>
    </w:p>
    <w:p>
      <w:pPr>
        <w:pStyle w:val="BodyText"/>
      </w:pPr>
      <w:r>
        <w:t xml:space="preserve">Zambia Revenue Authority (n.d.)</w:t>
      </w:r>
      <w:r>
        <w:t xml:space="preserve"> </w:t>
      </w:r>
      <w:r>
        <w:rPr>
          <w:i/>
          <w:iCs/>
        </w:rPr>
        <w:t xml:space="preserve">Smart Invoice: available solutions and eligibility requirements</w:t>
      </w:r>
      <w:r>
        <w:t xml:space="preserve">. Available at: https://www.zra.org.zm/smart-invoice-learn-more/ (Accessed: 16 October 2026).</w:t>
      </w:r>
    </w:p>
    <w:p>
      <w:r>
        <w:pict>
          <v:rect style="width:0;height:1.5pt" o:hralign="center" o:hrstd="t" o:hr="t"/>
        </w:pict>
      </w:r>
    </w:p>
    <w:p>
      <w:pPr>
        <w:pStyle w:val="FirstParagraph"/>
      </w:pPr>
      <w:r>
        <w:rPr>
          <w:b/>
          <w:bCs/>
        </w:rPr>
        <w:t xml:space="preserve">Scope note:</w:t>
      </w:r>
      <w:r>
        <w:t xml:space="preserve"> </w:t>
      </w:r>
      <w:r>
        <w:t xml:space="preserve">This PRD is a technical/product planning document, not legal, accounting or regulatory certification. Laws, ministerial instruments, Ministry templates, tax rules and payment-provider authorisations should be checked again immediately before each go-live.</w:t>
      </w:r>
    </w:p>
    <w:bookmarkEnd w:id="70"/>
    <w:bookmarkEnd w:id="71"/>
    <w:sectPr>
      <w:headerReference w:type="default" r:id="rId9"/>
      <w:footerReference w:type="default" r:id="rId10"/>
      <w:pgMar w:top="1080" w:bottom="1109" w:left="1181" w:right="1181" w:header="461" w:footer="46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07B87"/>
        <w:sz w:val="14"/>
      </w:rPr>
      <w:t xml:space="preserve">CONFIDENTIAL WORKING PRD   •   16 OCTOBER 2026   |   PAGE </w:t>
    </w: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5E707E"/>
        <w:sz w:val="15"/>
      </w:rPr>
      <w:t>EDUSPHERE  |  SCHOOL MANAGEMENT INFORMATION SYSTEM</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00" w:line="269" w:lineRule="auto"/>
    </w:pPr>
    <w:rPr>
      <w:rFonts w:ascii="Aptos" w:hAnsi="Aptos"/>
      <w:color w:val="26313F"/>
      <w:sz w:val="18"/>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300" w:before="280"/>
      <w:jc w:val="center"/>
    </w:pPr>
    <w:rPr>
      <w:rFonts w:asciiTheme="majorHAnsi" w:cstheme="majorBidi" w:eastAsiaTheme="majorEastAsia" w:hAnsiTheme="majorHAnsi" w:ascii="Aptos Display" w:hAnsi="Aptos Display"/>
      <w:b/>
      <w:bCs/>
      <w:color w:val="0B2B44"/>
      <w:sz w:val="48"/>
      <w:szCs w:val="36"/>
    </w:rPr>
  </w:style>
  <w:style w:styleId="Subtitle" w:type="paragraph">
    <w:name w:val="Subtitle"/>
    <w:basedOn w:val="Title"/>
    <w:next w:val="BodyText"/>
    <w:qFormat/>
    <w:pPr>
      <w:keepNext/>
      <w:keepLines/>
      <w:spacing w:after="280" w:before="140"/>
      <w:jc w:val="center"/>
    </w:pPr>
    <w:rPr>
      <w:rFonts w:ascii="Aptos" w:hAnsi="Aptos"/>
      <w:b/>
      <w:color w:val="18526F"/>
      <w:sz w:val="26"/>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160" w:before="300"/>
      <w:outlineLvl w:val="0"/>
    </w:pPr>
    <w:rPr>
      <w:rFonts w:asciiTheme="majorHAnsi" w:cstheme="majorBidi" w:eastAsiaTheme="majorEastAsia" w:hAnsiTheme="majorHAnsi" w:ascii="Aptos Display" w:hAnsi="Aptos Display"/>
      <w:b/>
      <w:bCs/>
      <w:color w:val="064259"/>
      <w:sz w:val="32"/>
      <w:szCs w:val="32"/>
    </w:rPr>
  </w:style>
  <w:style w:styleId="Heading2" w:type="paragraph">
    <w:name w:val="Heading 2"/>
    <w:basedOn w:val="Normal"/>
    <w:next w:val="BodyText"/>
    <w:uiPriority w:val="9"/>
    <w:unhideWhenUsed/>
    <w:qFormat/>
    <w:pPr>
      <w:keepNext/>
      <w:keepLines/>
      <w:spacing w:after="120" w:before="220"/>
      <w:outlineLvl w:val="1"/>
    </w:pPr>
    <w:rPr>
      <w:rFonts w:asciiTheme="majorHAnsi" w:cstheme="majorBidi" w:eastAsiaTheme="majorEastAsia" w:hAnsiTheme="majorHAnsi" w:ascii="Aptos" w:hAnsi="Aptos"/>
      <w:b/>
      <w:bCs/>
      <w:color w:val="135B7C"/>
      <w:sz w:val="24"/>
      <w:szCs w:val="28"/>
    </w:rPr>
  </w:style>
  <w:style w:styleId="Heading3" w:type="paragraph">
    <w:name w:val="Heading 3"/>
    <w:basedOn w:val="Normal"/>
    <w:next w:val="BodyText"/>
    <w:uiPriority w:val="9"/>
    <w:unhideWhenUsed/>
    <w:qFormat/>
    <w:pPr>
      <w:keepNext/>
      <w:keepLines/>
      <w:spacing w:after="80" w:before="140"/>
      <w:outlineLvl w:val="2"/>
    </w:pPr>
    <w:rPr>
      <w:rFonts w:asciiTheme="majorHAnsi" w:cstheme="majorBidi" w:eastAsiaTheme="majorEastAsia" w:hAnsiTheme="majorHAnsi" w:ascii="Aptos" w:hAnsi="Aptos"/>
      <w:b/>
      <w:bCs/>
      <w:color w:val="195A70"/>
      <w:sz w:val="20"/>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2026-10-16T03:49:39Z</dcterms:created>
  <dcterms:modified xsi:type="dcterms:W3CDTF">2026-10-16T03:49:39Z</dcterms:modified>
</cp:coreProperties>
</file>

<file path=docProps/custom.xml><?xml version="1.0" encoding="utf-8"?>
<Properties xmlns="http://schemas.openxmlformats.org/officeDocument/2006/custom-properties" xmlns:vt="http://schemas.openxmlformats.org/officeDocument/2006/docPropsVTypes"/>
</file>