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br/>
        <w:t>OMNIFLOW</w:t>
        <w:br/>
      </w:r>
      <w:r>
        <w:rPr>
          <w:b/>
          <w:sz w:val="36"/>
        </w:rPr>
        <w:t>Intelligent Engineering Design, Modelling &amp; Simulation Platform</w:t>
      </w:r>
      <w:r>
        <w:br/>
        <w:br/>
        <w:t>Enterprise Product Requirements Document</w:t>
        <w:br/>
        <w:t>Version 2.0</w:t>
        <w:br/>
        <w:t>October 2026</w:t>
        <w:br/>
        <w:br/>
      </w:r>
      <w:r>
        <w:rPr>
          <w:b/>
          <w:sz w:val="26"/>
        </w:rPr>
        <w:t>Design it. Validate it. Simulate it. Optimise it.</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Item</w:t>
            </w:r>
          </w:p>
        </w:tc>
        <w:tc>
          <w:tcPr>
            <w:tcW w:type="dxa" w:w="5040"/>
            <w:vAlign w:val="center"/>
            <w:shd w:fill="D9EAF7"/>
          </w:tcPr>
          <w:p>
            <w:r/>
            <w:r>
              <w:rPr>
                <w:b/>
                <w:sz w:val="16"/>
              </w:rPr>
              <w:t>Value</w:t>
            </w:r>
          </w:p>
        </w:tc>
      </w:tr>
      <w:tr>
        <w:tc>
          <w:tcPr>
            <w:tcW w:type="dxa" w:w="5040"/>
            <w:vAlign w:val="center"/>
          </w:tcPr>
          <w:p>
            <w:r/>
            <w:r>
              <w:rPr>
                <w:b w:val="0"/>
                <w:sz w:val="16"/>
              </w:rPr>
              <w:t>Product</w:t>
            </w:r>
          </w:p>
        </w:tc>
        <w:tc>
          <w:tcPr>
            <w:tcW w:type="dxa" w:w="5040"/>
            <w:vAlign w:val="center"/>
          </w:tcPr>
          <w:p>
            <w:r/>
            <w:r>
              <w:rPr>
                <w:b w:val="0"/>
                <w:sz w:val="16"/>
              </w:rPr>
              <w:t>OmniFlow</w:t>
            </w:r>
          </w:p>
        </w:tc>
      </w:tr>
      <w:tr>
        <w:tc>
          <w:tcPr>
            <w:tcW w:type="dxa" w:w="5040"/>
            <w:vAlign w:val="center"/>
          </w:tcPr>
          <w:p>
            <w:r/>
            <w:r>
              <w:rPr>
                <w:b w:val="0"/>
                <w:sz w:val="16"/>
              </w:rPr>
              <w:t>Product category</w:t>
            </w:r>
          </w:p>
        </w:tc>
        <w:tc>
          <w:tcPr>
            <w:tcW w:type="dxa" w:w="5040"/>
            <w:vAlign w:val="center"/>
          </w:tcPr>
          <w:p>
            <w:r/>
            <w:r>
              <w:rPr>
                <w:b w:val="0"/>
                <w:sz w:val="16"/>
              </w:rPr>
              <w:t>Enterprise visual engineering design, modelling, simulation and digital-twin platform</w:t>
            </w:r>
          </w:p>
        </w:tc>
      </w:tr>
      <w:tr>
        <w:tc>
          <w:tcPr>
            <w:tcW w:type="dxa" w:w="5040"/>
            <w:vAlign w:val="center"/>
          </w:tcPr>
          <w:p>
            <w:r/>
            <w:r>
              <w:rPr>
                <w:b w:val="0"/>
                <w:sz w:val="16"/>
              </w:rPr>
              <w:t>Version</w:t>
            </w:r>
          </w:p>
        </w:tc>
        <w:tc>
          <w:tcPr>
            <w:tcW w:type="dxa" w:w="5040"/>
            <w:vAlign w:val="center"/>
          </w:tcPr>
          <w:p>
            <w:r/>
            <w:r>
              <w:rPr>
                <w:b w:val="0"/>
                <w:sz w:val="16"/>
              </w:rPr>
              <w:t>2.0</w:t>
            </w:r>
          </w:p>
        </w:tc>
      </w:tr>
      <w:tr>
        <w:tc>
          <w:tcPr>
            <w:tcW w:type="dxa" w:w="5040"/>
            <w:vAlign w:val="center"/>
          </w:tcPr>
          <w:p>
            <w:r/>
            <w:r>
              <w:rPr>
                <w:b w:val="0"/>
                <w:sz w:val="16"/>
              </w:rPr>
              <w:t>Status</w:t>
            </w:r>
          </w:p>
        </w:tc>
        <w:tc>
          <w:tcPr>
            <w:tcW w:type="dxa" w:w="5040"/>
            <w:vAlign w:val="center"/>
          </w:tcPr>
          <w:p>
            <w:r/>
            <w:r>
              <w:rPr>
                <w:b w:val="0"/>
                <w:sz w:val="16"/>
              </w:rPr>
              <w:t>Product baseline / implementation-ready PRD</w:t>
            </w:r>
          </w:p>
        </w:tc>
      </w:tr>
      <w:tr>
        <w:tc>
          <w:tcPr>
            <w:tcW w:type="dxa" w:w="5040"/>
            <w:vAlign w:val="center"/>
          </w:tcPr>
          <w:p>
            <w:r/>
            <w:r>
              <w:rPr>
                <w:b w:val="0"/>
                <w:sz w:val="16"/>
              </w:rPr>
              <w:t>Primary domains</w:t>
            </w:r>
          </w:p>
        </w:tc>
        <w:tc>
          <w:tcPr>
            <w:tcW w:type="dxa" w:w="5040"/>
            <w:vAlign w:val="center"/>
          </w:tcPr>
          <w:p>
            <w:r/>
            <w:r>
              <w:rPr>
                <w:b w:val="0"/>
                <w:sz w:val="16"/>
              </w:rPr>
              <w:t>Networks, Electrical, Hydraulic/Plumbing, HVAC, Solar/Energy, Fire &amp; Life Safety, IoT, Industrial Processes</w:t>
            </w:r>
          </w:p>
        </w:tc>
      </w:tr>
      <w:tr>
        <w:tc>
          <w:tcPr>
            <w:tcW w:type="dxa" w:w="5040"/>
            <w:vAlign w:val="center"/>
          </w:tcPr>
          <w:p>
            <w:r/>
            <w:r>
              <w:rPr>
                <w:b w:val="0"/>
                <w:sz w:val="16"/>
              </w:rPr>
              <w:t>Architecture principle</w:t>
            </w:r>
          </w:p>
        </w:tc>
        <w:tc>
          <w:tcPr>
            <w:tcW w:type="dxa" w:w="5040"/>
            <w:vAlign w:val="center"/>
          </w:tcPr>
          <w:p>
            <w:r/>
            <w:r>
              <w:rPr>
                <w:b w:val="0"/>
                <w:sz w:val="16"/>
              </w:rPr>
              <w:t>Domain-agnostic Engineering Graph with pluggable domain engines</w:t>
            </w:r>
          </w:p>
        </w:tc>
      </w:tr>
      <w:tr>
        <w:tc>
          <w:tcPr>
            <w:tcW w:type="dxa" w:w="5040"/>
            <w:vAlign w:val="center"/>
          </w:tcPr>
          <w:p>
            <w:r/>
            <w:r>
              <w:rPr>
                <w:b w:val="0"/>
                <w:sz w:val="16"/>
              </w:rPr>
              <w:t>Primary clients</w:t>
            </w:r>
          </w:p>
        </w:tc>
        <w:tc>
          <w:tcPr>
            <w:tcW w:type="dxa" w:w="5040"/>
            <w:vAlign w:val="center"/>
          </w:tcPr>
          <w:p>
            <w:r/>
            <w:r>
              <w:rPr>
                <w:b w:val="0"/>
                <w:sz w:val="16"/>
              </w:rPr>
              <w:t>Engineers, architects, technicians, integrators, educators, project teams and enterprise operators</w:t>
            </w:r>
          </w:p>
        </w:tc>
      </w:tr>
      <w:tr>
        <w:tc>
          <w:tcPr>
            <w:tcW w:type="dxa" w:w="5040"/>
            <w:vAlign w:val="center"/>
          </w:tcPr>
          <w:p>
            <w:r/>
            <w:r>
              <w:rPr>
                <w:b w:val="0"/>
                <w:sz w:val="16"/>
              </w:rPr>
              <w:t>Deployment</w:t>
            </w:r>
          </w:p>
        </w:tc>
        <w:tc>
          <w:tcPr>
            <w:tcW w:type="dxa" w:w="5040"/>
            <w:vAlign w:val="center"/>
          </w:tcPr>
          <w:p>
            <w:r/>
            <w:r>
              <w:rPr>
                <w:b w:val="0"/>
                <w:sz w:val="16"/>
              </w:rPr>
              <w:t>Cloud, private cloud, on-premises and offline-capable workstation/PWA</w:t>
            </w:r>
          </w:p>
        </w:tc>
      </w:tr>
    </w:tbl>
    <w:p>
      <w:pPr>
        <w:pStyle w:val="Heading1"/>
      </w:pPr>
      <w:r>
        <w:t>2. Executive Summary</w:t>
      </w:r>
    </w:p>
    <w:p>
      <w:pPr>
        <w:spacing w:after="80"/>
      </w:pPr>
      <w:r>
        <w:t>OmniFlow is an enterprise-grade visual engineering platform that turns diagrams into executable system models. Users drag components onto an intelligent canvas, connect typed ports, configure engineering parameters, validate the design, run domain-specific simulations, observe system behaviour, identify failures and bottlenecks, optimise designs, generate documentation and ultimately connect models to real-world telemetry.</w:t>
      </w:r>
    </w:p>
    <w:p>
      <w:pPr>
        <w:spacing w:after="80"/>
      </w:pPr>
      <w:r>
        <w:t>The platform begins with computer networks, electrical circuits and hydraulic/plumbing systems, then extends through a common architecture to HVAC, solar and energy systems, fire and life-safety systems, IoT, industrial/process systems, telecommunications, security, building automation and other domains.</w:t>
      </w:r>
    </w:p>
    <w:p>
      <w:pPr>
        <w:spacing w:after="80"/>
      </w:pPr>
      <w:r>
        <w:t>The central product abstraction is the OmniFlow Engineering Graph: components, ports, connections, properties, constraints, behaviours, simulation models, dependencies and metadata. The same graph powers design, validation, simulation, AI assistance, BOQ generation, documentation, collaboration and future digital twins.</w:t>
      </w:r>
    </w:p>
    <w:p>
      <w:pPr>
        <w:pStyle w:val="Heading1"/>
      </w:pPr>
      <w:r>
        <w:t>3. Product Vision</w:t>
      </w:r>
    </w:p>
    <w:p>
      <w:pPr>
        <w:spacing w:after="80"/>
      </w:pPr>
      <w:r>
        <w:t>Create a unified engineering workspace in which a visual drawing is not merely a picture but a structured, queryable and executable model of a real or proposed system.</w:t>
      </w:r>
    </w:p>
    <w:p>
      <w:pPr>
        <w:pStyle w:val="Callout"/>
      </w:pPr>
      <w:r>
        <w:t>Core workflow:</w:t>
      </w:r>
    </w:p>
    <w:p>
      <w:pPr>
        <w:spacing w:after="80"/>
      </w:pPr>
      <w:r>
        <w:t>Draw → Model → Configure → Validate → Simulate → Diagnose → Optimise → Document → Cost → Collaborate → Operate</w:t>
      </w:r>
    </w:p>
    <w:p>
      <w:pPr>
        <w:spacing w:after="80"/>
      </w:pPr>
      <w:r>
        <w:t>Long-term vision: OmniFlow becomes a common engineering modelling layer connecting design intent, calculations, project delivery and operational telemetry.</w:t>
      </w:r>
    </w:p>
    <w:p>
      <w:pPr>
        <w:pStyle w:val="Heading1"/>
      </w:pPr>
      <w:r>
        <w:t>4. Product Principles</w:t>
      </w:r>
    </w:p>
    <w:p>
      <w:pPr>
        <w:pStyle w:val="ListBullet"/>
        <w:spacing w:after="40"/>
      </w:pPr>
      <w:r>
        <w:t>Model, not merely draw: every meaningful object has structured engineering semantics.</w:t>
      </w:r>
    </w:p>
    <w:p>
      <w:pPr>
        <w:pStyle w:val="ListBullet"/>
        <w:spacing w:after="40"/>
      </w:pPr>
      <w:r>
        <w:t>Domain-neutral core: new disciplines plug into the same graph, canvas, validation, simulation and reporting infrastructure.</w:t>
      </w:r>
    </w:p>
    <w:p>
      <w:pPr>
        <w:pStyle w:val="ListBullet"/>
        <w:spacing w:after="40"/>
      </w:pPr>
      <w:r>
        <w:t>Simulation transparency: expose assumptions, parameters, solver type, results and limitations.</w:t>
      </w:r>
    </w:p>
    <w:p>
      <w:pPr>
        <w:pStyle w:val="ListBullet"/>
        <w:spacing w:after="40"/>
      </w:pPr>
      <w:r>
        <w:t>Human-controlled automation: AI proposes and explains changes; users approve material design changes.</w:t>
      </w:r>
    </w:p>
    <w:p>
      <w:pPr>
        <w:pStyle w:val="ListBullet"/>
        <w:spacing w:after="40"/>
      </w:pPr>
      <w:r>
        <w:t>Offline-first where practical: core authoring and selected simulations remain usable without connectivity.</w:t>
      </w:r>
    </w:p>
    <w:p>
      <w:pPr>
        <w:pStyle w:val="ListBullet"/>
        <w:spacing w:after="40"/>
      </w:pPr>
      <w:r>
        <w:t>Enterprise by design: tenant isolation, RBAC, auditability, APIs, integrations and deployment flexibility are foundational.</w:t>
      </w:r>
    </w:p>
    <w:p>
      <w:pPr>
        <w:pStyle w:val="ListBullet"/>
        <w:spacing w:after="40"/>
      </w:pPr>
      <w:r>
        <w:t>Engineering safety: distinguish educational/simplified simulation from certified engineering analysis.</w:t>
      </w:r>
    </w:p>
    <w:p>
      <w:pPr>
        <w:pStyle w:val="Heading1"/>
      </w:pPr>
      <w:r>
        <w:t>5. Scope of Engineering Domains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Domain</w:t>
            </w:r>
          </w:p>
        </w:tc>
        <w:tc>
          <w:tcPr>
            <w:tcW w:type="dxa" w:w="3360"/>
            <w:vAlign w:val="center"/>
            <w:shd w:fill="D9EAF7"/>
          </w:tcPr>
          <w:p>
            <w:r/>
            <w:r>
              <w:rPr>
                <w:b/>
                <w:sz w:val="16"/>
              </w:rPr>
              <w:t>Representative components</w:t>
            </w:r>
          </w:p>
        </w:tc>
        <w:tc>
          <w:tcPr>
            <w:tcW w:type="dxa" w:w="3360"/>
            <w:vAlign w:val="center"/>
            <w:shd w:fill="D9EAF7"/>
          </w:tcPr>
          <w:p>
            <w:r/>
            <w:r>
              <w:rPr>
                <w:b/>
                <w:sz w:val="16"/>
              </w:rPr>
              <w:t>Simulation / analysis</w:t>
            </w:r>
          </w:p>
        </w:tc>
      </w:tr>
      <w:tr>
        <w:tc>
          <w:tcPr>
            <w:tcW w:type="dxa" w:w="3360"/>
            <w:vAlign w:val="center"/>
          </w:tcPr>
          <w:p>
            <w:r/>
            <w:r>
              <w:rPr>
                <w:b w:val="0"/>
                <w:sz w:val="16"/>
              </w:rPr>
              <w:t>Computer Networks</w:t>
            </w:r>
          </w:p>
        </w:tc>
        <w:tc>
          <w:tcPr>
            <w:tcW w:type="dxa" w:w="3360"/>
            <w:vAlign w:val="center"/>
          </w:tcPr>
          <w:p>
            <w:r/>
            <w:r>
              <w:rPr>
                <w:b w:val="0"/>
                <w:sz w:val="16"/>
              </w:rPr>
              <w:t>ISP, modem, router, firewall, L2/L3 switch, AP, server, endpoint, rack, patch panel, fibre/copper</w:t>
            </w:r>
          </w:p>
        </w:tc>
        <w:tc>
          <w:tcPr>
            <w:tcW w:type="dxa" w:w="3360"/>
            <w:vAlign w:val="center"/>
          </w:tcPr>
          <w:p>
            <w:r/>
            <w:r>
              <w:rPr>
                <w:b w:val="0"/>
                <w:sz w:val="16"/>
              </w:rPr>
              <w:t>Packet flow, routing, VLANs, bandwidth, latency, queues, loss, PoE, availability, failures</w:t>
            </w:r>
          </w:p>
        </w:tc>
      </w:tr>
      <w:tr>
        <w:tc>
          <w:tcPr>
            <w:tcW w:type="dxa" w:w="3360"/>
            <w:vAlign w:val="center"/>
          </w:tcPr>
          <w:p>
            <w:r/>
            <w:r>
              <w:rPr>
                <w:b w:val="0"/>
                <w:sz w:val="16"/>
              </w:rPr>
              <w:t>Electrical</w:t>
            </w:r>
          </w:p>
        </w:tc>
        <w:tc>
          <w:tcPr>
            <w:tcW w:type="dxa" w:w="3360"/>
            <w:vAlign w:val="center"/>
          </w:tcPr>
          <w:p>
            <w:r/>
            <w:r>
              <w:rPr>
                <w:b w:val="0"/>
                <w:sz w:val="16"/>
              </w:rPr>
              <w:t>Sources, transformers, generators, PV, batteries, inverters, DBs, breakers, switches, sockets, lights, motors, cables, earth</w:t>
            </w:r>
          </w:p>
        </w:tc>
        <w:tc>
          <w:tcPr>
            <w:tcW w:type="dxa" w:w="3360"/>
            <w:vAlign w:val="center"/>
          </w:tcPr>
          <w:p>
            <w:r/>
            <w:r>
              <w:rPr>
                <w:b w:val="0"/>
                <w:sz w:val="16"/>
              </w:rPr>
              <w:t>MNA, voltage/current, power, load, faults, voltage drop, protection, continuity</w:t>
            </w:r>
          </w:p>
        </w:tc>
      </w:tr>
      <w:tr>
        <w:tc>
          <w:tcPr>
            <w:tcW w:type="dxa" w:w="3360"/>
            <w:vAlign w:val="center"/>
          </w:tcPr>
          <w:p>
            <w:r/>
            <w:r>
              <w:rPr>
                <w:b w:val="0"/>
                <w:sz w:val="16"/>
              </w:rPr>
              <w:t>Hydraulic / Plumbing</w:t>
            </w:r>
          </w:p>
        </w:tc>
        <w:tc>
          <w:tcPr>
            <w:tcW w:type="dxa" w:w="3360"/>
            <w:vAlign w:val="center"/>
          </w:tcPr>
          <w:p>
            <w:r/>
            <w:r>
              <w:rPr>
                <w:b w:val="0"/>
                <w:sz w:val="16"/>
              </w:rPr>
              <w:t>Tanks, pumps, pipes, valves, elbows, tees, reducers, meters, fixtures, drains</w:t>
            </w:r>
          </w:p>
        </w:tc>
        <w:tc>
          <w:tcPr>
            <w:tcW w:type="dxa" w:w="3360"/>
            <w:vAlign w:val="center"/>
          </w:tcPr>
          <w:p>
            <w:r/>
            <w:r>
              <w:rPr>
                <w:b w:val="0"/>
                <w:sz w:val="16"/>
              </w:rPr>
              <w:t>Continuity, pressure, velocity, head loss, pump duty, demand, blockage scenarios</w:t>
            </w:r>
          </w:p>
        </w:tc>
      </w:tr>
      <w:tr>
        <w:tc>
          <w:tcPr>
            <w:tcW w:type="dxa" w:w="3360"/>
            <w:vAlign w:val="center"/>
          </w:tcPr>
          <w:p>
            <w:r/>
            <w:r>
              <w:rPr>
                <w:b w:val="0"/>
                <w:sz w:val="16"/>
              </w:rPr>
              <w:t>HVAC</w:t>
            </w:r>
          </w:p>
        </w:tc>
        <w:tc>
          <w:tcPr>
            <w:tcW w:type="dxa" w:w="3360"/>
            <w:vAlign w:val="center"/>
          </w:tcPr>
          <w:p>
            <w:r/>
            <w:r>
              <w:rPr>
                <w:b w:val="0"/>
                <w:sz w:val="16"/>
              </w:rPr>
              <w:t>AHUs, FCUs, ducts, dampers, fans, chillers, boilers, heat pumps, diffusers, thermostats</w:t>
            </w:r>
          </w:p>
        </w:tc>
        <w:tc>
          <w:tcPr>
            <w:tcW w:type="dxa" w:w="3360"/>
            <w:vAlign w:val="center"/>
          </w:tcPr>
          <w:p>
            <w:r/>
            <w:r>
              <w:rPr>
                <w:b w:val="0"/>
                <w:sz w:val="16"/>
              </w:rPr>
              <w:t>Airflow, pressure drop, thermal loads, temperature, humidity, fan/coil performance</w:t>
            </w:r>
          </w:p>
        </w:tc>
      </w:tr>
      <w:tr>
        <w:tc>
          <w:tcPr>
            <w:tcW w:type="dxa" w:w="3360"/>
            <w:vAlign w:val="center"/>
          </w:tcPr>
          <w:p>
            <w:r/>
            <w:r>
              <w:rPr>
                <w:b w:val="0"/>
                <w:sz w:val="16"/>
              </w:rPr>
              <w:t>Solar / Energy</w:t>
            </w:r>
          </w:p>
        </w:tc>
        <w:tc>
          <w:tcPr>
            <w:tcW w:type="dxa" w:w="3360"/>
            <w:vAlign w:val="center"/>
          </w:tcPr>
          <w:p>
            <w:r/>
            <w:r>
              <w:rPr>
                <w:b w:val="0"/>
                <w:sz w:val="16"/>
              </w:rPr>
              <w:t>PV modules, strings, MPPTs, inverters, batteries, charge controllers, meters, loads, generators</w:t>
            </w:r>
          </w:p>
        </w:tc>
        <w:tc>
          <w:tcPr>
            <w:tcW w:type="dxa" w:w="3360"/>
            <w:vAlign w:val="center"/>
          </w:tcPr>
          <w:p>
            <w:r/>
            <w:r>
              <w:rPr>
                <w:b w:val="0"/>
                <w:sz w:val="16"/>
              </w:rPr>
              <w:t>PV yield, DC/AC power, battery SOC, energy balance, peak demand, losses</w:t>
            </w:r>
          </w:p>
        </w:tc>
      </w:tr>
      <w:tr>
        <w:tc>
          <w:tcPr>
            <w:tcW w:type="dxa" w:w="3360"/>
            <w:vAlign w:val="center"/>
          </w:tcPr>
          <w:p>
            <w:r/>
            <w:r>
              <w:rPr>
                <w:b w:val="0"/>
                <w:sz w:val="16"/>
              </w:rPr>
              <w:t>Fire &amp; Life Safety</w:t>
            </w:r>
          </w:p>
        </w:tc>
        <w:tc>
          <w:tcPr>
            <w:tcW w:type="dxa" w:w="3360"/>
            <w:vAlign w:val="center"/>
          </w:tcPr>
          <w:p>
            <w:r/>
            <w:r>
              <w:rPr>
                <w:b w:val="0"/>
                <w:sz w:val="16"/>
              </w:rPr>
              <w:t>Detectors, MCPs, panels, sounders, strobes, sprinklers, pumps, tanks, hydrants, zones</w:t>
            </w:r>
          </w:p>
        </w:tc>
        <w:tc>
          <w:tcPr>
            <w:tcW w:type="dxa" w:w="3360"/>
            <w:vAlign w:val="center"/>
          </w:tcPr>
          <w:p>
            <w:r/>
            <w:r>
              <w:rPr>
                <w:b w:val="0"/>
                <w:sz w:val="16"/>
              </w:rPr>
              <w:t>Alarm propagation, zone logic, hydraulic demand, pump pressure, coverage and fault states</w:t>
            </w:r>
          </w:p>
        </w:tc>
      </w:tr>
      <w:tr>
        <w:tc>
          <w:tcPr>
            <w:tcW w:type="dxa" w:w="3360"/>
            <w:vAlign w:val="center"/>
          </w:tcPr>
          <w:p>
            <w:r/>
            <w:r>
              <w:rPr>
                <w:b w:val="0"/>
                <w:sz w:val="16"/>
              </w:rPr>
              <w:t>IoT / Building Automation</w:t>
            </w:r>
          </w:p>
        </w:tc>
        <w:tc>
          <w:tcPr>
            <w:tcW w:type="dxa" w:w="3360"/>
            <w:vAlign w:val="center"/>
          </w:tcPr>
          <w:p>
            <w:r/>
            <w:r>
              <w:rPr>
                <w:b w:val="0"/>
                <w:sz w:val="16"/>
              </w:rPr>
              <w:t>Sensors, gateways, PLCs, edge devices, MQTT brokers, actuators, controllers</w:t>
            </w:r>
          </w:p>
        </w:tc>
        <w:tc>
          <w:tcPr>
            <w:tcW w:type="dxa" w:w="3360"/>
            <w:vAlign w:val="center"/>
          </w:tcPr>
          <w:p>
            <w:r/>
            <w:r>
              <w:rPr>
                <w:b w:val="0"/>
                <w:sz w:val="16"/>
              </w:rPr>
              <w:t>Telemetry flow, control logic, device state, latency, events, energy and fault scenarios</w:t>
            </w:r>
          </w:p>
        </w:tc>
      </w:tr>
      <w:tr>
        <w:tc>
          <w:tcPr>
            <w:tcW w:type="dxa" w:w="3360"/>
            <w:vAlign w:val="center"/>
          </w:tcPr>
          <w:p>
            <w:r/>
            <w:r>
              <w:rPr>
                <w:b w:val="0"/>
                <w:sz w:val="16"/>
              </w:rPr>
              <w:t>Industrial Processes</w:t>
            </w:r>
          </w:p>
        </w:tc>
        <w:tc>
          <w:tcPr>
            <w:tcW w:type="dxa" w:w="3360"/>
            <w:vAlign w:val="center"/>
          </w:tcPr>
          <w:p>
            <w:r/>
            <w:r>
              <w:rPr>
                <w:b w:val="0"/>
                <w:sz w:val="16"/>
              </w:rPr>
              <w:t>Pumps, tanks, motors, conveyors, valves, reactors, heat exchangers, PLC/SCADA points</w:t>
            </w:r>
          </w:p>
        </w:tc>
        <w:tc>
          <w:tcPr>
            <w:tcW w:type="dxa" w:w="3360"/>
            <w:vAlign w:val="center"/>
          </w:tcPr>
          <w:p>
            <w:r/>
            <w:r>
              <w:rPr>
                <w:b w:val="0"/>
                <w:sz w:val="16"/>
              </w:rPr>
              <w:t>Process flow, control logic, material/energy balance, throughput, bottlenecks, faults</w:t>
            </w:r>
          </w:p>
        </w:tc>
      </w:tr>
      <w:tr>
        <w:tc>
          <w:tcPr>
            <w:tcW w:type="dxa" w:w="3360"/>
            <w:vAlign w:val="center"/>
          </w:tcPr>
          <w:p>
            <w:r/>
            <w:r>
              <w:rPr>
                <w:b w:val="0"/>
                <w:sz w:val="16"/>
              </w:rPr>
              <w:t>Telecom / Fibre</w:t>
            </w:r>
          </w:p>
        </w:tc>
        <w:tc>
          <w:tcPr>
            <w:tcW w:type="dxa" w:w="3360"/>
            <w:vAlign w:val="center"/>
          </w:tcPr>
          <w:p>
            <w:r/>
            <w:r>
              <w:rPr>
                <w:b w:val="0"/>
                <w:sz w:val="16"/>
              </w:rPr>
              <w:t>OLT, ONT, fibre, splitters, towers, radios, cabinets</w:t>
            </w:r>
          </w:p>
        </w:tc>
        <w:tc>
          <w:tcPr>
            <w:tcW w:type="dxa" w:w="3360"/>
            <w:vAlign w:val="center"/>
          </w:tcPr>
          <w:p>
            <w:r/>
            <w:r>
              <w:rPr>
                <w:b w:val="0"/>
                <w:sz w:val="16"/>
              </w:rPr>
              <w:t>Link budget, attenuation, capacity, latency, redundancy</w:t>
            </w:r>
          </w:p>
        </w:tc>
      </w:tr>
      <w:tr>
        <w:tc>
          <w:tcPr>
            <w:tcW w:type="dxa" w:w="3360"/>
            <w:vAlign w:val="center"/>
          </w:tcPr>
          <w:p>
            <w:r/>
            <w:r>
              <w:rPr>
                <w:b w:val="0"/>
                <w:sz w:val="16"/>
              </w:rPr>
              <w:t>Security Systems</w:t>
            </w:r>
          </w:p>
        </w:tc>
        <w:tc>
          <w:tcPr>
            <w:tcW w:type="dxa" w:w="3360"/>
            <w:vAlign w:val="center"/>
          </w:tcPr>
          <w:p>
            <w:r/>
            <w:r>
              <w:rPr>
                <w:b w:val="0"/>
                <w:sz w:val="16"/>
              </w:rPr>
              <w:t>CCTV, NVR, access controllers, readers, locks, alarms, intercoms</w:t>
            </w:r>
          </w:p>
        </w:tc>
        <w:tc>
          <w:tcPr>
            <w:tcW w:type="dxa" w:w="3360"/>
            <w:vAlign w:val="center"/>
          </w:tcPr>
          <w:p>
            <w:r/>
            <w:r>
              <w:rPr>
                <w:b w:val="0"/>
                <w:sz w:val="16"/>
              </w:rPr>
              <w:t>Bandwidth, storage, coverage metadata, event flow, power/PoE dependencies</w:t>
            </w:r>
          </w:p>
        </w:tc>
      </w:tr>
      <w:tr>
        <w:tc>
          <w:tcPr>
            <w:tcW w:type="dxa" w:w="3360"/>
            <w:vAlign w:val="center"/>
          </w:tcPr>
          <w:p>
            <w:r/>
            <w:r>
              <w:rPr>
                <w:b w:val="0"/>
                <w:sz w:val="16"/>
              </w:rPr>
              <w:t>Future domains</w:t>
            </w:r>
          </w:p>
        </w:tc>
        <w:tc>
          <w:tcPr>
            <w:tcW w:type="dxa" w:w="3360"/>
            <w:vAlign w:val="center"/>
          </w:tcPr>
          <w:p>
            <w:r/>
            <w:r>
              <w:rPr>
                <w:b w:val="0"/>
                <w:sz w:val="16"/>
              </w:rPr>
              <w:t>Gas, compressed air, steam, water treatment, rail/traffic, smart buildings</w:t>
            </w:r>
          </w:p>
        </w:tc>
        <w:tc>
          <w:tcPr>
            <w:tcW w:type="dxa" w:w="3360"/>
            <w:vAlign w:val="center"/>
          </w:tcPr>
          <w:p>
            <w:r/>
            <w:r>
              <w:rPr>
                <w:b w:val="0"/>
                <w:sz w:val="16"/>
              </w:rPr>
              <w:t>Added through domain-engine plug-in contracts</w:t>
            </w:r>
          </w:p>
        </w:tc>
      </w:tr>
    </w:tbl>
    <w:p>
      <w:pPr>
        <w:pStyle w:val="Heading1"/>
      </w:pPr>
      <w:r>
        <w:t>6. Core Engineering Graph</w:t>
      </w:r>
    </w:p>
    <w:p>
      <w:pPr>
        <w:spacing w:after="80"/>
      </w:pPr>
      <w:r>
        <w:t>The Engineering Graph is the canonical representation of every OmniFlow project.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Entity</w:t>
            </w:r>
          </w:p>
        </w:tc>
        <w:tc>
          <w:tcPr>
            <w:tcW w:type="dxa" w:w="5040"/>
            <w:vAlign w:val="center"/>
            <w:shd w:fill="D9EAF7"/>
          </w:tcPr>
          <w:p>
            <w:r/>
            <w:r>
              <w:rPr>
                <w:b/>
                <w:sz w:val="16"/>
              </w:rPr>
              <w:t>Purpose</w:t>
            </w:r>
          </w:p>
        </w:tc>
      </w:tr>
      <w:tr>
        <w:tc>
          <w:tcPr>
            <w:tcW w:type="dxa" w:w="5040"/>
            <w:vAlign w:val="center"/>
          </w:tcPr>
          <w:p>
            <w:r/>
            <w:r>
              <w:rPr>
                <w:b w:val="0"/>
                <w:sz w:val="16"/>
              </w:rPr>
              <w:t>Component</w:t>
            </w:r>
          </w:p>
        </w:tc>
        <w:tc>
          <w:tcPr>
            <w:tcW w:type="dxa" w:w="5040"/>
            <w:vAlign w:val="center"/>
          </w:tcPr>
          <w:p>
            <w:r/>
            <w:r>
              <w:rPr>
                <w:b w:val="0"/>
                <w:sz w:val="16"/>
              </w:rPr>
              <w:t>Physical, logical or software system element.</w:t>
            </w:r>
          </w:p>
        </w:tc>
      </w:tr>
      <w:tr>
        <w:tc>
          <w:tcPr>
            <w:tcW w:type="dxa" w:w="5040"/>
            <w:vAlign w:val="center"/>
          </w:tcPr>
          <w:p>
            <w:r/>
            <w:r>
              <w:rPr>
                <w:b w:val="0"/>
                <w:sz w:val="16"/>
              </w:rPr>
              <w:t>Port</w:t>
            </w:r>
          </w:p>
        </w:tc>
        <w:tc>
          <w:tcPr>
            <w:tcW w:type="dxa" w:w="5040"/>
            <w:vAlign w:val="center"/>
          </w:tcPr>
          <w:p>
            <w:r/>
            <w:r>
              <w:rPr>
                <w:b w:val="0"/>
                <w:sz w:val="16"/>
              </w:rPr>
              <w:t>Typed connection point with direction, capacity, protocol/medium and compatibility rules.</w:t>
            </w:r>
          </w:p>
        </w:tc>
      </w:tr>
      <w:tr>
        <w:tc>
          <w:tcPr>
            <w:tcW w:type="dxa" w:w="5040"/>
            <w:vAlign w:val="center"/>
          </w:tcPr>
          <w:p>
            <w:r/>
            <w:r>
              <w:rPr>
                <w:b w:val="0"/>
                <w:sz w:val="16"/>
              </w:rPr>
              <w:t>Connection</w:t>
            </w:r>
          </w:p>
        </w:tc>
        <w:tc>
          <w:tcPr>
            <w:tcW w:type="dxa" w:w="5040"/>
            <w:vAlign w:val="center"/>
          </w:tcPr>
          <w:p>
            <w:r/>
            <w:r>
              <w:rPr>
                <w:b w:val="0"/>
                <w:sz w:val="16"/>
              </w:rPr>
              <w:t>First-class relationship carrying domain-specific properties and simulation state.</w:t>
            </w:r>
          </w:p>
        </w:tc>
      </w:tr>
      <w:tr>
        <w:tc>
          <w:tcPr>
            <w:tcW w:type="dxa" w:w="5040"/>
            <w:vAlign w:val="center"/>
          </w:tcPr>
          <w:p>
            <w:r/>
            <w:r>
              <w:rPr>
                <w:b w:val="0"/>
                <w:sz w:val="16"/>
              </w:rPr>
              <w:t>Property Set</w:t>
            </w:r>
          </w:p>
        </w:tc>
        <w:tc>
          <w:tcPr>
            <w:tcW w:type="dxa" w:w="5040"/>
            <w:vAlign w:val="center"/>
          </w:tcPr>
          <w:p>
            <w:r/>
            <w:r>
              <w:rPr>
                <w:b w:val="0"/>
                <w:sz w:val="16"/>
              </w:rPr>
              <w:t>Typed engineering parameters, units, defaults, ranges and provenance.</w:t>
            </w:r>
          </w:p>
        </w:tc>
      </w:tr>
      <w:tr>
        <w:tc>
          <w:tcPr>
            <w:tcW w:type="dxa" w:w="5040"/>
            <w:vAlign w:val="center"/>
          </w:tcPr>
          <w:p>
            <w:r/>
            <w:r>
              <w:rPr>
                <w:b w:val="0"/>
                <w:sz w:val="16"/>
              </w:rPr>
              <w:t>Behaviour Model</w:t>
            </w:r>
          </w:p>
        </w:tc>
        <w:tc>
          <w:tcPr>
            <w:tcW w:type="dxa" w:w="5040"/>
            <w:vAlign w:val="center"/>
          </w:tcPr>
          <w:p>
            <w:r/>
            <w:r>
              <w:rPr>
                <w:b w:val="0"/>
                <w:sz w:val="16"/>
              </w:rPr>
              <w:t>Rules governing state changes, events, controls and dependencies.</w:t>
            </w:r>
          </w:p>
        </w:tc>
      </w:tr>
      <w:tr>
        <w:tc>
          <w:tcPr>
            <w:tcW w:type="dxa" w:w="5040"/>
            <w:vAlign w:val="center"/>
          </w:tcPr>
          <w:p>
            <w:r/>
            <w:r>
              <w:rPr>
                <w:b w:val="0"/>
                <w:sz w:val="16"/>
              </w:rPr>
              <w:t>Simulation Model</w:t>
            </w:r>
          </w:p>
        </w:tc>
        <w:tc>
          <w:tcPr>
            <w:tcW w:type="dxa" w:w="5040"/>
            <w:vAlign w:val="center"/>
          </w:tcPr>
          <w:p>
            <w:r/>
            <w:r>
              <w:rPr>
                <w:b w:val="0"/>
                <w:sz w:val="16"/>
              </w:rPr>
              <w:t>Reference to solver, equations, state variables, boundary conditions and assumptions.</w:t>
            </w:r>
          </w:p>
        </w:tc>
      </w:tr>
      <w:tr>
        <w:tc>
          <w:tcPr>
            <w:tcW w:type="dxa" w:w="5040"/>
            <w:vAlign w:val="center"/>
          </w:tcPr>
          <w:p>
            <w:r/>
            <w:r>
              <w:rPr>
                <w:b w:val="0"/>
                <w:sz w:val="16"/>
              </w:rPr>
              <w:t>Constraint</w:t>
            </w:r>
          </w:p>
        </w:tc>
        <w:tc>
          <w:tcPr>
            <w:tcW w:type="dxa" w:w="5040"/>
            <w:vAlign w:val="center"/>
          </w:tcPr>
          <w:p>
            <w:r/>
            <w:r>
              <w:rPr>
                <w:b w:val="0"/>
                <w:sz w:val="16"/>
              </w:rPr>
              <w:t>Hard or soft engineering requirement.</w:t>
            </w:r>
          </w:p>
        </w:tc>
      </w:tr>
      <w:tr>
        <w:tc>
          <w:tcPr>
            <w:tcW w:type="dxa" w:w="5040"/>
            <w:vAlign w:val="center"/>
          </w:tcPr>
          <w:p>
            <w:r/>
            <w:r>
              <w:rPr>
                <w:b w:val="0"/>
                <w:sz w:val="16"/>
              </w:rPr>
              <w:t>Scenario</w:t>
            </w:r>
          </w:p>
        </w:tc>
        <w:tc>
          <w:tcPr>
            <w:tcW w:type="dxa" w:w="5040"/>
            <w:vAlign w:val="center"/>
          </w:tcPr>
          <w:p>
            <w:r/>
            <w:r>
              <w:rPr>
                <w:b w:val="0"/>
                <w:sz w:val="16"/>
              </w:rPr>
              <w:t>Alternative configuration, demand profile, fault injection or operating condition.</w:t>
            </w:r>
          </w:p>
        </w:tc>
      </w:tr>
      <w:tr>
        <w:tc>
          <w:tcPr>
            <w:tcW w:type="dxa" w:w="5040"/>
            <w:vAlign w:val="center"/>
          </w:tcPr>
          <w:p>
            <w:r/>
            <w:r>
              <w:rPr>
                <w:b w:val="0"/>
                <w:sz w:val="16"/>
              </w:rPr>
              <w:t>Telemetry Binding</w:t>
            </w:r>
          </w:p>
        </w:tc>
        <w:tc>
          <w:tcPr>
            <w:tcW w:type="dxa" w:w="5040"/>
            <w:vAlign w:val="center"/>
          </w:tcPr>
          <w:p>
            <w:r/>
            <w:r>
              <w:rPr>
                <w:b w:val="0"/>
                <w:sz w:val="16"/>
              </w:rPr>
              <w:t>Mapping between graph properties and real-world IoT/API/SCADA data.</w:t>
            </w:r>
          </w:p>
        </w:tc>
      </w:tr>
      <w:tr>
        <w:tc>
          <w:tcPr>
            <w:tcW w:type="dxa" w:w="5040"/>
            <w:vAlign w:val="center"/>
          </w:tcPr>
          <w:p>
            <w:r/>
            <w:r>
              <w:rPr>
                <w:b w:val="0"/>
                <w:sz w:val="16"/>
              </w:rPr>
              <w:t>Evidence / Source</w:t>
            </w:r>
          </w:p>
        </w:tc>
        <w:tc>
          <w:tcPr>
            <w:tcW w:type="dxa" w:w="5040"/>
            <w:vAlign w:val="center"/>
          </w:tcPr>
          <w:p>
            <w:r/>
            <w:r>
              <w:rPr>
                <w:b w:val="0"/>
                <w:sz w:val="16"/>
              </w:rPr>
              <w:t>Design input, measurement, datasheet or document supporting a parameter.</w:t>
            </w:r>
          </w:p>
        </w:tc>
      </w:tr>
    </w:tbl>
    <w:p>
      <w:pPr>
        <w:pStyle w:val="Heading1"/>
      </w:pPr>
      <w:r>
        <w:t>7. Universal Component Model</w:t>
      </w:r>
    </w:p>
    <w:p>
      <w:pPr>
        <w:spacing w:after="80"/>
      </w:pPr>
      <w:r>
        <w:t>Every component should support at minimum: id, type, domain, subtype, name, position, dimensions, ports, properties, units, simulationModel, validationRules, dependencies, metadata, manufacturer/model where relevant, documentation references and lifecycle state.</w:t>
      </w:r>
    </w:p>
    <w:p>
      <w:pPr>
        <w:spacing w:after="80"/>
      </w:pPr>
      <w:r>
        <w:t>Ports must support type, direction, medium, protocol, nominal capacity, operating range, compatible port types, connection constraints and optional physical coordinates. Connections must support source/target, medium, length, geometry, capacity, loss parameters, installation attributes and simulation state.</w:t>
      </w:r>
    </w:p>
    <w:p>
      <w:pPr>
        <w:pStyle w:val="Heading1"/>
      </w:pPr>
      <w:r>
        <w:t>8. Intelligent Visual Canvas</w:t>
      </w:r>
    </w:p>
    <w:p>
      <w:pPr>
        <w:pStyle w:val="ListBullet"/>
        <w:spacing w:after="40"/>
      </w:pPr>
      <w:r>
        <w:t>Infinite pan/zoom canvas with grid, snapping, alignment guides, rulers and measurements.</w:t>
      </w:r>
    </w:p>
    <w:p>
      <w:pPr>
        <w:pStyle w:val="ListBullet"/>
        <w:spacing w:after="40"/>
      </w:pPr>
      <w:r>
        <w:t>Domain-aware palettes and toolbars with search, favourites and recent components.</w:t>
      </w:r>
    </w:p>
    <w:p>
      <w:pPr>
        <w:pStyle w:val="ListBullet"/>
        <w:spacing w:after="40"/>
      </w:pPr>
      <w:r>
        <w:t>Smart port snapping and compatibility feedback.</w:t>
      </w:r>
    </w:p>
    <w:p>
      <w:pPr>
        <w:pStyle w:val="ListBullet"/>
        <w:spacing w:after="40"/>
      </w:pPr>
      <w:r>
        <w:t>Automatic routing for wires, pipes, ducts, fibre and logical network links.</w:t>
      </w:r>
    </w:p>
    <w:p>
      <w:pPr>
        <w:pStyle w:val="ListBullet"/>
        <w:spacing w:after="40"/>
      </w:pPr>
      <w:r>
        <w:t>Layers, groups, frames, zones, annotations, symbols and reusable templates.</w:t>
      </w:r>
    </w:p>
    <w:p>
      <w:pPr>
        <w:pStyle w:val="ListBullet"/>
        <w:spacing w:after="40"/>
      </w:pPr>
      <w:r>
        <w:t>Multi-selection, duplication, locking, visibility, collapse and hierarchical assemblies.</w:t>
      </w:r>
    </w:p>
    <w:p>
      <w:pPr>
        <w:pStyle w:val="ListBullet"/>
        <w:spacing w:after="40"/>
      </w:pPr>
      <w:r>
        <w:t>Large-model rendering with spatial indexing and WebGL/canvas acceleration.</w:t>
      </w:r>
    </w:p>
    <w:p>
      <w:pPr>
        <w:pStyle w:val="ListBullet"/>
        <w:spacing w:after="40"/>
      </w:pPr>
      <w:r>
        <w:t>Visual simulation overlays: flow particles, heatmaps, pressure gradients, voltage/current indicators, packet paths and fault markers.</w:t>
      </w:r>
    </w:p>
    <w:p>
      <w:pPr>
        <w:pStyle w:val="ListBullet"/>
        <w:spacing w:after="40"/>
      </w:pPr>
      <w:r>
        <w:t>3D-capable architecture for future equipment/rack/building/process visualisation.</w:t>
      </w:r>
    </w:p>
    <w:p>
      <w:pPr>
        <w:pStyle w:val="Heading1"/>
      </w:pPr>
      <w:r>
        <w:t>9. Domain Engine Architecture</w:t>
      </w:r>
    </w:p>
    <w:p>
      <w:pPr>
        <w:spacing w:after="80"/>
      </w:pPr>
      <w:r>
        <w:t>Each domain is implemented as a plug-in engine conforming to a common Domain Engine Contract.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Contract</w:t>
            </w:r>
          </w:p>
        </w:tc>
        <w:tc>
          <w:tcPr>
            <w:tcW w:type="dxa" w:w="5040"/>
            <w:vAlign w:val="center"/>
            <w:shd w:fill="D9EAF7"/>
          </w:tcPr>
          <w:p>
            <w:r/>
            <w:r>
              <w:rPr>
                <w:b/>
                <w:sz w:val="16"/>
              </w:rPr>
              <w:t>Required capability</w:t>
            </w:r>
          </w:p>
        </w:tc>
      </w:tr>
      <w:tr>
        <w:tc>
          <w:tcPr>
            <w:tcW w:type="dxa" w:w="5040"/>
            <w:vAlign w:val="center"/>
          </w:tcPr>
          <w:p>
            <w:r/>
            <w:r>
              <w:rPr>
                <w:b w:val="0"/>
                <w:sz w:val="16"/>
              </w:rPr>
              <w:t>Schema</w:t>
            </w:r>
          </w:p>
        </w:tc>
        <w:tc>
          <w:tcPr>
            <w:tcW w:type="dxa" w:w="5040"/>
            <w:vAlign w:val="center"/>
          </w:tcPr>
          <w:p>
            <w:r/>
            <w:r>
              <w:rPr>
                <w:b w:val="0"/>
                <w:sz w:val="16"/>
              </w:rPr>
              <w:t>Component, port, property and connection definitions.</w:t>
            </w:r>
          </w:p>
        </w:tc>
      </w:tr>
      <w:tr>
        <w:tc>
          <w:tcPr>
            <w:tcW w:type="dxa" w:w="5040"/>
            <w:vAlign w:val="center"/>
          </w:tcPr>
          <w:p>
            <w:r/>
            <w:r>
              <w:rPr>
                <w:b w:val="0"/>
                <w:sz w:val="16"/>
              </w:rPr>
              <w:t>Validation</w:t>
            </w:r>
          </w:p>
        </w:tc>
        <w:tc>
          <w:tcPr>
            <w:tcW w:type="dxa" w:w="5040"/>
            <w:vAlign w:val="center"/>
          </w:tcPr>
          <w:p>
            <w:r/>
            <w:r>
              <w:rPr>
                <w:b w:val="0"/>
                <w:sz w:val="16"/>
              </w:rPr>
              <w:t>Compatibility, topology, parameter and safety rules.</w:t>
            </w:r>
          </w:p>
        </w:tc>
      </w:tr>
      <w:tr>
        <w:tc>
          <w:tcPr>
            <w:tcW w:type="dxa" w:w="5040"/>
            <w:vAlign w:val="center"/>
          </w:tcPr>
          <w:p>
            <w:r/>
            <w:r>
              <w:rPr>
                <w:b w:val="0"/>
                <w:sz w:val="16"/>
              </w:rPr>
              <w:t>Solver</w:t>
            </w:r>
          </w:p>
        </w:tc>
        <w:tc>
          <w:tcPr>
            <w:tcW w:type="dxa" w:w="5040"/>
            <w:vAlign w:val="center"/>
          </w:tcPr>
          <w:p>
            <w:r/>
            <w:r>
              <w:rPr>
                <w:b w:val="0"/>
                <w:sz w:val="16"/>
              </w:rPr>
              <w:t>Numerical, discrete-event, graph or hybrid simulation method.</w:t>
            </w:r>
          </w:p>
        </w:tc>
      </w:tr>
      <w:tr>
        <w:tc>
          <w:tcPr>
            <w:tcW w:type="dxa" w:w="5040"/>
            <w:vAlign w:val="center"/>
          </w:tcPr>
          <w:p>
            <w:r/>
            <w:r>
              <w:rPr>
                <w:b w:val="0"/>
                <w:sz w:val="16"/>
              </w:rPr>
              <w:t>State model</w:t>
            </w:r>
          </w:p>
        </w:tc>
        <w:tc>
          <w:tcPr>
            <w:tcW w:type="dxa" w:w="5040"/>
            <w:vAlign w:val="center"/>
          </w:tcPr>
          <w:p>
            <w:r/>
            <w:r>
              <w:rPr>
                <w:b w:val="0"/>
                <w:sz w:val="16"/>
              </w:rPr>
              <w:t>Runtime variables, events and state transitions.</w:t>
            </w:r>
          </w:p>
        </w:tc>
      </w:tr>
      <w:tr>
        <w:tc>
          <w:tcPr>
            <w:tcW w:type="dxa" w:w="5040"/>
            <w:vAlign w:val="center"/>
          </w:tcPr>
          <w:p>
            <w:r/>
            <w:r>
              <w:rPr>
                <w:b w:val="0"/>
                <w:sz w:val="16"/>
              </w:rPr>
              <w:t>Visualisation</w:t>
            </w:r>
          </w:p>
        </w:tc>
        <w:tc>
          <w:tcPr>
            <w:tcW w:type="dxa" w:w="5040"/>
            <w:vAlign w:val="center"/>
          </w:tcPr>
          <w:p>
            <w:r/>
            <w:r>
              <w:rPr>
                <w:b w:val="0"/>
                <w:sz w:val="16"/>
              </w:rPr>
              <w:t>Domain-specific overlays and animation.</w:t>
            </w:r>
          </w:p>
        </w:tc>
      </w:tr>
      <w:tr>
        <w:tc>
          <w:tcPr>
            <w:tcW w:type="dxa" w:w="5040"/>
            <w:vAlign w:val="center"/>
          </w:tcPr>
          <w:p>
            <w:r/>
            <w:r>
              <w:rPr>
                <w:b w:val="0"/>
                <w:sz w:val="16"/>
              </w:rPr>
              <w:t>Scenarios</w:t>
            </w:r>
          </w:p>
        </w:tc>
        <w:tc>
          <w:tcPr>
            <w:tcW w:type="dxa" w:w="5040"/>
            <w:vAlign w:val="center"/>
          </w:tcPr>
          <w:p>
            <w:r/>
            <w:r>
              <w:rPr>
                <w:b w:val="0"/>
                <w:sz w:val="16"/>
              </w:rPr>
              <w:t>Demand profiles, operating modes and fault injection.</w:t>
            </w:r>
          </w:p>
        </w:tc>
      </w:tr>
      <w:tr>
        <w:tc>
          <w:tcPr>
            <w:tcW w:type="dxa" w:w="5040"/>
            <w:vAlign w:val="center"/>
          </w:tcPr>
          <w:p>
            <w:r/>
            <w:r>
              <w:rPr>
                <w:b w:val="0"/>
                <w:sz w:val="16"/>
              </w:rPr>
              <w:t>Reporting</w:t>
            </w:r>
          </w:p>
        </w:tc>
        <w:tc>
          <w:tcPr>
            <w:tcW w:type="dxa" w:w="5040"/>
            <w:vAlign w:val="center"/>
          </w:tcPr>
          <w:p>
            <w:r/>
            <w:r>
              <w:rPr>
                <w:b w:val="0"/>
                <w:sz w:val="16"/>
              </w:rPr>
              <w:t>Domain-specific calculations, schedules and engineering outputs.</w:t>
            </w:r>
          </w:p>
        </w:tc>
      </w:tr>
      <w:tr>
        <w:tc>
          <w:tcPr>
            <w:tcW w:type="dxa" w:w="5040"/>
            <w:vAlign w:val="center"/>
          </w:tcPr>
          <w:p>
            <w:r/>
            <w:r>
              <w:rPr>
                <w:b w:val="0"/>
                <w:sz w:val="16"/>
              </w:rPr>
              <w:t>Units</w:t>
            </w:r>
          </w:p>
        </w:tc>
        <w:tc>
          <w:tcPr>
            <w:tcW w:type="dxa" w:w="5040"/>
            <w:vAlign w:val="center"/>
          </w:tcPr>
          <w:p>
            <w:r/>
            <w:r>
              <w:rPr>
                <w:b w:val="0"/>
                <w:sz w:val="16"/>
              </w:rPr>
              <w:t>Supported physical units and conversions.</w:t>
            </w:r>
          </w:p>
        </w:tc>
      </w:tr>
      <w:tr>
        <w:tc>
          <w:tcPr>
            <w:tcW w:type="dxa" w:w="5040"/>
            <w:vAlign w:val="center"/>
          </w:tcPr>
          <w:p>
            <w:r/>
            <w:r>
              <w:rPr>
                <w:b w:val="0"/>
                <w:sz w:val="16"/>
              </w:rPr>
              <w:t>Import/export</w:t>
            </w:r>
          </w:p>
        </w:tc>
        <w:tc>
          <w:tcPr>
            <w:tcW w:type="dxa" w:w="5040"/>
            <w:vAlign w:val="center"/>
          </w:tcPr>
          <w:p>
            <w:r/>
            <w:r>
              <w:rPr>
                <w:b w:val="0"/>
                <w:sz w:val="16"/>
              </w:rPr>
              <w:t>Domain-specific file/data formats where applicable.</w:t>
            </w:r>
          </w:p>
        </w:tc>
      </w:tr>
    </w:tbl>
    <w:p>
      <w:pPr>
        <w:pStyle w:val="Heading1"/>
      </w:pPr>
      <w:r>
        <w:t>10. Mathematical &amp; Simulation Models</w:t>
      </w:r>
    </w:p>
    <w:p>
      <w:pPr>
        <w:pStyle w:val="Heading2"/>
      </w:pPr>
      <w:r>
        <w:t>10.1 Networks</w:t>
      </w:r>
    </w:p>
    <w:p>
      <w:pPr>
        <w:spacing w:after="80"/>
      </w:pPr>
      <w:r>
        <w:t>Support packet switching, routing, queues, bandwidth saturation, latency, packet loss, availability and selected protocol behaviours. Basic link latency may be represented as t = D/c + S/B, with configurable propagation and transmission assumptions. Advanced models may include queueing, jitter, MTU, retransmission and QoS.</w:t>
      </w:r>
    </w:p>
    <w:p>
      <w:pPr>
        <w:pStyle w:val="Heading2"/>
      </w:pPr>
      <w:r>
        <w:t>10.2 Electrical</w:t>
      </w:r>
    </w:p>
    <w:p>
      <w:pPr>
        <w:spacing w:after="80"/>
      </w:pPr>
      <w:r>
        <w:t>Use Modified Nodal Analysis for supported circuit classes, incorporating Ohm's law, Kirchhoff's laws, component equations and configurable solver tolerances. Support DC analysis first, with AC/transient capabilities as later solver modules.</w:t>
      </w:r>
    </w:p>
    <w:p>
      <w:pPr>
        <w:pStyle w:val="Heading2"/>
      </w:pPr>
      <w:r>
        <w:t>10.3 Hydraulics</w:t>
      </w:r>
    </w:p>
    <w:p>
      <w:pPr>
        <w:spacing w:after="80"/>
      </w:pPr>
      <w:r>
        <w:t>Support continuity, pressure/flow relationships and Darcy-Weisbach head loss, with configurable pipe roughness, diameter, length, fluid properties, elevation, fittings and pump curves.</w:t>
      </w:r>
    </w:p>
    <w:p>
      <w:pPr>
        <w:pStyle w:val="Heading2"/>
      </w:pPr>
      <w:r>
        <w:t>10.4 HVAC</w:t>
      </w:r>
    </w:p>
    <w:p>
      <w:pPr>
        <w:spacing w:after="80"/>
      </w:pPr>
      <w:r>
        <w:t>Support airflow networks, pressure loss, fan curves, thermal loads, supply/return paths and zone conditions. Later phases may include psychrometric calculations, humidity and transient thermal behaviour.</w:t>
      </w:r>
    </w:p>
    <w:p>
      <w:pPr>
        <w:pStyle w:val="Heading2"/>
      </w:pPr>
      <w:r>
        <w:t>10.5 Solar &amp; Energy</w:t>
      </w:r>
    </w:p>
    <w:p>
      <w:pPr>
        <w:spacing w:after="80"/>
      </w:pPr>
      <w:r>
        <w:t>Support irradiance assumptions, PV generation, inverter efficiency, battery charge/discharge, state of charge, load profiles, generator interaction and energy balance.</w:t>
      </w:r>
    </w:p>
    <w:p>
      <w:pPr>
        <w:pStyle w:val="Heading2"/>
      </w:pPr>
      <w:r>
        <w:t>10.6 Fire Systems</w:t>
      </w:r>
    </w:p>
    <w:p>
      <w:pPr>
        <w:spacing w:after="80"/>
      </w:pPr>
      <w:r>
        <w:t>Support fire alarm topology, device-to-panel logic, zone states, notification paths and selected sprinkler/hydraulic calculations. Life-safety outputs must be clearly labelled as simulation/engineering support rather than certification.</w:t>
      </w:r>
    </w:p>
    <w:p>
      <w:pPr>
        <w:pStyle w:val="Heading2"/>
      </w:pPr>
      <w:r>
        <w:t>10.7 IoT</w:t>
      </w:r>
    </w:p>
    <w:p>
      <w:pPr>
        <w:spacing w:after="80"/>
      </w:pPr>
      <w:r>
        <w:t>Model sensors, actuators, gateways, brokers and control loops. Support event-driven simulation, telemetry replay, latency, availability, thresholds and automation logic.</w:t>
      </w:r>
    </w:p>
    <w:p>
      <w:pPr>
        <w:pStyle w:val="Heading2"/>
      </w:pPr>
      <w:r>
        <w:t>10.8 Industrial Processes</w:t>
      </w:r>
    </w:p>
    <w:p>
      <w:pPr>
        <w:spacing w:after="80"/>
      </w:pPr>
      <w:r>
        <w:t>Support process flow networks, equipment states, control logic, throughput, inventory/level states, bottlenecks and fault scenarios. Advanced material and energy balance solvers can be added as specialist modules.</w:t>
      </w:r>
    </w:p>
    <w:p>
      <w:pPr>
        <w:pStyle w:val="Heading1"/>
      </w:pPr>
      <w:r>
        <w:t>11. Simulation Runtime</w:t>
      </w:r>
    </w:p>
    <w:p>
      <w:pPr>
        <w:pStyle w:val="ListBullet"/>
        <w:spacing w:after="40"/>
      </w:pPr>
      <w:r>
        <w:t>Simulation jobs must be isolated from the UI rendering thread.</w:t>
      </w:r>
    </w:p>
    <w:p>
      <w:pPr>
        <w:pStyle w:val="ListBullet"/>
        <w:spacing w:after="40"/>
      </w:pPr>
      <w:r>
        <w:t>Use Web Workers for local simulation and background execution; WebAssembly/Rust may provide high-performance specialist solvers.</w:t>
      </w:r>
    </w:p>
    <w:p>
      <w:pPr>
        <w:pStyle w:val="ListBullet"/>
        <w:spacing w:after="40"/>
      </w:pPr>
      <w:r>
        <w:t>Support deterministic replay where feasible through seeded scenarios and recorded inputs.</w:t>
      </w:r>
    </w:p>
    <w:p>
      <w:pPr>
        <w:pStyle w:val="ListBullet"/>
        <w:spacing w:after="40"/>
      </w:pPr>
      <w:r>
        <w:t>Simulation modes: static calculation, step-by-step, real-time, accelerated-time and event-driven.</w:t>
      </w:r>
    </w:p>
    <w:p>
      <w:pPr>
        <w:pStyle w:val="ListBullet"/>
        <w:spacing w:after="40"/>
      </w:pPr>
      <w:r>
        <w:t>Pause, resume, reset, replay, compare and branch scenarios.</w:t>
      </w:r>
    </w:p>
    <w:p>
      <w:pPr>
        <w:pStyle w:val="ListBullet"/>
        <w:spacing w:after="40"/>
      </w:pPr>
      <w:r>
        <w:t>Fault injection: link failure, device failure, overload, leak, blockage, short circuit, sensor failure, power loss and communication loss as domain-appropriate.</w:t>
      </w:r>
    </w:p>
    <w:p>
      <w:pPr>
        <w:pStyle w:val="ListBullet"/>
        <w:spacing w:after="40"/>
      </w:pPr>
      <w:r>
        <w:t>Capture time-series results, warnings, solver diagnostics and provenance.</w:t>
      </w:r>
    </w:p>
    <w:p>
      <w:pPr>
        <w:pStyle w:val="ListBullet"/>
        <w:spacing w:after="40"/>
      </w:pPr>
      <w:r>
        <w:t>Use server-side workers for large enterprise jobs while preserving local execution for supported workloads.</w:t>
      </w:r>
    </w:p>
    <w:p>
      <w:pPr>
        <w:pStyle w:val="Heading1"/>
      </w:pPr>
      <w:r>
        <w:t>12. Validation &amp; Rule Engine</w:t>
      </w:r>
    </w:p>
    <w:p>
      <w:pPr>
        <w:spacing w:after="80"/>
      </w:pPr>
      <w:r>
        <w:t>Validation runs before, during and after simulation.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Rule family</w:t>
            </w:r>
          </w:p>
        </w:tc>
        <w:tc>
          <w:tcPr>
            <w:tcW w:type="dxa" w:w="5040"/>
            <w:vAlign w:val="center"/>
            <w:shd w:fill="D9EAF7"/>
          </w:tcPr>
          <w:p>
            <w:r/>
            <w:r>
              <w:rPr>
                <w:b/>
                <w:sz w:val="16"/>
              </w:rPr>
              <w:t>Examples</w:t>
            </w:r>
          </w:p>
        </w:tc>
      </w:tr>
      <w:tr>
        <w:tc>
          <w:tcPr>
            <w:tcW w:type="dxa" w:w="5040"/>
            <w:vAlign w:val="center"/>
          </w:tcPr>
          <w:p>
            <w:r/>
            <w:r>
              <w:rPr>
                <w:b w:val="0"/>
                <w:sz w:val="16"/>
              </w:rPr>
              <w:t>Topology</w:t>
            </w:r>
          </w:p>
        </w:tc>
        <w:tc>
          <w:tcPr>
            <w:tcW w:type="dxa" w:w="5040"/>
            <w:vAlign w:val="center"/>
          </w:tcPr>
          <w:p>
            <w:r/>
            <w:r>
              <w:rPr>
                <w:b w:val="0"/>
                <w:sz w:val="16"/>
              </w:rPr>
              <w:t>Disconnected component, invalid path, loop, missing return path, unsupported topology</w:t>
            </w:r>
          </w:p>
        </w:tc>
      </w:tr>
      <w:tr>
        <w:tc>
          <w:tcPr>
            <w:tcW w:type="dxa" w:w="5040"/>
            <w:vAlign w:val="center"/>
          </w:tcPr>
          <w:p>
            <w:r/>
            <w:r>
              <w:rPr>
                <w:b w:val="0"/>
                <w:sz w:val="16"/>
              </w:rPr>
              <w:t>Compatibility</w:t>
            </w:r>
          </w:p>
        </w:tc>
        <w:tc>
          <w:tcPr>
            <w:tcW w:type="dxa" w:w="5040"/>
            <w:vAlign w:val="center"/>
          </w:tcPr>
          <w:p>
            <w:r/>
            <w:r>
              <w:rPr>
                <w:b w:val="0"/>
                <w:sz w:val="16"/>
              </w:rPr>
              <w:t>Port/medium mismatch, voltage mismatch, pipe incompatibility, protocol mismatch</w:t>
            </w:r>
          </w:p>
        </w:tc>
      </w:tr>
      <w:tr>
        <w:tc>
          <w:tcPr>
            <w:tcW w:type="dxa" w:w="5040"/>
            <w:vAlign w:val="center"/>
          </w:tcPr>
          <w:p>
            <w:r/>
            <w:r>
              <w:rPr>
                <w:b w:val="0"/>
                <w:sz w:val="16"/>
              </w:rPr>
              <w:t>Capacity</w:t>
            </w:r>
          </w:p>
        </w:tc>
        <w:tc>
          <w:tcPr>
            <w:tcW w:type="dxa" w:w="5040"/>
            <w:vAlign w:val="center"/>
          </w:tcPr>
          <w:p>
            <w:r/>
            <w:r>
              <w:rPr>
                <w:b w:val="0"/>
                <w:sz w:val="16"/>
              </w:rPr>
              <w:t>Bandwidth, PoE, current, pressure, airflow, thermal or storage limits</w:t>
            </w:r>
          </w:p>
        </w:tc>
      </w:tr>
      <w:tr>
        <w:tc>
          <w:tcPr>
            <w:tcW w:type="dxa" w:w="5040"/>
            <w:vAlign w:val="center"/>
          </w:tcPr>
          <w:p>
            <w:r/>
            <w:r>
              <w:rPr>
                <w:b w:val="0"/>
                <w:sz w:val="16"/>
              </w:rPr>
              <w:t>Configuration</w:t>
            </w:r>
          </w:p>
        </w:tc>
        <w:tc>
          <w:tcPr>
            <w:tcW w:type="dxa" w:w="5040"/>
            <w:vAlign w:val="center"/>
          </w:tcPr>
          <w:p>
            <w:r/>
            <w:r>
              <w:rPr>
                <w:b w:val="0"/>
                <w:sz w:val="16"/>
              </w:rPr>
              <w:t>Duplicate IP, invalid subnet, missing gateway, breaker sizing, missing valve/control</w:t>
            </w:r>
          </w:p>
        </w:tc>
      </w:tr>
      <w:tr>
        <w:tc>
          <w:tcPr>
            <w:tcW w:type="dxa" w:w="5040"/>
            <w:vAlign w:val="center"/>
          </w:tcPr>
          <w:p>
            <w:r/>
            <w:r>
              <w:rPr>
                <w:b w:val="0"/>
                <w:sz w:val="16"/>
              </w:rPr>
              <w:t>Safety</w:t>
            </w:r>
          </w:p>
        </w:tc>
        <w:tc>
          <w:tcPr>
            <w:tcW w:type="dxa" w:w="5040"/>
            <w:vAlign w:val="center"/>
          </w:tcPr>
          <w:p>
            <w:r/>
            <w:r>
              <w:rPr>
                <w:b w:val="0"/>
                <w:sz w:val="16"/>
              </w:rPr>
              <w:t>Overcurrent, short circuit, overpressure, unsafe temperature, missing protection</w:t>
            </w:r>
          </w:p>
        </w:tc>
      </w:tr>
      <w:tr>
        <w:tc>
          <w:tcPr>
            <w:tcW w:type="dxa" w:w="5040"/>
            <w:vAlign w:val="center"/>
          </w:tcPr>
          <w:p>
            <w:r/>
            <w:r>
              <w:rPr>
                <w:b w:val="0"/>
                <w:sz w:val="16"/>
              </w:rPr>
              <w:t>Operational</w:t>
            </w:r>
          </w:p>
        </w:tc>
        <w:tc>
          <w:tcPr>
            <w:tcW w:type="dxa" w:w="5040"/>
            <w:vAlign w:val="center"/>
          </w:tcPr>
          <w:p>
            <w:r/>
            <w:r>
              <w:rPr>
                <w:b w:val="0"/>
                <w:sz w:val="16"/>
              </w:rPr>
              <w:t>Single point of failure, unavailable route, sensor dependency, control conflict</w:t>
            </w:r>
          </w:p>
        </w:tc>
      </w:tr>
      <w:tr>
        <w:tc>
          <w:tcPr>
            <w:tcW w:type="dxa" w:w="5040"/>
            <w:vAlign w:val="center"/>
          </w:tcPr>
          <w:p>
            <w:r/>
            <w:r>
              <w:rPr>
                <w:b w:val="0"/>
                <w:sz w:val="16"/>
              </w:rPr>
              <w:t>Data quality</w:t>
            </w:r>
          </w:p>
        </w:tc>
        <w:tc>
          <w:tcPr>
            <w:tcW w:type="dxa" w:w="5040"/>
            <w:vAlign w:val="center"/>
          </w:tcPr>
          <w:p>
            <w:r/>
            <w:r>
              <w:rPr>
                <w:b w:val="0"/>
                <w:sz w:val="16"/>
              </w:rPr>
              <w:t>Missing parameter, invalid unit, out-of-range value, stale telemetry</w:t>
            </w:r>
          </w:p>
        </w:tc>
      </w:tr>
      <w:tr>
        <w:tc>
          <w:tcPr>
            <w:tcW w:type="dxa" w:w="5040"/>
            <w:vAlign w:val="center"/>
          </w:tcPr>
          <w:p>
            <w:r/>
            <w:r>
              <w:rPr>
                <w:b w:val="0"/>
                <w:sz w:val="16"/>
              </w:rPr>
              <w:t>Standards</w:t>
            </w:r>
          </w:p>
        </w:tc>
        <w:tc>
          <w:tcPr>
            <w:tcW w:type="dxa" w:w="5040"/>
            <w:vAlign w:val="center"/>
          </w:tcPr>
          <w:p>
            <w:r/>
            <w:r>
              <w:rPr>
                <w:b w:val="0"/>
                <w:sz w:val="16"/>
              </w:rPr>
              <w:t>Configurable organisation/domain rulesets; standards references stored as metadata</w:t>
            </w:r>
          </w:p>
        </w:tc>
      </w:tr>
    </w:tbl>
    <w:p>
      <w:pPr>
        <w:pStyle w:val="Heading1"/>
      </w:pPr>
      <w:r>
        <w:t>13. AI — OmniFlow Copilot</w:t>
      </w:r>
    </w:p>
    <w:p>
      <w:pPr>
        <w:spacing w:after="80"/>
      </w:pPr>
      <w:r>
        <w:t>OmniFlow Copilot is grounded in the Engineering Graph rather than operating as a generic chatbot.</w:t>
      </w:r>
    </w:p>
    <w:p>
      <w:pPr>
        <w:pStyle w:val="ListBullet"/>
        <w:spacing w:after="40"/>
      </w:pPr>
      <w:r>
        <w:t>Generate topologies from natural language requirements.</w:t>
      </w:r>
    </w:p>
    <w:p>
      <w:pPr>
        <w:pStyle w:val="ListBullet"/>
        <w:spacing w:after="40"/>
      </w:pPr>
      <w:r>
        <w:t>Explain the current design and identify inconsistencies.</w:t>
      </w:r>
    </w:p>
    <w:p>
      <w:pPr>
        <w:pStyle w:val="ListBullet"/>
        <w:spacing w:after="40"/>
      </w:pPr>
      <w:r>
        <w:t>Suggest component selection and parameter ranges.</w:t>
      </w:r>
    </w:p>
    <w:p>
      <w:pPr>
        <w:pStyle w:val="ListBullet"/>
        <w:spacing w:after="40"/>
      </w:pPr>
      <w:r>
        <w:t>Trace dependencies and predict affected components under failures.</w:t>
      </w:r>
    </w:p>
    <w:p>
      <w:pPr>
        <w:pStyle w:val="ListBullet"/>
        <w:spacing w:after="40"/>
      </w:pPr>
      <w:r>
        <w:t>Explain simulation results in engineering language.</w:t>
      </w:r>
    </w:p>
    <w:p>
      <w:pPr>
        <w:pStyle w:val="ListBullet"/>
        <w:spacing w:after="40"/>
      </w:pPr>
      <w:r>
        <w:t>Generate BOQs, cable schedules, equipment schedules and documentation.</w:t>
      </w:r>
    </w:p>
    <w:p>
      <w:pPr>
        <w:pStyle w:val="ListBullet"/>
        <w:spacing w:after="40"/>
      </w:pPr>
      <w:r>
        <w:t>Compare scenarios and explain trade-offs without silently changing the design.</w:t>
      </w:r>
    </w:p>
    <w:p>
      <w:pPr>
        <w:pStyle w:val="ListBullet"/>
        <w:spacing w:after="40"/>
      </w:pPr>
      <w:r>
        <w:t>Generate validation rules and custom component definitions with review.</w:t>
      </w:r>
    </w:p>
    <w:p>
      <w:pPr>
        <w:pStyle w:val="ListBullet"/>
        <w:spacing w:after="40"/>
      </w:pPr>
      <w:r>
        <w:t>Convert imported drawings into candidate structured graphs with human confirmation.</w:t>
      </w:r>
    </w:p>
    <w:p>
      <w:pPr>
        <w:pStyle w:val="ListBullet"/>
        <w:spacing w:after="40"/>
      </w:pPr>
      <w:r>
        <w:t>Assist with troubleshooting, commissioning checklists and maintenance procedures.</w:t>
      </w:r>
    </w:p>
    <w:p>
      <w:pPr>
        <w:pStyle w:val="ListBullet"/>
        <w:spacing w:after="40"/>
      </w:pPr>
      <w:r>
        <w:t>Provide domain-aware tutoring/education mode.</w:t>
      </w:r>
    </w:p>
    <w:p>
      <w:pPr>
        <w:spacing w:after="80"/>
      </w:pPr>
      <w:r>
        <w:t>AI design changes should be proposed as explicit graph operations such as addNode, updateProperty, connectPorts, replaceComponent and deleteConnection. The user should be able to review, accept, reject or partially apply a change.</w:t>
      </w:r>
    </w:p>
    <w:p>
      <w:pPr>
        <w:pStyle w:val="Heading1"/>
      </w:pPr>
      <w:r>
        <w:t>14. BOQ, Costing &amp; Project Delivery</w:t>
      </w:r>
    </w:p>
    <w:p>
      <w:pPr>
        <w:pStyle w:val="ListBullet"/>
        <w:spacing w:after="40"/>
      </w:pPr>
      <w:r>
        <w:t>Automatic quantity extraction from the Engineering Graph.</w:t>
      </w:r>
    </w:p>
    <w:p>
      <w:pPr>
        <w:pStyle w:val="ListBullet"/>
        <w:spacing w:after="40"/>
      </w:pPr>
      <w:r>
        <w:t>Component and material catalogues with units, suppliers, labour factors and regional pricing.</w:t>
      </w:r>
    </w:p>
    <w:p>
      <w:pPr>
        <w:pStyle w:val="ListBullet"/>
        <w:spacing w:after="40"/>
      </w:pPr>
      <w:r>
        <w:t>Cable, conduit, pipe, duct and fibre length schedules.</w:t>
      </w:r>
    </w:p>
    <w:p>
      <w:pPr>
        <w:pStyle w:val="ListBullet"/>
        <w:spacing w:after="40"/>
      </w:pPr>
      <w:r>
        <w:t>Rack, panel, DB, plant-room and equipment schedules.</w:t>
      </w:r>
    </w:p>
    <w:p>
      <w:pPr>
        <w:pStyle w:val="ListBullet"/>
        <w:spacing w:after="40"/>
      </w:pPr>
      <w:r>
        <w:t>Cost estimates, alternatives, markups, taxes and contingency.</w:t>
      </w:r>
    </w:p>
    <w:p>
      <w:pPr>
        <w:pStyle w:val="ListBullet"/>
        <w:spacing w:after="40"/>
      </w:pPr>
      <w:r>
        <w:t>Versioned BOQs linked to design revisions.</w:t>
      </w:r>
    </w:p>
    <w:p>
      <w:pPr>
        <w:pStyle w:val="ListBullet"/>
        <w:spacing w:after="40"/>
      </w:pPr>
      <w:r>
        <w:t>Export to XLSX/PDF/CSV and API integration with procurement/project systems.</w:t>
      </w:r>
    </w:p>
    <w:p>
      <w:pPr>
        <w:pStyle w:val="Heading1"/>
      </w:pPr>
      <w:r>
        <w:t>15. Documentation &amp; Reporting</w:t>
      </w:r>
    </w:p>
    <w:p>
      <w:pPr>
        <w:pStyle w:val="ListBullet"/>
        <w:spacing w:after="40"/>
      </w:pPr>
      <w:r>
        <w:t>Professional schematic exports to PDF, SVG, PNG and structured JSON.</w:t>
      </w:r>
    </w:p>
    <w:p>
      <w:pPr>
        <w:pStyle w:val="ListBullet"/>
        <w:spacing w:after="40"/>
      </w:pPr>
      <w:r>
        <w:t>Network diagrams, single-line diagrams, hydraulic schematics, HVAC layouts and process flow diagrams.</w:t>
      </w:r>
    </w:p>
    <w:p>
      <w:pPr>
        <w:pStyle w:val="ListBullet"/>
        <w:spacing w:after="40"/>
      </w:pPr>
      <w:r>
        <w:t>Calculation summaries and simulation reports.</w:t>
      </w:r>
    </w:p>
    <w:p>
      <w:pPr>
        <w:pStyle w:val="ListBullet"/>
        <w:spacing w:after="40"/>
      </w:pPr>
      <w:r>
        <w:t>Asset/equipment schedules, connection schedules and cable/pipe/duct schedules.</w:t>
      </w:r>
    </w:p>
    <w:p>
      <w:pPr>
        <w:pStyle w:val="ListBullet"/>
        <w:spacing w:after="40"/>
      </w:pPr>
      <w:r>
        <w:t>Design revision history and approval records.</w:t>
      </w:r>
    </w:p>
    <w:p>
      <w:pPr>
        <w:pStyle w:val="ListBullet"/>
        <w:spacing w:after="40"/>
      </w:pPr>
      <w:r>
        <w:t>Automated design narratives and commissioning/maintenance documents.</w:t>
      </w:r>
    </w:p>
    <w:p>
      <w:pPr>
        <w:pStyle w:val="Heading1"/>
      </w:pPr>
      <w:r>
        <w:t>16. Collaboration &amp; Enterprise Governance</w:t>
      </w:r>
    </w:p>
    <w:p>
      <w:pPr>
        <w:pStyle w:val="ListBullet"/>
        <w:spacing w:after="40"/>
      </w:pPr>
      <w:r>
        <w:t>Multi-tenant organisation/project architecture.</w:t>
      </w:r>
    </w:p>
    <w:p>
      <w:pPr>
        <w:pStyle w:val="ListBullet"/>
        <w:spacing w:after="40"/>
      </w:pPr>
      <w:r>
        <w:t>RBAC and optional ABAC.</w:t>
      </w:r>
    </w:p>
    <w:p>
      <w:pPr>
        <w:pStyle w:val="ListBullet"/>
        <w:spacing w:after="40"/>
      </w:pPr>
      <w:r>
        <w:t>SSO/SAML/OIDC, MFA and SCIM for enterprise identity.</w:t>
      </w:r>
    </w:p>
    <w:p>
      <w:pPr>
        <w:pStyle w:val="ListBullet"/>
        <w:spacing w:after="40"/>
      </w:pPr>
      <w:r>
        <w:t>Project sharing, comments, mentions, issues, approvals and review workflows.</w:t>
      </w:r>
    </w:p>
    <w:p>
      <w:pPr>
        <w:pStyle w:val="ListBullet"/>
        <w:spacing w:after="40"/>
      </w:pPr>
      <w:r>
        <w:t>Concurrent editing with conflict-aware graph updates.</w:t>
      </w:r>
    </w:p>
    <w:p>
      <w:pPr>
        <w:pStyle w:val="ListBullet"/>
        <w:spacing w:after="40"/>
      </w:pPr>
      <w:r>
        <w:t>Immutable audit logs for critical actions.</w:t>
      </w:r>
    </w:p>
    <w:p>
      <w:pPr>
        <w:pStyle w:val="ListBullet"/>
        <w:spacing w:after="40"/>
      </w:pPr>
      <w:r>
        <w:t>Version branches, snapshots, compare/diff and rollback.</w:t>
      </w:r>
    </w:p>
    <w:p>
      <w:pPr>
        <w:pStyle w:val="ListBullet"/>
        <w:spacing w:after="40"/>
      </w:pPr>
      <w:r>
        <w:t>Organisation-specific libraries, templates, rules and simulation profiles.</w:t>
      </w:r>
    </w:p>
    <w:p>
      <w:pPr>
        <w:pStyle w:val="Heading1"/>
      </w:pPr>
      <w:r>
        <w:t>17. IoT, SCADA, GIS &amp; Digital Twin</w:t>
      </w:r>
    </w:p>
    <w:p>
      <w:pPr>
        <w:spacing w:after="80"/>
      </w:pPr>
      <w:r>
        <w:t>The same Engineering Graph should support operational bindings so a design can become a digital representation of an installed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Capability</w:t>
            </w:r>
          </w:p>
        </w:tc>
        <w:tc>
          <w:tcPr>
            <w:tcW w:type="dxa" w:w="5040"/>
            <w:vAlign w:val="center"/>
            <w:shd w:fill="D9EAF7"/>
          </w:tcPr>
          <w:p>
            <w:r/>
            <w:r>
              <w:rPr>
                <w:b/>
                <w:sz w:val="16"/>
              </w:rPr>
              <w:t>Examples</w:t>
            </w:r>
          </w:p>
        </w:tc>
      </w:tr>
      <w:tr>
        <w:tc>
          <w:tcPr>
            <w:tcW w:type="dxa" w:w="5040"/>
            <w:vAlign w:val="center"/>
          </w:tcPr>
          <w:p>
            <w:r/>
            <w:r>
              <w:rPr>
                <w:b w:val="0"/>
                <w:sz w:val="16"/>
              </w:rPr>
              <w:t>Telemetry</w:t>
            </w:r>
          </w:p>
        </w:tc>
        <w:tc>
          <w:tcPr>
            <w:tcW w:type="dxa" w:w="5040"/>
            <w:vAlign w:val="center"/>
          </w:tcPr>
          <w:p>
            <w:r/>
            <w:r>
              <w:rPr>
                <w:b w:val="0"/>
                <w:sz w:val="16"/>
              </w:rPr>
              <w:t>MQTT, REST, WebSockets, OPC-UA, Modbus and vendor APIs</w:t>
            </w:r>
          </w:p>
        </w:tc>
      </w:tr>
      <w:tr>
        <w:tc>
          <w:tcPr>
            <w:tcW w:type="dxa" w:w="5040"/>
            <w:vAlign w:val="center"/>
          </w:tcPr>
          <w:p>
            <w:r/>
            <w:r>
              <w:rPr>
                <w:b w:val="0"/>
                <w:sz w:val="16"/>
              </w:rPr>
              <w:t>Industrial</w:t>
            </w:r>
          </w:p>
        </w:tc>
        <w:tc>
          <w:tcPr>
            <w:tcW w:type="dxa" w:w="5040"/>
            <w:vAlign w:val="center"/>
          </w:tcPr>
          <w:p>
            <w:r/>
            <w:r>
              <w:rPr>
                <w:b w:val="0"/>
                <w:sz w:val="16"/>
              </w:rPr>
              <w:t>SCADA/PLC tags, alarms, states, setpoints and historian data</w:t>
            </w:r>
          </w:p>
        </w:tc>
      </w:tr>
      <w:tr>
        <w:tc>
          <w:tcPr>
            <w:tcW w:type="dxa" w:w="5040"/>
            <w:vAlign w:val="center"/>
          </w:tcPr>
          <w:p>
            <w:r/>
            <w:r>
              <w:rPr>
                <w:b w:val="0"/>
                <w:sz w:val="16"/>
              </w:rPr>
              <w:t>Building systems</w:t>
            </w:r>
          </w:p>
        </w:tc>
        <w:tc>
          <w:tcPr>
            <w:tcW w:type="dxa" w:w="5040"/>
            <w:vAlign w:val="center"/>
          </w:tcPr>
          <w:p>
            <w:r/>
            <w:r>
              <w:rPr>
                <w:b w:val="0"/>
                <w:sz w:val="16"/>
              </w:rPr>
              <w:t>BMS/BAS data, HVAC sensors, access, fire and energy meters</w:t>
            </w:r>
          </w:p>
        </w:tc>
      </w:tr>
      <w:tr>
        <w:tc>
          <w:tcPr>
            <w:tcW w:type="dxa" w:w="5040"/>
            <w:vAlign w:val="center"/>
          </w:tcPr>
          <w:p>
            <w:r/>
            <w:r>
              <w:rPr>
                <w:b w:val="0"/>
                <w:sz w:val="16"/>
              </w:rPr>
              <w:t>GIS</w:t>
            </w:r>
          </w:p>
        </w:tc>
        <w:tc>
          <w:tcPr>
            <w:tcW w:type="dxa" w:w="5040"/>
            <w:vAlign w:val="center"/>
          </w:tcPr>
          <w:p>
            <w:r/>
            <w:r>
              <w:rPr>
                <w:b w:val="0"/>
                <w:sz w:val="16"/>
              </w:rPr>
              <w:t>PostGIS, facility coordinates, assets, catchments, routes and spatial context</w:t>
            </w:r>
          </w:p>
        </w:tc>
      </w:tr>
      <w:tr>
        <w:tc>
          <w:tcPr>
            <w:tcW w:type="dxa" w:w="5040"/>
            <w:vAlign w:val="center"/>
          </w:tcPr>
          <w:p>
            <w:r/>
            <w:r>
              <w:rPr>
                <w:b w:val="0"/>
                <w:sz w:val="16"/>
              </w:rPr>
              <w:t>Digital twin</w:t>
            </w:r>
          </w:p>
        </w:tc>
        <w:tc>
          <w:tcPr>
            <w:tcW w:type="dxa" w:w="5040"/>
            <w:vAlign w:val="center"/>
          </w:tcPr>
          <w:p>
            <w:r/>
            <w:r>
              <w:rPr>
                <w:b w:val="0"/>
                <w:sz w:val="16"/>
              </w:rPr>
              <w:t>Live status, historical telemetry, simulated-vs-actual comparison</w:t>
            </w:r>
          </w:p>
        </w:tc>
      </w:tr>
      <w:tr>
        <w:tc>
          <w:tcPr>
            <w:tcW w:type="dxa" w:w="5040"/>
            <w:vAlign w:val="center"/>
          </w:tcPr>
          <w:p>
            <w:r/>
            <w:r>
              <w:rPr>
                <w:b w:val="0"/>
                <w:sz w:val="16"/>
              </w:rPr>
              <w:t>Events</w:t>
            </w:r>
          </w:p>
        </w:tc>
        <w:tc>
          <w:tcPr>
            <w:tcW w:type="dxa" w:w="5040"/>
            <w:vAlign w:val="center"/>
          </w:tcPr>
          <w:p>
            <w:r/>
            <w:r>
              <w:rPr>
                <w:b w:val="0"/>
                <w:sz w:val="16"/>
              </w:rPr>
              <w:t>Alerts, threshold violations, maintenance triggers and incident workflows</w:t>
            </w:r>
          </w:p>
        </w:tc>
      </w:tr>
    </w:tbl>
    <w:p>
      <w:pPr>
        <w:pStyle w:val="Heading1"/>
      </w:pPr>
      <w:r>
        <w:t>18. Import, Reconstruction &amp; Interoperability</w:t>
      </w:r>
    </w:p>
    <w:p>
      <w:pPr>
        <w:pStyle w:val="ListBullet"/>
        <w:spacing w:after="40"/>
      </w:pPr>
      <w:r>
        <w:t>Import structured JSON as the canonical portable model.</w:t>
      </w:r>
    </w:p>
    <w:p>
      <w:pPr>
        <w:pStyle w:val="ListBullet"/>
        <w:spacing w:after="40"/>
      </w:pPr>
      <w:r>
        <w:t>Support SVG/PNG/JPG/PDF as visual references, with AI-assisted reconstruction and user confirmation.</w:t>
      </w:r>
    </w:p>
    <w:p>
      <w:pPr>
        <w:pStyle w:val="ListBullet"/>
        <w:spacing w:after="40"/>
      </w:pPr>
      <w:r>
        <w:t>Plan adapters for DXF/DWG, Visio and diagrams.net where licensing and technical feasibility permit.</w:t>
      </w:r>
    </w:p>
    <w:p>
      <w:pPr>
        <w:pStyle w:val="ListBullet"/>
        <w:spacing w:after="40"/>
      </w:pPr>
      <w:r>
        <w:t>Import tabular asset lists, inventories and telemetry mappings.</w:t>
      </w:r>
    </w:p>
    <w:p>
      <w:pPr>
        <w:pStyle w:val="ListBullet"/>
        <w:spacing w:after="40"/>
      </w:pPr>
      <w:r>
        <w:t>Export standardised reports and domain-specific schedules.</w:t>
      </w:r>
    </w:p>
    <w:p>
      <w:pPr>
        <w:pStyle w:val="ListBullet"/>
        <w:spacing w:after="40"/>
      </w:pPr>
      <w:r>
        <w:t>Maintain source/provenance metadata for imported objects.</w:t>
      </w:r>
    </w:p>
    <w:p>
      <w:pPr>
        <w:pStyle w:val="Heading1"/>
      </w:pPr>
      <w:r>
        <w:t>19. Offline-First Architecture</w:t>
      </w:r>
    </w:p>
    <w:p>
      <w:pPr>
        <w:pStyle w:val="ListBullet"/>
        <w:spacing w:after="40"/>
      </w:pPr>
      <w:r>
        <w:t>IndexedDB/local project store for offline authoring.</w:t>
      </w:r>
    </w:p>
    <w:p>
      <w:pPr>
        <w:pStyle w:val="ListBullet"/>
        <w:spacing w:after="40"/>
      </w:pPr>
      <w:r>
        <w:t>Local simulation for supported engines.</w:t>
      </w:r>
    </w:p>
    <w:p>
      <w:pPr>
        <w:pStyle w:val="ListBullet"/>
        <w:spacing w:after="40"/>
      </w:pPr>
      <w:r>
        <w:t>Service-worker/PWA architecture.</w:t>
      </w:r>
    </w:p>
    <w:p>
      <w:pPr>
        <w:pStyle w:val="ListBullet"/>
        <w:spacing w:after="40"/>
      </w:pPr>
      <w:r>
        <w:t>Conflict-aware synchronisation when connectivity returns.</w:t>
      </w:r>
    </w:p>
    <w:p>
      <w:pPr>
        <w:pStyle w:val="ListBullet"/>
        <w:spacing w:after="40"/>
      </w:pPr>
      <w:r>
        <w:t>Explicit online/offline status and unsynchronised-change indicators.</w:t>
      </w:r>
    </w:p>
    <w:p>
      <w:pPr>
        <w:pStyle w:val="ListBullet"/>
        <w:spacing w:after="40"/>
      </w:pPr>
      <w:r>
        <w:t>Enterprise deployments may package local/offline workspaces for field teams.</w:t>
      </w:r>
    </w:p>
    <w:p>
      <w:pPr>
        <w:pStyle w:val="Heading1"/>
      </w:pPr>
      <w:r>
        <w:t>20. Recommended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Layer</w:t>
            </w:r>
          </w:p>
        </w:tc>
        <w:tc>
          <w:tcPr>
            <w:tcW w:type="dxa" w:w="5040"/>
            <w:vAlign w:val="center"/>
            <w:shd w:fill="D9EAF7"/>
          </w:tcPr>
          <w:p>
            <w:r/>
            <w:r>
              <w:rPr>
                <w:b/>
                <w:sz w:val="16"/>
              </w:rPr>
              <w:t>Technology</w:t>
            </w:r>
          </w:p>
        </w:tc>
      </w:tr>
      <w:tr>
        <w:tc>
          <w:tcPr>
            <w:tcW w:type="dxa" w:w="5040"/>
            <w:vAlign w:val="center"/>
          </w:tcPr>
          <w:p>
            <w:r/>
            <w:r>
              <w:rPr>
                <w:b w:val="0"/>
                <w:sz w:val="16"/>
              </w:rPr>
              <w:t>Web application</w:t>
            </w:r>
          </w:p>
        </w:tc>
        <w:tc>
          <w:tcPr>
            <w:tcW w:type="dxa" w:w="5040"/>
            <w:vAlign w:val="center"/>
          </w:tcPr>
          <w:p>
            <w:r/>
            <w:r>
              <w:rPr>
                <w:b w:val="0"/>
                <w:sz w:val="16"/>
              </w:rPr>
              <w:t>React + TypeScript</w:t>
            </w:r>
          </w:p>
        </w:tc>
      </w:tr>
      <w:tr>
        <w:tc>
          <w:tcPr>
            <w:tcW w:type="dxa" w:w="5040"/>
            <w:vAlign w:val="center"/>
          </w:tcPr>
          <w:p>
            <w:r/>
            <w:r>
              <w:rPr>
                <w:b w:val="0"/>
                <w:sz w:val="16"/>
              </w:rPr>
              <w:t>Canvas</w:t>
            </w:r>
          </w:p>
        </w:tc>
        <w:tc>
          <w:tcPr>
            <w:tcW w:type="dxa" w:w="5040"/>
            <w:vAlign w:val="center"/>
          </w:tcPr>
          <w:p>
            <w:r/>
            <w:r>
              <w:rPr>
                <w:b w:val="0"/>
                <w:sz w:val="16"/>
              </w:rPr>
              <w:t>React Flow/XYFlow for graph UX, with Konva/WebGL for high-density rendering where needed</w:t>
            </w:r>
          </w:p>
        </w:tc>
      </w:tr>
      <w:tr>
        <w:tc>
          <w:tcPr>
            <w:tcW w:type="dxa" w:w="5040"/>
            <w:vAlign w:val="center"/>
          </w:tcPr>
          <w:p>
            <w:r/>
            <w:r>
              <w:rPr>
                <w:b w:val="0"/>
                <w:sz w:val="16"/>
              </w:rPr>
              <w:t>UI</w:t>
            </w:r>
          </w:p>
        </w:tc>
        <w:tc>
          <w:tcPr>
            <w:tcW w:type="dxa" w:w="5040"/>
            <w:vAlign w:val="center"/>
          </w:tcPr>
          <w:p>
            <w:r/>
            <w:r>
              <w:rPr>
                <w:b w:val="0"/>
                <w:sz w:val="16"/>
              </w:rPr>
              <w:t>Ant Design or equivalent enterprise component system; Tailwind optional for utility styling</w:t>
            </w:r>
          </w:p>
        </w:tc>
      </w:tr>
      <w:tr>
        <w:tc>
          <w:tcPr>
            <w:tcW w:type="dxa" w:w="5040"/>
            <w:vAlign w:val="center"/>
          </w:tcPr>
          <w:p>
            <w:r/>
            <w:r>
              <w:rPr>
                <w:b w:val="0"/>
                <w:sz w:val="16"/>
              </w:rPr>
              <w:t>State</w:t>
            </w:r>
          </w:p>
        </w:tc>
        <w:tc>
          <w:tcPr>
            <w:tcW w:type="dxa" w:w="5040"/>
            <w:vAlign w:val="center"/>
          </w:tcPr>
          <w:p>
            <w:r/>
            <w:r>
              <w:rPr>
                <w:b w:val="0"/>
                <w:sz w:val="16"/>
              </w:rPr>
              <w:t>Zustand + TanStack Query</w:t>
            </w:r>
          </w:p>
        </w:tc>
      </w:tr>
      <w:tr>
        <w:tc>
          <w:tcPr>
            <w:tcW w:type="dxa" w:w="5040"/>
            <w:vAlign w:val="center"/>
          </w:tcPr>
          <w:p>
            <w:r/>
            <w:r>
              <w:rPr>
                <w:b w:val="0"/>
                <w:sz w:val="16"/>
              </w:rPr>
              <w:t>Backend</w:t>
            </w:r>
          </w:p>
        </w:tc>
        <w:tc>
          <w:tcPr>
            <w:tcW w:type="dxa" w:w="5040"/>
            <w:vAlign w:val="center"/>
          </w:tcPr>
          <w:p>
            <w:r/>
            <w:r>
              <w:rPr>
                <w:b w:val="0"/>
                <w:sz w:val="16"/>
              </w:rPr>
              <w:t>Node.js + TypeScript; NestJS or Fastify</w:t>
            </w:r>
          </w:p>
        </w:tc>
      </w:tr>
      <w:tr>
        <w:tc>
          <w:tcPr>
            <w:tcW w:type="dxa" w:w="5040"/>
            <w:vAlign w:val="center"/>
          </w:tcPr>
          <w:p>
            <w:r/>
            <w:r>
              <w:rPr>
                <w:b w:val="0"/>
                <w:sz w:val="16"/>
              </w:rPr>
              <w:t>API</w:t>
            </w:r>
          </w:p>
        </w:tc>
        <w:tc>
          <w:tcPr>
            <w:tcW w:type="dxa" w:w="5040"/>
            <w:vAlign w:val="center"/>
          </w:tcPr>
          <w:p>
            <w:r/>
            <w:r>
              <w:rPr>
                <w:b w:val="0"/>
                <w:sz w:val="16"/>
              </w:rPr>
              <w:t>REST + WebSocket; optional GraphQL for selected read-heavy use cases</w:t>
            </w:r>
          </w:p>
        </w:tc>
      </w:tr>
      <w:tr>
        <w:tc>
          <w:tcPr>
            <w:tcW w:type="dxa" w:w="5040"/>
            <w:vAlign w:val="center"/>
          </w:tcPr>
          <w:p>
            <w:r/>
            <w:r>
              <w:rPr>
                <w:b w:val="0"/>
                <w:sz w:val="16"/>
              </w:rPr>
              <w:t>Database</w:t>
            </w:r>
          </w:p>
        </w:tc>
        <w:tc>
          <w:tcPr>
            <w:tcW w:type="dxa" w:w="5040"/>
            <w:vAlign w:val="center"/>
          </w:tcPr>
          <w:p>
            <w:r/>
            <w:r>
              <w:rPr>
                <w:b w:val="0"/>
                <w:sz w:val="16"/>
              </w:rPr>
              <w:t>PostgreSQL + PostGIS + JSONB</w:t>
            </w:r>
          </w:p>
        </w:tc>
      </w:tr>
      <w:tr>
        <w:tc>
          <w:tcPr>
            <w:tcW w:type="dxa" w:w="5040"/>
            <w:vAlign w:val="center"/>
          </w:tcPr>
          <w:p>
            <w:r/>
            <w:r>
              <w:rPr>
                <w:b w:val="0"/>
                <w:sz w:val="16"/>
              </w:rPr>
              <w:t>Cache/jobs</w:t>
            </w:r>
          </w:p>
        </w:tc>
        <w:tc>
          <w:tcPr>
            <w:tcW w:type="dxa" w:w="5040"/>
            <w:vAlign w:val="center"/>
          </w:tcPr>
          <w:p>
            <w:r/>
            <w:r>
              <w:rPr>
                <w:b w:val="0"/>
                <w:sz w:val="16"/>
              </w:rPr>
              <w:t>Redis + BullMQ or equivalent</w:t>
            </w:r>
          </w:p>
        </w:tc>
      </w:tr>
      <w:tr>
        <w:tc>
          <w:tcPr>
            <w:tcW w:type="dxa" w:w="5040"/>
            <w:vAlign w:val="center"/>
          </w:tcPr>
          <w:p>
            <w:r/>
            <w:r>
              <w:rPr>
                <w:b w:val="0"/>
                <w:sz w:val="16"/>
              </w:rPr>
              <w:t>Simulation</w:t>
            </w:r>
          </w:p>
        </w:tc>
        <w:tc>
          <w:tcPr>
            <w:tcW w:type="dxa" w:w="5040"/>
            <w:vAlign w:val="center"/>
          </w:tcPr>
          <w:p>
            <w:r/>
            <w:r>
              <w:rPr>
                <w:b w:val="0"/>
                <w:sz w:val="16"/>
              </w:rPr>
              <w:t>TypeScript/Web Workers; Rust/WASM specialist solvers</w:t>
            </w:r>
          </w:p>
        </w:tc>
      </w:tr>
      <w:tr>
        <w:tc>
          <w:tcPr>
            <w:tcW w:type="dxa" w:w="5040"/>
            <w:vAlign w:val="center"/>
          </w:tcPr>
          <w:p>
            <w:r/>
            <w:r>
              <w:rPr>
                <w:b w:val="0"/>
                <w:sz w:val="16"/>
              </w:rPr>
              <w:t>Files</w:t>
            </w:r>
          </w:p>
        </w:tc>
        <w:tc>
          <w:tcPr>
            <w:tcW w:type="dxa" w:w="5040"/>
            <w:vAlign w:val="center"/>
          </w:tcPr>
          <w:p>
            <w:r/>
            <w:r>
              <w:rPr>
                <w:b w:val="0"/>
                <w:sz w:val="16"/>
              </w:rPr>
              <w:t>Object storage compatible with S3 APIs</w:t>
            </w:r>
          </w:p>
        </w:tc>
      </w:tr>
      <w:tr>
        <w:tc>
          <w:tcPr>
            <w:tcW w:type="dxa" w:w="5040"/>
            <w:vAlign w:val="center"/>
          </w:tcPr>
          <w:p>
            <w:r/>
            <w:r>
              <w:rPr>
                <w:b w:val="0"/>
                <w:sz w:val="16"/>
              </w:rPr>
              <w:t>Auth</w:t>
            </w:r>
          </w:p>
        </w:tc>
        <w:tc>
          <w:tcPr>
            <w:tcW w:type="dxa" w:w="5040"/>
            <w:vAlign w:val="center"/>
          </w:tcPr>
          <w:p>
            <w:r/>
            <w:r>
              <w:rPr>
                <w:b w:val="0"/>
                <w:sz w:val="16"/>
              </w:rPr>
              <w:t>OIDC/SAML/SCIM-capable identity integration</w:t>
            </w:r>
          </w:p>
        </w:tc>
      </w:tr>
      <w:tr>
        <w:tc>
          <w:tcPr>
            <w:tcW w:type="dxa" w:w="5040"/>
            <w:vAlign w:val="center"/>
          </w:tcPr>
          <w:p>
            <w:r/>
            <w:r>
              <w:rPr>
                <w:b w:val="0"/>
                <w:sz w:val="16"/>
              </w:rPr>
              <w:t>Deployment</w:t>
            </w:r>
          </w:p>
        </w:tc>
        <w:tc>
          <w:tcPr>
            <w:tcW w:type="dxa" w:w="5040"/>
            <w:vAlign w:val="center"/>
          </w:tcPr>
          <w:p>
            <w:r/>
            <w:r>
              <w:rPr>
                <w:b w:val="0"/>
                <w:sz w:val="16"/>
              </w:rPr>
              <w:t>Docker, Kubernetes optional for enterprise scale</w:t>
            </w:r>
          </w:p>
        </w:tc>
      </w:tr>
      <w:tr>
        <w:tc>
          <w:tcPr>
            <w:tcW w:type="dxa" w:w="5040"/>
            <w:vAlign w:val="center"/>
          </w:tcPr>
          <w:p>
            <w:r/>
            <w:r>
              <w:rPr>
                <w:b w:val="0"/>
                <w:sz w:val="16"/>
              </w:rPr>
              <w:t>Observability</w:t>
            </w:r>
          </w:p>
        </w:tc>
        <w:tc>
          <w:tcPr>
            <w:tcW w:type="dxa" w:w="5040"/>
            <w:vAlign w:val="center"/>
          </w:tcPr>
          <w:p>
            <w:r/>
            <w:r>
              <w:rPr>
                <w:b w:val="0"/>
                <w:sz w:val="16"/>
              </w:rPr>
              <w:t>OpenTelemetry-compatible traces, metrics and logs</w:t>
            </w:r>
          </w:p>
        </w:tc>
      </w:tr>
    </w:tbl>
    <w:p>
      <w:pPr>
        <w:pStyle w:val="Heading1"/>
      </w:pPr>
      <w:r>
        <w:t>21. Core Data Model</w:t>
      </w:r>
    </w:p>
    <w:p>
      <w:pPr>
        <w:spacing w:after="80"/>
      </w:pPr>
      <w:r>
        <w:t>Primary entities should include organisations, users, memberships, projects, designs, graph nodes, graph connections, components, component templates, ports, property definitions, simulations, simulation runs, scenarios, results, validation rules/results, BOQs, documents, comments, issues, tasks, versions, telemetry bindings, assets and audit logs.</w:t>
      </w:r>
    </w:p>
    <w:p>
      <w:pPr>
        <w:spacing w:after="80"/>
      </w:pPr>
      <w:r>
        <w:t>Every organisation-owned entity must carry organisation context, with tenant isolation enforced at API, service, database and background-job boundaries.</w:t>
      </w:r>
    </w:p>
    <w:p>
      <w:pPr>
        <w:pStyle w:val="Heading1"/>
      </w:pPr>
      <w:r>
        <w:t>22. API Surface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Area</w:t>
            </w:r>
          </w:p>
        </w:tc>
        <w:tc>
          <w:tcPr>
            <w:tcW w:type="dxa" w:w="5040"/>
            <w:vAlign w:val="center"/>
            <w:shd w:fill="D9EAF7"/>
          </w:tcPr>
          <w:p>
            <w:r/>
            <w:r>
              <w:rPr>
                <w:b/>
                <w:sz w:val="16"/>
              </w:rPr>
              <w:t>Representative endpoints</w:t>
            </w:r>
          </w:p>
        </w:tc>
      </w:tr>
      <w:tr>
        <w:tc>
          <w:tcPr>
            <w:tcW w:type="dxa" w:w="5040"/>
            <w:vAlign w:val="center"/>
          </w:tcPr>
          <w:p>
            <w:r/>
            <w:r>
              <w:rPr>
                <w:b w:val="0"/>
                <w:sz w:val="16"/>
              </w:rPr>
              <w:t>Projects</w:t>
            </w:r>
          </w:p>
        </w:tc>
        <w:tc>
          <w:tcPr>
            <w:tcW w:type="dxa" w:w="5040"/>
            <w:vAlign w:val="center"/>
          </w:tcPr>
          <w:p>
            <w:r/>
            <w:r>
              <w:rPr>
                <w:b w:val="0"/>
                <w:sz w:val="16"/>
              </w:rPr>
              <w:t>GET/POST /projects; GET/PATCH /projects/{id}</w:t>
            </w:r>
          </w:p>
        </w:tc>
      </w:tr>
      <w:tr>
        <w:tc>
          <w:tcPr>
            <w:tcW w:type="dxa" w:w="5040"/>
            <w:vAlign w:val="center"/>
          </w:tcPr>
          <w:p>
            <w:r/>
            <w:r>
              <w:rPr>
                <w:b w:val="0"/>
                <w:sz w:val="16"/>
              </w:rPr>
              <w:t>Designs</w:t>
            </w:r>
          </w:p>
        </w:tc>
        <w:tc>
          <w:tcPr>
            <w:tcW w:type="dxa" w:w="5040"/>
            <w:vAlign w:val="center"/>
          </w:tcPr>
          <w:p>
            <w:r/>
            <w:r>
              <w:rPr>
                <w:b w:val="0"/>
                <w:sz w:val="16"/>
              </w:rPr>
              <w:t>GET/POST /designs; PATCH /designs/{id}</w:t>
            </w:r>
          </w:p>
        </w:tc>
      </w:tr>
      <w:tr>
        <w:tc>
          <w:tcPr>
            <w:tcW w:type="dxa" w:w="5040"/>
            <w:vAlign w:val="center"/>
          </w:tcPr>
          <w:p>
            <w:r/>
            <w:r>
              <w:rPr>
                <w:b w:val="0"/>
                <w:sz w:val="16"/>
              </w:rPr>
              <w:t>Graph</w:t>
            </w:r>
          </w:p>
        </w:tc>
        <w:tc>
          <w:tcPr>
            <w:tcW w:type="dxa" w:w="5040"/>
            <w:vAlign w:val="center"/>
          </w:tcPr>
          <w:p>
            <w:r/>
            <w:r>
              <w:rPr>
                <w:b w:val="0"/>
                <w:sz w:val="16"/>
              </w:rPr>
              <w:t>POST /designs/{id}/nodes; POST /connections; PATCH /nodes/{id}</w:t>
            </w:r>
          </w:p>
        </w:tc>
      </w:tr>
      <w:tr>
        <w:tc>
          <w:tcPr>
            <w:tcW w:type="dxa" w:w="5040"/>
            <w:vAlign w:val="center"/>
          </w:tcPr>
          <w:p>
            <w:r/>
            <w:r>
              <w:rPr>
                <w:b w:val="0"/>
                <w:sz w:val="16"/>
              </w:rPr>
              <w:t>Validation</w:t>
            </w:r>
          </w:p>
        </w:tc>
        <w:tc>
          <w:tcPr>
            <w:tcW w:type="dxa" w:w="5040"/>
            <w:vAlign w:val="center"/>
          </w:tcPr>
          <w:p>
            <w:r/>
            <w:r>
              <w:rPr>
                <w:b w:val="0"/>
                <w:sz w:val="16"/>
              </w:rPr>
              <w:t>POST /designs/{id}/validate</w:t>
            </w:r>
          </w:p>
        </w:tc>
      </w:tr>
      <w:tr>
        <w:tc>
          <w:tcPr>
            <w:tcW w:type="dxa" w:w="5040"/>
            <w:vAlign w:val="center"/>
          </w:tcPr>
          <w:p>
            <w:r/>
            <w:r>
              <w:rPr>
                <w:b w:val="0"/>
                <w:sz w:val="16"/>
              </w:rPr>
              <w:t>Simulation</w:t>
            </w:r>
          </w:p>
        </w:tc>
        <w:tc>
          <w:tcPr>
            <w:tcW w:type="dxa" w:w="5040"/>
            <w:vAlign w:val="center"/>
          </w:tcPr>
          <w:p>
            <w:r/>
            <w:r>
              <w:rPr>
                <w:b w:val="0"/>
                <w:sz w:val="16"/>
              </w:rPr>
              <w:t>POST /designs/{id}/simulate; GET /simulations/{id}</w:t>
            </w:r>
          </w:p>
        </w:tc>
      </w:tr>
      <w:tr>
        <w:tc>
          <w:tcPr>
            <w:tcW w:type="dxa" w:w="5040"/>
            <w:vAlign w:val="center"/>
          </w:tcPr>
          <w:p>
            <w:r/>
            <w:r>
              <w:rPr>
                <w:b w:val="0"/>
                <w:sz w:val="16"/>
              </w:rPr>
              <w:t>Scenarios</w:t>
            </w:r>
          </w:p>
        </w:tc>
        <w:tc>
          <w:tcPr>
            <w:tcW w:type="dxa" w:w="5040"/>
            <w:vAlign w:val="center"/>
          </w:tcPr>
          <w:p>
            <w:r/>
            <w:r>
              <w:rPr>
                <w:b w:val="0"/>
                <w:sz w:val="16"/>
              </w:rPr>
              <w:t>POST /designs/{id}/scenarios; POST /scenarios/{id}/run</w:t>
            </w:r>
          </w:p>
        </w:tc>
      </w:tr>
      <w:tr>
        <w:tc>
          <w:tcPr>
            <w:tcW w:type="dxa" w:w="5040"/>
            <w:vAlign w:val="center"/>
          </w:tcPr>
          <w:p>
            <w:r/>
            <w:r>
              <w:rPr>
                <w:b w:val="0"/>
                <w:sz w:val="16"/>
              </w:rPr>
              <w:t>Components</w:t>
            </w:r>
          </w:p>
        </w:tc>
        <w:tc>
          <w:tcPr>
            <w:tcW w:type="dxa" w:w="5040"/>
            <w:vAlign w:val="center"/>
          </w:tcPr>
          <w:p>
            <w:r/>
            <w:r>
              <w:rPr>
                <w:b w:val="0"/>
                <w:sz w:val="16"/>
              </w:rPr>
              <w:t>GET /components; POST /component-templates</w:t>
            </w:r>
          </w:p>
        </w:tc>
      </w:tr>
      <w:tr>
        <w:tc>
          <w:tcPr>
            <w:tcW w:type="dxa" w:w="5040"/>
            <w:vAlign w:val="center"/>
          </w:tcPr>
          <w:p>
            <w:r/>
            <w:r>
              <w:rPr>
                <w:b w:val="0"/>
                <w:sz w:val="16"/>
              </w:rPr>
              <w:t>Reports</w:t>
            </w:r>
          </w:p>
        </w:tc>
        <w:tc>
          <w:tcPr>
            <w:tcW w:type="dxa" w:w="5040"/>
            <w:vAlign w:val="center"/>
          </w:tcPr>
          <w:p>
            <w:r/>
            <w:r>
              <w:rPr>
                <w:b w:val="0"/>
                <w:sz w:val="16"/>
              </w:rPr>
              <w:t>POST /designs/{id}/reports</w:t>
            </w:r>
          </w:p>
        </w:tc>
      </w:tr>
      <w:tr>
        <w:tc>
          <w:tcPr>
            <w:tcW w:type="dxa" w:w="5040"/>
            <w:vAlign w:val="center"/>
          </w:tcPr>
          <w:p>
            <w:r/>
            <w:r>
              <w:rPr>
                <w:b w:val="0"/>
                <w:sz w:val="16"/>
              </w:rPr>
              <w:t>BOQ</w:t>
            </w:r>
          </w:p>
        </w:tc>
        <w:tc>
          <w:tcPr>
            <w:tcW w:type="dxa" w:w="5040"/>
            <w:vAlign w:val="center"/>
          </w:tcPr>
          <w:p>
            <w:r/>
            <w:r>
              <w:rPr>
                <w:b w:val="0"/>
                <w:sz w:val="16"/>
              </w:rPr>
              <w:t>POST /designs/{id}/boq</w:t>
            </w:r>
          </w:p>
        </w:tc>
      </w:tr>
      <w:tr>
        <w:tc>
          <w:tcPr>
            <w:tcW w:type="dxa" w:w="5040"/>
            <w:vAlign w:val="center"/>
          </w:tcPr>
          <w:p>
            <w:r/>
            <w:r>
              <w:rPr>
                <w:b w:val="0"/>
                <w:sz w:val="16"/>
              </w:rPr>
              <w:t>Telemetry</w:t>
            </w:r>
          </w:p>
        </w:tc>
        <w:tc>
          <w:tcPr>
            <w:tcW w:type="dxa" w:w="5040"/>
            <w:vAlign w:val="center"/>
          </w:tcPr>
          <w:p>
            <w:r/>
            <w:r>
              <w:rPr>
                <w:b w:val="0"/>
                <w:sz w:val="16"/>
              </w:rPr>
              <w:t>POST /telemetry/bindings; GET /assets/{id}/telemetry</w:t>
            </w:r>
          </w:p>
        </w:tc>
      </w:tr>
      <w:tr>
        <w:tc>
          <w:tcPr>
            <w:tcW w:type="dxa" w:w="5040"/>
            <w:vAlign w:val="center"/>
          </w:tcPr>
          <w:p>
            <w:r/>
            <w:r>
              <w:rPr>
                <w:b w:val="0"/>
                <w:sz w:val="16"/>
              </w:rPr>
              <w:t>Collaboration</w:t>
            </w:r>
          </w:p>
        </w:tc>
        <w:tc>
          <w:tcPr>
            <w:tcW w:type="dxa" w:w="5040"/>
            <w:vAlign w:val="center"/>
          </w:tcPr>
          <w:p>
            <w:r/>
            <w:r>
              <w:rPr>
                <w:b w:val="0"/>
                <w:sz w:val="16"/>
              </w:rPr>
              <w:t>comments, issues, approvals, activity and audit endpoints</w:t>
            </w:r>
          </w:p>
        </w:tc>
      </w:tr>
    </w:tbl>
    <w:p>
      <w:pPr>
        <w:pStyle w:val="Heading1"/>
      </w:pPr>
      <w:r>
        <w:t>23. Security &amp; Compliance Requirements</w:t>
      </w:r>
    </w:p>
    <w:p>
      <w:pPr>
        <w:pStyle w:val="ListBullet"/>
        <w:spacing w:after="40"/>
      </w:pPr>
      <w:r>
        <w:t>Encryption in transit and at rest.</w:t>
      </w:r>
    </w:p>
    <w:p>
      <w:pPr>
        <w:pStyle w:val="ListBullet"/>
        <w:spacing w:after="40"/>
      </w:pPr>
      <w:r>
        <w:t>Tenant isolation and least privilege.</w:t>
      </w:r>
    </w:p>
    <w:p>
      <w:pPr>
        <w:pStyle w:val="ListBullet"/>
        <w:spacing w:after="40"/>
      </w:pPr>
      <w:r>
        <w:t>Secrets management and key rotation.</w:t>
      </w:r>
    </w:p>
    <w:p>
      <w:pPr>
        <w:pStyle w:val="ListBullet"/>
        <w:spacing w:after="40"/>
      </w:pPr>
      <w:r>
        <w:t>Audit logging for authentication, design changes, approvals, exports and administrative actions.</w:t>
      </w:r>
    </w:p>
    <w:p>
      <w:pPr>
        <w:pStyle w:val="ListBullet"/>
        <w:spacing w:after="40"/>
      </w:pPr>
      <w:r>
        <w:t>Rate limiting, input validation, secure file handling and dependency scanning.</w:t>
      </w:r>
    </w:p>
    <w:p>
      <w:pPr>
        <w:pStyle w:val="ListBullet"/>
        <w:spacing w:after="40"/>
      </w:pPr>
      <w:r>
        <w:t>Backup/restore and disaster recovery objectives configurable by enterprise tier.</w:t>
      </w:r>
    </w:p>
    <w:p>
      <w:pPr>
        <w:pStyle w:val="ListBullet"/>
        <w:spacing w:after="40"/>
      </w:pPr>
      <w:r>
        <w:t>Data residency and private deployment options.</w:t>
      </w:r>
    </w:p>
    <w:p>
      <w:pPr>
        <w:pStyle w:val="ListBullet"/>
        <w:spacing w:after="40"/>
      </w:pPr>
      <w:r>
        <w:t>Security architecture designed toward recognised enterprise controls; specific certifications require a separate compliance programme.</w:t>
      </w:r>
    </w:p>
    <w:p>
      <w:pPr>
        <w:pStyle w:val="Heading1"/>
      </w:pPr>
      <w:r>
        <w:t>24. Performance &amp; Scalability</w:t>
      </w:r>
    </w:p>
    <w:p>
      <w:pPr>
        <w:pStyle w:val="ListBullet"/>
        <w:spacing w:after="40"/>
      </w:pPr>
      <w:r>
        <w:t>Target 50+ FPS for normal interactive editing at approximately 200 interconnected visible nodes, with graceful degradation beyond that.</w:t>
      </w:r>
    </w:p>
    <w:p>
      <w:pPr>
        <w:pStyle w:val="ListBullet"/>
        <w:spacing w:after="40"/>
      </w:pPr>
      <w:r>
        <w:t>Support at least 500+ graph objects in a project through spatial indexing, virtualization and efficient rendering.</w:t>
      </w:r>
    </w:p>
    <w:p>
      <w:pPr>
        <w:pStyle w:val="ListBullet"/>
        <w:spacing w:after="40"/>
      </w:pPr>
      <w:r>
        <w:t>Simulation workloads must not block the UI thread.</w:t>
      </w:r>
    </w:p>
    <w:p>
      <w:pPr>
        <w:pStyle w:val="ListBullet"/>
        <w:spacing w:after="40"/>
      </w:pPr>
      <w:r>
        <w:t>Large simulations execute asynchronously with progress and cancellation.</w:t>
      </w:r>
    </w:p>
    <w:p>
      <w:pPr>
        <w:pStyle w:val="ListBullet"/>
        <w:spacing w:after="40"/>
      </w:pPr>
      <w:r>
        <w:t>Server architecture must scale API, WebSocket and simulation workers independently.</w:t>
      </w:r>
    </w:p>
    <w:p>
      <w:pPr>
        <w:pStyle w:val="ListBullet"/>
        <w:spacing w:after="40"/>
      </w:pPr>
      <w:r>
        <w:t>Cache component definitions and immutable reference data.</w:t>
      </w:r>
    </w:p>
    <w:p>
      <w:pPr>
        <w:pStyle w:val="Heading1"/>
      </w:pPr>
      <w:r>
        <w:t>25. Quality Assurance</w:t>
      </w:r>
    </w:p>
    <w:p>
      <w:pPr>
        <w:pStyle w:val="ListBullet"/>
        <w:spacing w:after="40"/>
      </w:pPr>
      <w:r>
        <w:t>Unit tests for domain models, equations, graph operations and validation rules.</w:t>
      </w:r>
    </w:p>
    <w:p>
      <w:pPr>
        <w:pStyle w:val="ListBullet"/>
        <w:spacing w:after="40"/>
      </w:pPr>
      <w:r>
        <w:t>Golden test cases for each solver.</w:t>
      </w:r>
    </w:p>
    <w:p>
      <w:pPr>
        <w:pStyle w:val="ListBullet"/>
        <w:spacing w:after="40"/>
      </w:pPr>
      <w:r>
        <w:t>Property-based tests for graph operations and unit conversions.</w:t>
      </w:r>
    </w:p>
    <w:p>
      <w:pPr>
        <w:pStyle w:val="ListBullet"/>
        <w:spacing w:after="40"/>
      </w:pPr>
      <w:r>
        <w:t>Integration tests for API, persistence, workers and WebSockets.</w:t>
      </w:r>
    </w:p>
    <w:p>
      <w:pPr>
        <w:pStyle w:val="ListBullet"/>
        <w:spacing w:after="40"/>
      </w:pPr>
      <w:r>
        <w:t>Visual regression tests for critical canvas interactions.</w:t>
      </w:r>
    </w:p>
    <w:p>
      <w:pPr>
        <w:pStyle w:val="ListBullet"/>
        <w:spacing w:after="40"/>
      </w:pPr>
      <w:r>
        <w:t>Performance benchmarks for rendering and simulation.</w:t>
      </w:r>
    </w:p>
    <w:p>
      <w:pPr>
        <w:pStyle w:val="ListBullet"/>
        <w:spacing w:after="40"/>
      </w:pPr>
      <w:r>
        <w:t>End-to-end acceptance tests for complete design-to-report workflows.</w:t>
      </w:r>
    </w:p>
    <w:p>
      <w:pPr>
        <w:pStyle w:val="ListBullet"/>
        <w:spacing w:after="40"/>
      </w:pPr>
      <w:r>
        <w:t>Domain expert review for engineering calculations before production claims.</w:t>
      </w:r>
    </w:p>
    <w:p>
      <w:pPr>
        <w:pStyle w:val="Heading1"/>
      </w:pPr>
      <w:r>
        <w:t>26. Product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Role</w:t>
            </w:r>
          </w:p>
        </w:tc>
        <w:tc>
          <w:tcPr>
            <w:tcW w:type="dxa" w:w="5040"/>
            <w:vAlign w:val="center"/>
            <w:shd w:fill="D9EAF7"/>
          </w:tcPr>
          <w:p>
            <w:r/>
            <w:r>
              <w:rPr>
                <w:b/>
                <w:sz w:val="16"/>
              </w:rPr>
              <w:t>Primary capabilities</w:t>
            </w:r>
          </w:p>
        </w:tc>
      </w:tr>
      <w:tr>
        <w:tc>
          <w:tcPr>
            <w:tcW w:type="dxa" w:w="5040"/>
            <w:vAlign w:val="center"/>
          </w:tcPr>
          <w:p>
            <w:r/>
            <w:r>
              <w:rPr>
                <w:b w:val="0"/>
                <w:sz w:val="16"/>
              </w:rPr>
              <w:t>Platform Administrator</w:t>
            </w:r>
          </w:p>
        </w:tc>
        <w:tc>
          <w:tcPr>
            <w:tcW w:type="dxa" w:w="5040"/>
            <w:vAlign w:val="center"/>
          </w:tcPr>
          <w:p>
            <w:r/>
            <w:r>
              <w:rPr>
                <w:b w:val="0"/>
                <w:sz w:val="16"/>
              </w:rPr>
              <w:t>Tenant, security, integrations and platform governance</w:t>
            </w:r>
          </w:p>
        </w:tc>
      </w:tr>
      <w:tr>
        <w:tc>
          <w:tcPr>
            <w:tcW w:type="dxa" w:w="5040"/>
            <w:vAlign w:val="center"/>
          </w:tcPr>
          <w:p>
            <w:r/>
            <w:r>
              <w:rPr>
                <w:b w:val="0"/>
                <w:sz w:val="16"/>
              </w:rPr>
              <w:t>Organisation Administrator</w:t>
            </w:r>
          </w:p>
        </w:tc>
        <w:tc>
          <w:tcPr>
            <w:tcW w:type="dxa" w:w="5040"/>
            <w:vAlign w:val="center"/>
          </w:tcPr>
          <w:p>
            <w:r/>
            <w:r>
              <w:rPr>
                <w:b w:val="0"/>
                <w:sz w:val="16"/>
              </w:rPr>
              <w:t>Users, libraries, rules, projects and billing</w:t>
            </w:r>
          </w:p>
        </w:tc>
      </w:tr>
      <w:tr>
        <w:tc>
          <w:tcPr>
            <w:tcW w:type="dxa" w:w="5040"/>
            <w:vAlign w:val="center"/>
          </w:tcPr>
          <w:p>
            <w:r/>
            <w:r>
              <w:rPr>
                <w:b w:val="0"/>
                <w:sz w:val="16"/>
              </w:rPr>
              <w:t>Engineering Lead</w:t>
            </w:r>
          </w:p>
        </w:tc>
        <w:tc>
          <w:tcPr>
            <w:tcW w:type="dxa" w:w="5040"/>
            <w:vAlign w:val="center"/>
          </w:tcPr>
          <w:p>
            <w:r/>
            <w:r>
              <w:rPr>
                <w:b w:val="0"/>
                <w:sz w:val="16"/>
              </w:rPr>
              <w:t>Design review, validation, simulation and approvals</w:t>
            </w:r>
          </w:p>
        </w:tc>
      </w:tr>
      <w:tr>
        <w:tc>
          <w:tcPr>
            <w:tcW w:type="dxa" w:w="5040"/>
            <w:vAlign w:val="center"/>
          </w:tcPr>
          <w:p>
            <w:r/>
            <w:r>
              <w:rPr>
                <w:b w:val="0"/>
                <w:sz w:val="16"/>
              </w:rPr>
              <w:t>Engineer / Designer</w:t>
            </w:r>
          </w:p>
        </w:tc>
        <w:tc>
          <w:tcPr>
            <w:tcW w:type="dxa" w:w="5040"/>
            <w:vAlign w:val="center"/>
          </w:tcPr>
          <w:p>
            <w:r/>
            <w:r>
              <w:rPr>
                <w:b w:val="0"/>
                <w:sz w:val="16"/>
              </w:rPr>
              <w:t>Create, configure, simulate and document</w:t>
            </w:r>
          </w:p>
        </w:tc>
      </w:tr>
      <w:tr>
        <w:tc>
          <w:tcPr>
            <w:tcW w:type="dxa" w:w="5040"/>
            <w:vAlign w:val="center"/>
          </w:tcPr>
          <w:p>
            <w:r/>
            <w:r>
              <w:rPr>
                <w:b w:val="0"/>
                <w:sz w:val="16"/>
              </w:rPr>
              <w:t>Technician</w:t>
            </w:r>
          </w:p>
        </w:tc>
        <w:tc>
          <w:tcPr>
            <w:tcW w:type="dxa" w:w="5040"/>
            <w:vAlign w:val="center"/>
          </w:tcPr>
          <w:p>
            <w:r/>
            <w:r>
              <w:rPr>
                <w:b w:val="0"/>
                <w:sz w:val="16"/>
              </w:rPr>
              <w:t>Field editing, inspection, commissioning and telemetry</w:t>
            </w:r>
          </w:p>
        </w:tc>
      </w:tr>
      <w:tr>
        <w:tc>
          <w:tcPr>
            <w:tcW w:type="dxa" w:w="5040"/>
            <w:vAlign w:val="center"/>
          </w:tcPr>
          <w:p>
            <w:r/>
            <w:r>
              <w:rPr>
                <w:b w:val="0"/>
                <w:sz w:val="16"/>
              </w:rPr>
              <w:t>Project Manager</w:t>
            </w:r>
          </w:p>
        </w:tc>
        <w:tc>
          <w:tcPr>
            <w:tcW w:type="dxa" w:w="5040"/>
            <w:vAlign w:val="center"/>
          </w:tcPr>
          <w:p>
            <w:r/>
            <w:r>
              <w:rPr>
                <w:b w:val="0"/>
                <w:sz w:val="16"/>
              </w:rPr>
              <w:t>BOQ, progress, issues, approvals and reporting</w:t>
            </w:r>
          </w:p>
        </w:tc>
      </w:tr>
      <w:tr>
        <w:tc>
          <w:tcPr>
            <w:tcW w:type="dxa" w:w="5040"/>
            <w:vAlign w:val="center"/>
          </w:tcPr>
          <w:p>
            <w:r/>
            <w:r>
              <w:rPr>
                <w:b w:val="0"/>
                <w:sz w:val="16"/>
              </w:rPr>
              <w:t>Operator</w:t>
            </w:r>
          </w:p>
        </w:tc>
        <w:tc>
          <w:tcPr>
            <w:tcW w:type="dxa" w:w="5040"/>
            <w:vAlign w:val="center"/>
          </w:tcPr>
          <w:p>
            <w:r/>
            <w:r>
              <w:rPr>
                <w:b w:val="0"/>
                <w:sz w:val="16"/>
              </w:rPr>
              <w:t>Live telemetry, alarms and digital twin views</w:t>
            </w:r>
          </w:p>
        </w:tc>
      </w:tr>
      <w:tr>
        <w:tc>
          <w:tcPr>
            <w:tcW w:type="dxa" w:w="5040"/>
            <w:vAlign w:val="center"/>
          </w:tcPr>
          <w:p>
            <w:r/>
            <w:r>
              <w:rPr>
                <w:b w:val="0"/>
                <w:sz w:val="16"/>
              </w:rPr>
              <w:t>Educator</w:t>
            </w:r>
          </w:p>
        </w:tc>
        <w:tc>
          <w:tcPr>
            <w:tcW w:type="dxa" w:w="5040"/>
            <w:vAlign w:val="center"/>
          </w:tcPr>
          <w:p>
            <w:r/>
            <w:r>
              <w:rPr>
                <w:b w:val="0"/>
                <w:sz w:val="16"/>
              </w:rPr>
              <w:t>Teaching projects, exercises and simulation scenarios</w:t>
            </w:r>
          </w:p>
        </w:tc>
      </w:tr>
      <w:tr>
        <w:tc>
          <w:tcPr>
            <w:tcW w:type="dxa" w:w="5040"/>
            <w:vAlign w:val="center"/>
          </w:tcPr>
          <w:p>
            <w:r/>
            <w:r>
              <w:rPr>
                <w:b w:val="0"/>
                <w:sz w:val="16"/>
              </w:rPr>
              <w:t>Student</w:t>
            </w:r>
          </w:p>
        </w:tc>
        <w:tc>
          <w:tcPr>
            <w:tcW w:type="dxa" w:w="5040"/>
            <w:vAlign w:val="center"/>
          </w:tcPr>
          <w:p>
            <w:r/>
            <w:r>
              <w:rPr>
                <w:b w:val="0"/>
                <w:sz w:val="16"/>
              </w:rPr>
              <w:t>Restricted design/simulation workspace</w:t>
            </w:r>
          </w:p>
        </w:tc>
      </w:tr>
    </w:tbl>
    <w:p>
      <w:pPr>
        <w:pStyle w:val="Heading1"/>
      </w:pPr>
      <w:r>
        <w:t>27. MVP</w:t>
      </w:r>
    </w:p>
    <w:p>
      <w:pPr>
        <w:spacing w:after="80"/>
      </w:pPr>
      <w:r>
        <w:t>MVP should deliberately establish the platform architecture rather than attempt every domain simultaneously.</w:t>
      </w:r>
    </w:p>
    <w:p>
      <w:pPr>
        <w:pStyle w:val="ListBullet"/>
        <w:spacing w:after="40"/>
      </w:pPr>
      <w:r>
        <w:t>Authentication, organisations and projects.</w:t>
      </w:r>
    </w:p>
    <w:p>
      <w:pPr>
        <w:pStyle w:val="ListBullet"/>
        <w:spacing w:after="40"/>
      </w:pPr>
      <w:r>
        <w:t>Engineering Graph with typed ports and connections.</w:t>
      </w:r>
    </w:p>
    <w:p>
      <w:pPr>
        <w:pStyle w:val="ListBullet"/>
        <w:spacing w:after="40"/>
      </w:pPr>
      <w:r>
        <w:t>High-quality infinite canvas and component library.</w:t>
      </w:r>
    </w:p>
    <w:p>
      <w:pPr>
        <w:pStyle w:val="ListBullet"/>
        <w:spacing w:after="40"/>
      </w:pPr>
      <w:r>
        <w:t>Network domain with IP/VLAN/interface configuration.</w:t>
      </w:r>
    </w:p>
    <w:p>
      <w:pPr>
        <w:pStyle w:val="ListBullet"/>
        <w:spacing w:after="40"/>
      </w:pPr>
      <w:r>
        <w:t>Network validation and basic packet/traffic simulation.</w:t>
      </w:r>
    </w:p>
    <w:p>
      <w:pPr>
        <w:pStyle w:val="ListBullet"/>
        <w:spacing w:after="40"/>
      </w:pPr>
      <w:r>
        <w:t>Electrical basic circuit modelling and DC solver.</w:t>
      </w:r>
    </w:p>
    <w:p>
      <w:pPr>
        <w:pStyle w:val="ListBullet"/>
        <w:spacing w:after="40"/>
      </w:pPr>
      <w:r>
        <w:t>Hydraulic basic pipe/pump network modelling and solver.</w:t>
      </w:r>
    </w:p>
    <w:p>
      <w:pPr>
        <w:pStyle w:val="ListBullet"/>
        <w:spacing w:after="40"/>
      </w:pPr>
      <w:r>
        <w:t>Simulation worker architecture.</w:t>
      </w:r>
    </w:p>
    <w:p>
      <w:pPr>
        <w:pStyle w:val="ListBullet"/>
        <w:spacing w:after="40"/>
      </w:pPr>
      <w:r>
        <w:t>Scenario/fault injection framework.</w:t>
      </w:r>
    </w:p>
    <w:p>
      <w:pPr>
        <w:pStyle w:val="ListBullet"/>
        <w:spacing w:after="40"/>
      </w:pPr>
      <w:r>
        <w:t>BOQ and basic reporting.</w:t>
      </w:r>
    </w:p>
    <w:p>
      <w:pPr>
        <w:pStyle w:val="ListBullet"/>
        <w:spacing w:after="40"/>
      </w:pPr>
      <w:r>
        <w:t>JSON import/export and PDF/SVG/PNG export.</w:t>
      </w:r>
    </w:p>
    <w:p>
      <w:pPr>
        <w:pStyle w:val="ListBullet"/>
        <w:spacing w:after="40"/>
      </w:pPr>
      <w:r>
        <w:t>OmniFlow Copilot foundation.</w:t>
      </w:r>
    </w:p>
    <w:p>
      <w:pPr>
        <w:pStyle w:val="ListBullet"/>
        <w:spacing w:after="40"/>
      </w:pPr>
      <w:r>
        <w:t>Versioning and audit foundation.</w:t>
      </w:r>
    </w:p>
    <w:p>
      <w:pPr>
        <w:pStyle w:val="ListBullet"/>
        <w:spacing w:after="40"/>
      </w:pPr>
      <w:r>
        <w:t>Offline local persistence.</w:t>
      </w:r>
    </w:p>
    <w:p>
      <w:pPr>
        <w:pStyle w:val="Heading1"/>
      </w:pPr>
      <w:r>
        <w:t>28. Release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Phase</w:t>
            </w:r>
          </w:p>
        </w:tc>
        <w:tc>
          <w:tcPr>
            <w:tcW w:type="dxa" w:w="5040"/>
            <w:vAlign w:val="center"/>
            <w:shd w:fill="D9EAF7"/>
          </w:tcPr>
          <w:p>
            <w:r/>
            <w:r>
              <w:rPr>
                <w:b/>
                <w:sz w:val="16"/>
              </w:rPr>
              <w:t>Focus</w:t>
            </w:r>
          </w:p>
        </w:tc>
      </w:tr>
      <w:tr>
        <w:tc>
          <w:tcPr>
            <w:tcW w:type="dxa" w:w="5040"/>
            <w:vAlign w:val="center"/>
          </w:tcPr>
          <w:p>
            <w:r/>
            <w:r>
              <w:rPr>
                <w:b w:val="0"/>
                <w:sz w:val="16"/>
              </w:rPr>
              <w:t>0 — Foundation</w:t>
            </w:r>
          </w:p>
        </w:tc>
        <w:tc>
          <w:tcPr>
            <w:tcW w:type="dxa" w:w="5040"/>
            <w:vAlign w:val="center"/>
          </w:tcPr>
          <w:p>
            <w:r/>
            <w:r>
              <w:rPr>
                <w:b w:val="0"/>
                <w:sz w:val="16"/>
              </w:rPr>
              <w:t>Architecture, graph model, tenancy, canvas framework, component registry, units</w:t>
            </w:r>
          </w:p>
        </w:tc>
      </w:tr>
      <w:tr>
        <w:tc>
          <w:tcPr>
            <w:tcW w:type="dxa" w:w="5040"/>
            <w:vAlign w:val="center"/>
          </w:tcPr>
          <w:p>
            <w:r/>
            <w:r>
              <w:rPr>
                <w:b w:val="0"/>
                <w:sz w:val="16"/>
              </w:rPr>
              <w:t>1 — Core Designer</w:t>
            </w:r>
          </w:p>
        </w:tc>
        <w:tc>
          <w:tcPr>
            <w:tcW w:type="dxa" w:w="5040"/>
            <w:vAlign w:val="center"/>
          </w:tcPr>
          <w:p>
            <w:r/>
            <w:r>
              <w:rPr>
                <w:b w:val="0"/>
                <w:sz w:val="16"/>
              </w:rPr>
              <w:t>Network/electrical/hydraulic authoring, inspectors, connections and validation</w:t>
            </w:r>
          </w:p>
        </w:tc>
      </w:tr>
      <w:tr>
        <w:tc>
          <w:tcPr>
            <w:tcW w:type="dxa" w:w="5040"/>
            <w:vAlign w:val="center"/>
          </w:tcPr>
          <w:p>
            <w:r/>
            <w:r>
              <w:rPr>
                <w:b w:val="0"/>
                <w:sz w:val="16"/>
              </w:rPr>
              <w:t>2 — Simulation</w:t>
            </w:r>
          </w:p>
        </w:tc>
        <w:tc>
          <w:tcPr>
            <w:tcW w:type="dxa" w:w="5040"/>
            <w:vAlign w:val="center"/>
          </w:tcPr>
          <w:p>
            <w:r/>
            <w:r>
              <w:rPr>
                <w:b w:val="0"/>
                <w:sz w:val="16"/>
              </w:rPr>
              <w:t>Domain solvers, workers/WASM, telemetry overlays, scenarios and fault injection</w:t>
            </w:r>
          </w:p>
        </w:tc>
      </w:tr>
      <w:tr>
        <w:tc>
          <w:tcPr>
            <w:tcW w:type="dxa" w:w="5040"/>
            <w:vAlign w:val="center"/>
          </w:tcPr>
          <w:p>
            <w:r/>
            <w:r>
              <w:rPr>
                <w:b w:val="0"/>
                <w:sz w:val="16"/>
              </w:rPr>
              <w:t>3 — Engineering Delivery</w:t>
            </w:r>
          </w:p>
        </w:tc>
        <w:tc>
          <w:tcPr>
            <w:tcW w:type="dxa" w:w="5040"/>
            <w:vAlign w:val="center"/>
          </w:tcPr>
          <w:p>
            <w:r/>
            <w:r>
              <w:rPr>
                <w:b w:val="0"/>
                <w:sz w:val="16"/>
              </w:rPr>
              <w:t>BOQ, costing, schedules, reports, approvals and version comparison</w:t>
            </w:r>
          </w:p>
        </w:tc>
      </w:tr>
      <w:tr>
        <w:tc>
          <w:tcPr>
            <w:tcW w:type="dxa" w:w="5040"/>
            <w:vAlign w:val="center"/>
          </w:tcPr>
          <w:p>
            <w:r/>
            <w:r>
              <w:rPr>
                <w:b w:val="0"/>
                <w:sz w:val="16"/>
              </w:rPr>
              <w:t>4 — Enterprise</w:t>
            </w:r>
          </w:p>
        </w:tc>
        <w:tc>
          <w:tcPr>
            <w:tcW w:type="dxa" w:w="5040"/>
            <w:vAlign w:val="center"/>
          </w:tcPr>
          <w:p>
            <w:r/>
            <w:r>
              <w:rPr>
                <w:b w:val="0"/>
                <w:sz w:val="16"/>
              </w:rPr>
              <w:t>SSO, SCIM, collaboration, governance, private deployment and APIs</w:t>
            </w:r>
          </w:p>
        </w:tc>
      </w:tr>
      <w:tr>
        <w:tc>
          <w:tcPr>
            <w:tcW w:type="dxa" w:w="5040"/>
            <w:vAlign w:val="center"/>
          </w:tcPr>
          <w:p>
            <w:r/>
            <w:r>
              <w:rPr>
                <w:b w:val="0"/>
                <w:sz w:val="16"/>
              </w:rPr>
              <w:t>5 — Energy &amp; Buildings</w:t>
            </w:r>
          </w:p>
        </w:tc>
        <w:tc>
          <w:tcPr>
            <w:tcW w:type="dxa" w:w="5040"/>
            <w:vAlign w:val="center"/>
          </w:tcPr>
          <w:p>
            <w:r/>
            <w:r>
              <w:rPr>
                <w:b w:val="0"/>
                <w:sz w:val="16"/>
              </w:rPr>
              <w:t>Solar, batteries, HVAC, building systems</w:t>
            </w:r>
          </w:p>
        </w:tc>
      </w:tr>
      <w:tr>
        <w:tc>
          <w:tcPr>
            <w:tcW w:type="dxa" w:w="5040"/>
            <w:vAlign w:val="center"/>
          </w:tcPr>
          <w:p>
            <w:r/>
            <w:r>
              <w:rPr>
                <w:b w:val="0"/>
                <w:sz w:val="16"/>
              </w:rPr>
              <w:t>6 — Safety &amp; Security</w:t>
            </w:r>
          </w:p>
        </w:tc>
        <w:tc>
          <w:tcPr>
            <w:tcW w:type="dxa" w:w="5040"/>
            <w:vAlign w:val="center"/>
          </w:tcPr>
          <w:p>
            <w:r/>
            <w:r>
              <w:rPr>
                <w:b w:val="0"/>
                <w:sz w:val="16"/>
              </w:rPr>
              <w:t>Fire/life safety, CCTV, access control, alarms</w:t>
            </w:r>
          </w:p>
        </w:tc>
      </w:tr>
      <w:tr>
        <w:tc>
          <w:tcPr>
            <w:tcW w:type="dxa" w:w="5040"/>
            <w:vAlign w:val="center"/>
          </w:tcPr>
          <w:p>
            <w:r/>
            <w:r>
              <w:rPr>
                <w:b w:val="0"/>
                <w:sz w:val="16"/>
              </w:rPr>
              <w:t>7 — IoT &amp; Industrial</w:t>
            </w:r>
          </w:p>
        </w:tc>
        <w:tc>
          <w:tcPr>
            <w:tcW w:type="dxa" w:w="5040"/>
            <w:vAlign w:val="center"/>
          </w:tcPr>
          <w:p>
            <w:r/>
            <w:r>
              <w:rPr>
                <w:b w:val="0"/>
                <w:sz w:val="16"/>
              </w:rPr>
              <w:t>MQTT, SCADA/OPC-UA/Modbus, industrial process models</w:t>
            </w:r>
          </w:p>
        </w:tc>
      </w:tr>
      <w:tr>
        <w:tc>
          <w:tcPr>
            <w:tcW w:type="dxa" w:w="5040"/>
            <w:vAlign w:val="center"/>
          </w:tcPr>
          <w:p>
            <w:r/>
            <w:r>
              <w:rPr>
                <w:b w:val="0"/>
                <w:sz w:val="16"/>
              </w:rPr>
              <w:t>8 — AI Engineering</w:t>
            </w:r>
          </w:p>
        </w:tc>
        <w:tc>
          <w:tcPr>
            <w:tcW w:type="dxa" w:w="5040"/>
            <w:vAlign w:val="center"/>
          </w:tcPr>
          <w:p>
            <w:r/>
            <w:r>
              <w:rPr>
                <w:b w:val="0"/>
                <w:sz w:val="16"/>
              </w:rPr>
              <w:t>Natural-language design, reconstruction, optimisation, intelligent troubleshooting</w:t>
            </w:r>
          </w:p>
        </w:tc>
      </w:tr>
      <w:tr>
        <w:tc>
          <w:tcPr>
            <w:tcW w:type="dxa" w:w="5040"/>
            <w:vAlign w:val="center"/>
          </w:tcPr>
          <w:p>
            <w:r/>
            <w:r>
              <w:rPr>
                <w:b w:val="0"/>
                <w:sz w:val="16"/>
              </w:rPr>
              <w:t>9 — Digital Twin</w:t>
            </w:r>
          </w:p>
        </w:tc>
        <w:tc>
          <w:tcPr>
            <w:tcW w:type="dxa" w:w="5040"/>
            <w:vAlign w:val="center"/>
          </w:tcPr>
          <w:p>
            <w:r/>
            <w:r>
              <w:rPr>
                <w:b w:val="0"/>
                <w:sz w:val="16"/>
              </w:rPr>
              <w:t>GIS, live telemetry, simulation-vs-real comparison, operational workflows</w:t>
            </w:r>
          </w:p>
        </w:tc>
      </w:tr>
    </w:tbl>
    <w:p>
      <w:pPr>
        <w:pStyle w:val="Heading1"/>
      </w:pPr>
      <w:r>
        <w:t>29. Critical Acceptance Scenario</w:t>
      </w:r>
    </w:p>
    <w:p>
      <w:pPr>
        <w:spacing w:after="80"/>
      </w:pPr>
      <w:r>
        <w:t>A user creates an office facility model, adds ISP, router, firewall, switches, APs, servers and endpoints, then configures IP addressing and VLANs. OmniFlow validates the design, identifies incompatible or overloaded links, simulates traffic, animates packets and queues, injects a core-switch failure, identifies affected services and then restores the system. The user generates a cable schedule, BOQ, design report and revision snapshot.</w:t>
      </w:r>
    </w:p>
    <w:p>
      <w:pPr>
        <w:spacing w:after="80"/>
      </w:pPr>
      <w:r>
        <w:t>Equivalent acceptance scenarios must exist for electrical, hydraulic, HVAC, solar, fire, IoT and industrial domains as each domain reaches production readiness.</w:t>
      </w:r>
    </w:p>
    <w:p>
      <w:pPr>
        <w:pStyle w:val="Heading1"/>
      </w:pPr>
      <w:r>
        <w:t>30. Safety &amp; Professional Use</w:t>
      </w:r>
    </w:p>
    <w:p>
      <w:pPr>
        <w:spacing w:after="80"/>
      </w:pPr>
      <w:r>
        <w:t>OmniFlow must clearly distinguish educational, conceptual and engineering-support simulations from certified calculations or code-compliance determinations. Each solver must expose assumptions, units, boundary conditions, tolerances, source data and limitations. Safety-critical designs require qualified professional review and applicable local codes/standards before construction or operation.</w:t>
      </w:r>
    </w:p>
    <w:p>
      <w:pPr>
        <w:pStyle w:val="Heading1"/>
      </w:pPr>
      <w:r>
        <w:t>31. Definition of Done</w:t>
      </w:r>
    </w:p>
    <w:p>
      <w:pPr>
        <w:pStyle w:val="ListBullet"/>
        <w:spacing w:after="40"/>
      </w:pPr>
      <w:r>
        <w:t>Feature has a documented user story and acceptance criteria.</w:t>
      </w:r>
    </w:p>
    <w:p>
      <w:pPr>
        <w:pStyle w:val="ListBullet"/>
        <w:spacing w:after="40"/>
      </w:pPr>
      <w:r>
        <w:t>Domain schema and graph changes are versioned.</w:t>
      </w:r>
    </w:p>
    <w:p>
      <w:pPr>
        <w:pStyle w:val="ListBullet"/>
        <w:spacing w:after="40"/>
      </w:pPr>
      <w:r>
        <w:t>Validation and error states are understandable to users.</w:t>
      </w:r>
    </w:p>
    <w:p>
      <w:pPr>
        <w:pStyle w:val="ListBullet"/>
        <w:spacing w:after="40"/>
      </w:pPr>
      <w:r>
        <w:t>Automated tests cover critical paths.</w:t>
      </w:r>
    </w:p>
    <w:p>
      <w:pPr>
        <w:pStyle w:val="ListBullet"/>
        <w:spacing w:after="40"/>
      </w:pPr>
      <w:r>
        <w:t>Simulation results are reproducible within documented tolerances.</w:t>
      </w:r>
    </w:p>
    <w:p>
      <w:pPr>
        <w:pStyle w:val="ListBullet"/>
        <w:spacing w:after="40"/>
      </w:pPr>
      <w:r>
        <w:t>Audit/version history records material design changes.</w:t>
      </w:r>
    </w:p>
    <w:p>
      <w:pPr>
        <w:pStyle w:val="ListBullet"/>
        <w:spacing w:after="40"/>
      </w:pPr>
      <w:r>
        <w:t>Performance is benchmarked against the applicable target.</w:t>
      </w:r>
    </w:p>
    <w:p>
      <w:pPr>
        <w:pStyle w:val="ListBullet"/>
        <w:spacing w:after="40"/>
      </w:pPr>
      <w:r>
        <w:t>Security and permission checks are implemented.</w:t>
      </w:r>
    </w:p>
    <w:p>
      <w:pPr>
        <w:pStyle w:val="ListBullet"/>
        <w:spacing w:after="40"/>
      </w:pPr>
      <w:r>
        <w:t>Documentation and migration strategy are complete.</w:t>
      </w:r>
    </w:p>
    <w:p>
      <w:pPr>
        <w:pStyle w:val="ListBullet"/>
        <w:spacing w:after="40"/>
      </w:pPr>
      <w:r>
        <w:t>Enterprise deployment and rollback procedures are documented where applicable.</w:t>
      </w:r>
    </w:p>
    <w:p>
      <w:pPr>
        <w:pStyle w:val="Heading1"/>
      </w:pPr>
      <w:r>
        <w:t>32. Strategic Positioning</w:t>
      </w:r>
    </w:p>
    <w:p>
      <w:pPr>
        <w:spacing w:after="80"/>
      </w:pPr>
      <w:r>
        <w:t>OmniFlow is not simply a diagram editor and not merely a collection of simulators. Its strategic differentiation is the shared Engineering Graph: one structured model can drive visual design, domain calculations, validation, AI reasoning, costing, documentation, collaboration and eventually live digital-twin operations.</w:t>
      </w:r>
    </w:p>
    <w:p>
      <w:r>
        <w:rPr>
          <w:b/>
        </w:rPr>
        <w:t xml:space="preserve">Positioning statement: </w:t>
      </w:r>
      <w:r>
        <w:t>OmniFlow transforms engineering diagrams into intelligent, executable system models.</w:t>
      </w:r>
    </w:p>
    <w:p>
      <w:pPr>
        <w:pStyle w:val="Heading1"/>
      </w:pPr>
      <w:r>
        <w:t>33. Implementation Directive</w:t>
      </w:r>
    </w:p>
    <w:p>
      <w:pPr>
        <w:spacing w:after="80"/>
      </w:pPr>
      <w:r>
        <w:t>Development agents should inspect the existing repository before making architectural changes, preserve working functionality, implement vertical slices, and avoid placeholder-only interfaces. The first implementation milestone should establish the graph schema, domain-engine contract, component registry, canvas foundation, persistence model and one end-to-end design/validate/simulate workflow. Subsequent domains should be added through the same contract rather than bespoke application logic.</w:t>
      </w:r>
    </w:p>
    <w:p>
      <w:pPr>
        <w:pStyle w:val="Heading1"/>
      </w:pPr>
      <w:r>
        <w:t>Appendix A — Canonical Engineering Graph Example</w:t>
      </w:r>
    </w:p>
    <w:p>
      <w:r>
        <w:rPr>
          <w:rFonts w:ascii="Consolas" w:hAnsi="Consolas"/>
          <w:sz w:val="16"/>
        </w:rPr>
        <w:t>EngineeringGraph {</w:t>
        <w:br/>
        <w:t xml:space="preserve">  id,</w:t>
        <w:br/>
        <w:t xml:space="preserve">  projectId,</w:t>
        <w:br/>
        <w:t xml:space="preserve">  domain,</w:t>
        <w:br/>
        <w:t xml:space="preserve">  version,</w:t>
        <w:br/>
        <w:t xml:space="preserve">  nodes: [</w:t>
        <w:br/>
        <w:t xml:space="preserve">    {</w:t>
        <w:br/>
        <w:t xml:space="preserve">      id,</w:t>
        <w:br/>
        <w:t xml:space="preserve">      type,</w:t>
        <w:br/>
        <w:t xml:space="preserve">      domain,</w:t>
        <w:br/>
        <w:t xml:space="preserve">      position,</w:t>
        <w:br/>
        <w:t xml:space="preserve">      properties,</w:t>
        <w:br/>
        <w:t xml:space="preserve">      ports,</w:t>
        <w:br/>
        <w:t xml:space="preserve">      validationRules,</w:t>
        <w:br/>
        <w:t xml:space="preserve">      simulationModel,</w:t>
        <w:br/>
        <w:t xml:space="preserve">      telemetryBindings</w:t>
        <w:br/>
        <w:t xml:space="preserve">    }</w:t>
        <w:br/>
        <w:t xml:space="preserve">  ],</w:t>
        <w:br/>
        <w:t xml:space="preserve">  connections: [</w:t>
        <w:br/>
        <w:t xml:space="preserve">    {</w:t>
        <w:br/>
        <w:t xml:space="preserve">      id,</w:t>
        <w:br/>
        <w:t xml:space="preserve">      sourceNodeId,</w:t>
        <w:br/>
        <w:t xml:space="preserve">      sourcePortId,</w:t>
        <w:br/>
        <w:t xml:space="preserve">      targetNodeId,</w:t>
        <w:br/>
        <w:t xml:space="preserve">      targetPortId,</w:t>
        <w:br/>
        <w:t xml:space="preserve">      medium,</w:t>
        <w:br/>
        <w:t xml:space="preserve">      geometry,</w:t>
        <w:br/>
        <w:t xml:space="preserve">      properties,</w:t>
        <w:br/>
        <w:t xml:space="preserve">      simulationProperties</w:t>
        <w:br/>
        <w:t xml:space="preserve">    }</w:t>
        <w:br/>
        <w:t xml:space="preserve">  ],</w:t>
        <w:br/>
        <w:t xml:space="preserve">  scenarios: [],</w:t>
        <w:br/>
        <w:t xml:space="preserve">  constraints: [],</w:t>
        <w:br/>
        <w:t xml:space="preserve">  metadata: {}</w:t>
        <w:br/>
        <w:t>}</w:t>
      </w:r>
    </w:p>
    <w:p>
      <w:pPr>
        <w:pStyle w:val="Heading1"/>
      </w:pPr>
      <w:r>
        <w:t>Appendix B — Example Domain Plug-in Contract</w:t>
      </w:r>
    </w:p>
    <w:p>
      <w:pPr>
        <w:spacing w:after="80"/>
      </w:pPr>
      <w:r>
        <w:t>A domain plug-in should register component types, ports, units, validation rules, simulation models, scenario handlers, renderers, import/export adapters and report generators. The platform core must remain independent of domain-specific equations so that additional domains can be added without rewriting the canvas, persistence, collaboration, AI or enterprise layers.</w:t>
      </w:r>
    </w:p>
    <w:p>
      <w:pPr>
        <w:pStyle w:val="Heading1"/>
      </w:pPr>
      <w:r>
        <w:t>Appendix C — Suggested Product Family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Product / Module</w:t>
            </w:r>
          </w:p>
        </w:tc>
        <w:tc>
          <w:tcPr>
            <w:tcW w:type="dxa" w:w="5040"/>
            <w:vAlign w:val="center"/>
            <w:shd w:fill="D9EAF7"/>
          </w:tcPr>
          <w:p>
            <w:r/>
            <w:r>
              <w:rPr>
                <w:b/>
                <w:sz w:val="16"/>
              </w:rPr>
              <w:t>Purpose</w:t>
            </w:r>
          </w:p>
        </w:tc>
      </w:tr>
      <w:tr>
        <w:tc>
          <w:tcPr>
            <w:tcW w:type="dxa" w:w="5040"/>
            <w:vAlign w:val="center"/>
          </w:tcPr>
          <w:p>
            <w:r/>
            <w:r>
              <w:rPr>
                <w:b w:val="0"/>
                <w:sz w:val="16"/>
              </w:rPr>
              <w:t>OmniFlow Studio</w:t>
            </w:r>
          </w:p>
        </w:tc>
        <w:tc>
          <w:tcPr>
            <w:tcW w:type="dxa" w:w="5040"/>
            <w:vAlign w:val="center"/>
          </w:tcPr>
          <w:p>
            <w:r/>
            <w:r>
              <w:rPr>
                <w:b w:val="0"/>
                <w:sz w:val="16"/>
              </w:rPr>
              <w:t>Visual engineering design and modelling workspace</w:t>
            </w:r>
          </w:p>
        </w:tc>
      </w:tr>
      <w:tr>
        <w:tc>
          <w:tcPr>
            <w:tcW w:type="dxa" w:w="5040"/>
            <w:vAlign w:val="center"/>
          </w:tcPr>
          <w:p>
            <w:r/>
            <w:r>
              <w:rPr>
                <w:b w:val="0"/>
                <w:sz w:val="16"/>
              </w:rPr>
              <w:t>OmniFlow Sim</w:t>
            </w:r>
          </w:p>
        </w:tc>
        <w:tc>
          <w:tcPr>
            <w:tcW w:type="dxa" w:w="5040"/>
            <w:vAlign w:val="center"/>
          </w:tcPr>
          <w:p>
            <w:r/>
            <w:r>
              <w:rPr>
                <w:b w:val="0"/>
                <w:sz w:val="16"/>
              </w:rPr>
              <w:t>Simulation and scenario engine</w:t>
            </w:r>
          </w:p>
        </w:tc>
      </w:tr>
      <w:tr>
        <w:tc>
          <w:tcPr>
            <w:tcW w:type="dxa" w:w="5040"/>
            <w:vAlign w:val="center"/>
          </w:tcPr>
          <w:p>
            <w:r/>
            <w:r>
              <w:rPr>
                <w:b w:val="0"/>
                <w:sz w:val="16"/>
              </w:rPr>
              <w:t>OmniFlow Copilot</w:t>
            </w:r>
          </w:p>
        </w:tc>
        <w:tc>
          <w:tcPr>
            <w:tcW w:type="dxa" w:w="5040"/>
            <w:vAlign w:val="center"/>
          </w:tcPr>
          <w:p>
            <w:r/>
            <w:r>
              <w:rPr>
                <w:b w:val="0"/>
                <w:sz w:val="16"/>
              </w:rPr>
              <w:t>AI engineering assistant</w:t>
            </w:r>
          </w:p>
        </w:tc>
      </w:tr>
      <w:tr>
        <w:tc>
          <w:tcPr>
            <w:tcW w:type="dxa" w:w="5040"/>
            <w:vAlign w:val="center"/>
          </w:tcPr>
          <w:p>
            <w:r/>
            <w:r>
              <w:rPr>
                <w:b w:val="0"/>
                <w:sz w:val="16"/>
              </w:rPr>
              <w:t>OmniFlow Twin</w:t>
            </w:r>
          </w:p>
        </w:tc>
        <w:tc>
          <w:tcPr>
            <w:tcW w:type="dxa" w:w="5040"/>
            <w:vAlign w:val="center"/>
          </w:tcPr>
          <w:p>
            <w:r/>
            <w:r>
              <w:rPr>
                <w:b w:val="0"/>
                <w:sz w:val="16"/>
              </w:rPr>
              <w:t>Live digital-twin and telemetry workspace</w:t>
            </w:r>
          </w:p>
        </w:tc>
      </w:tr>
      <w:tr>
        <w:tc>
          <w:tcPr>
            <w:tcW w:type="dxa" w:w="5040"/>
            <w:vAlign w:val="center"/>
          </w:tcPr>
          <w:p>
            <w:r/>
            <w:r>
              <w:rPr>
                <w:b w:val="0"/>
                <w:sz w:val="16"/>
              </w:rPr>
              <w:t>OmniFlow Enterprise</w:t>
            </w:r>
          </w:p>
        </w:tc>
        <w:tc>
          <w:tcPr>
            <w:tcW w:type="dxa" w:w="5040"/>
            <w:vAlign w:val="center"/>
          </w:tcPr>
          <w:p>
            <w:r/>
            <w:r>
              <w:rPr>
                <w:b w:val="0"/>
                <w:sz w:val="16"/>
              </w:rPr>
              <w:t>Governance, SSO, collaboration, private deployment and administration</w:t>
            </w:r>
          </w:p>
        </w:tc>
      </w:tr>
      <w:tr>
        <w:tc>
          <w:tcPr>
            <w:tcW w:type="dxa" w:w="5040"/>
            <w:vAlign w:val="center"/>
          </w:tcPr>
          <w:p>
            <w:r/>
            <w:r>
              <w:rPr>
                <w:b w:val="0"/>
                <w:sz w:val="16"/>
              </w:rPr>
              <w:t>OmniFlow Academy</w:t>
            </w:r>
          </w:p>
        </w:tc>
        <w:tc>
          <w:tcPr>
            <w:tcW w:type="dxa" w:w="5040"/>
            <w:vAlign w:val="center"/>
          </w:tcPr>
          <w:p>
            <w:r/>
            <w:r>
              <w:rPr>
                <w:b w:val="0"/>
                <w:sz w:val="16"/>
              </w:rPr>
              <w:t>Education, tutorials, exercises and training environments</w:t>
            </w:r>
          </w:p>
        </w:tc>
      </w:tr>
    </w:tbl>
    <w:p>
      <w:pPr>
        <w:pStyle w:val="Heading1"/>
      </w:pPr>
      <w:r>
        <w:t>References &amp; Engineering Basis</w:t>
      </w:r>
    </w:p>
    <w:p>
      <w:pPr>
        <w:pStyle w:val="ListBullet"/>
        <w:spacing w:after="40"/>
      </w:pPr>
      <w:r>
        <w:t>Kirchhoff's circuit laws and Modified Nodal Analysis for supported electrical circuit solving.</w:t>
      </w:r>
    </w:p>
    <w:p>
      <w:pPr>
        <w:pStyle w:val="ListBullet"/>
        <w:spacing w:after="40"/>
      </w:pPr>
      <w:r>
        <w:t>Darcy-Weisbach and continuity relationships for supported hydraulic calculations.</w:t>
      </w:r>
    </w:p>
    <w:p>
      <w:pPr>
        <w:pStyle w:val="ListBullet"/>
        <w:spacing w:after="40"/>
      </w:pPr>
      <w:r>
        <w:t>Standard packet transmission/propagation delay concepts for network simulation.</w:t>
      </w:r>
    </w:p>
    <w:p>
      <w:pPr>
        <w:pStyle w:val="ListBullet"/>
        <w:spacing w:after="40"/>
      </w:pPr>
      <w:r>
        <w:t>HVAC airflow, pressure-loss and thermal-load modelling principles.</w:t>
      </w:r>
    </w:p>
    <w:p>
      <w:pPr>
        <w:pStyle w:val="ListBullet"/>
        <w:spacing w:after="40"/>
      </w:pPr>
      <w:r>
        <w:t>PV generation, inverter, battery state-of-charge and energy-balance modelling principles.</w:t>
      </w:r>
    </w:p>
    <w:p>
      <w:pPr>
        <w:pStyle w:val="ListBullet"/>
        <w:spacing w:after="40"/>
      </w:pPr>
      <w:r>
        <w:t>Domain-specific fire, life-safety, industrial and building standards should be implemented as configurable rule sets and verified by qualified domain experts.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OmniFlow — Confidential Product &amp; Engineering Specification  |  Version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OMNIFLOW  |  Enterprise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 w:type="paragraph" w:customStyle="1" w:styleId="Callout">
    <w:name w:val="Callout"/>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