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21637"/>
          <w:sz w:val="24"/>
        </w:rPr>
        <w:t>PNG NISIT HR PORTAL</w:t>
      </w:r>
    </w:p>
    <w:p>
      <w:pPr>
        <w:jc w:val="center"/>
      </w:pPr>
      <w:r>
        <w:rPr>
          <w:b/>
          <w:color w:val="0F2A4D"/>
          <w:sz w:val="52"/>
        </w:rPr>
        <w:t>Staff User Guide</w:t>
      </w:r>
    </w:p>
    <w:p>
      <w:pPr>
        <w:jc w:val="center"/>
      </w:pPr>
      <w:r>
        <w:rPr>
          <w:i/>
          <w:color w:val="5B636E"/>
          <w:sz w:val="24"/>
        </w:rPr>
        <w:t>Employee self-service, approvals and workforce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color w:val="0F2A4D"/>
              </w:rPr>
              <w:t xml:space="preserve">Read this first  </w:t>
            </w:r>
            <w:r>
              <w:t>This is a practical task guide. Complete one step at a time. Names of buttons and menus match the portal. Screenshots in this edition are clean examples only; they do not show error messages.</w:t>
            </w:r>
          </w:p>
        </w:tc>
      </w:tr>
    </w:tbl>
    <w:p>
      <w:pPr>
        <w:pStyle w:val="Heading1"/>
      </w:pPr>
      <w:r>
        <w:t>Guide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  <w:vAlign w:val="center"/>
          </w:tcPr>
          <w:p>
            <w:r>
              <w:t>Routine task</w:t>
            </w:r>
          </w:p>
        </w:tc>
        <w:tc>
          <w:tcPr>
            <w:tcW w:type="dxa" w:w="4968"/>
            <w:shd w:fill="DCE9F7"/>
            <w:vAlign w:val="center"/>
          </w:tcPr>
          <w:p>
            <w:r>
              <w:t>Module</w:t>
            </w:r>
          </w:p>
        </w:tc>
      </w:tr>
      <w:tr>
        <w:tc>
          <w:tcPr>
            <w:tcW w:type="dxa" w:w="4968"/>
            <w:vAlign w:val="center"/>
          </w:tcPr>
          <w:p>
            <w:r>
              <w:t>Update personal account / notification preferences</w:t>
            </w:r>
          </w:p>
        </w:tc>
        <w:tc>
          <w:tcPr>
            <w:tcW w:type="dxa" w:w="4968"/>
            <w:vAlign w:val="center"/>
          </w:tcPr>
          <w:p>
            <w:r>
              <w:t>My Account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Apply for leave or review leave</w:t>
            </w:r>
          </w:p>
        </w:tc>
        <w:tc>
          <w:tcPr>
            <w:tcW w:type="dxa" w:w="4968"/>
            <w:vAlign w:val="center"/>
          </w:tcPr>
          <w:p>
            <w:r>
              <w:t>Leave &amp; Absence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Clock attendance</w:t>
            </w:r>
          </w:p>
        </w:tc>
        <w:tc>
          <w:tcPr>
            <w:tcW w:type="dxa" w:w="4968"/>
            <w:vAlign w:val="center"/>
          </w:tcPr>
          <w:p>
            <w:r>
              <w:t>Attendance Clock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Access authorised records</w:t>
            </w:r>
          </w:p>
        </w:tc>
        <w:tc>
          <w:tcPr>
            <w:tcW w:type="dxa" w:w="4968"/>
            <w:vAlign w:val="center"/>
          </w:tcPr>
          <w:p>
            <w:r>
              <w:t>Document Vault / HR Letters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Manage people and contracts (per role)</w:t>
            </w:r>
          </w:p>
        </w:tc>
        <w:tc>
          <w:tcPr>
            <w:tcW w:type="dxa" w:w="4968"/>
            <w:vAlign w:val="center"/>
          </w:tcPr>
          <w:p>
            <w:r>
              <w:t>Employees / Contracts / Onboarding / Offboarding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recruitment</w:t>
            </w:r>
          </w:p>
        </w:tc>
        <w:tc>
          <w:tcPr>
            <w:tcW w:type="dxa" w:w="4968"/>
            <w:vAlign w:val="center"/>
          </w:tcPr>
          <w:p>
            <w:r>
              <w:t>Job Vacancies / Applications / Recruitment Workflow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Export information</w:t>
            </w:r>
          </w:p>
        </w:tc>
        <w:tc>
          <w:tcPr>
            <w:tcW w:type="dxa" w:w="4968"/>
            <w:vAlign w:val="center"/>
          </w:tcPr>
          <w:p>
            <w:r>
              <w:t>Any portal table with Export</w:t>
            </w:r>
          </w:p>
        </w:tc>
      </w:tr>
    </w:tbl>
    <w:p>
      <w:pPr>
        <w:pStyle w:val="Heading1"/>
      </w:pPr>
      <w:r>
        <w:t>1. Start each day</w:t>
      </w:r>
    </w:p>
    <w:p>
      <w:pPr>
        <w:pStyle w:val="ListNumber"/>
      </w:pPr>
      <w:r>
        <w:t>Sign in with your staff account.</w:t>
      </w:r>
    </w:p>
    <w:p>
      <w:pPr>
        <w:pStyle w:val="ListNumber"/>
      </w:pPr>
      <w:r>
        <w:t>Check the welcome panel for your full name, email, date and live time.</w:t>
      </w:r>
    </w:p>
    <w:p>
      <w:pPr>
        <w:pStyle w:val="ListNumber"/>
      </w:pPr>
      <w:r>
        <w:t>Open the notification bell and clear or act on urgent items.</w:t>
      </w:r>
    </w:p>
    <w:p>
      <w:pPr>
        <w:pStyle w:val="ListNumber"/>
      </w:pPr>
      <w:r>
        <w:t>Use the grouped navigation menu; expand only the area you need.</w:t>
      </w:r>
    </w:p>
    <w:p>
      <w:pPr>
        <w:pStyle w:val="ListNumber"/>
      </w:pPr>
      <w:r>
        <w:t>Select My Account to verify your contact details and profile settings.</w:t>
      </w:r>
    </w:p>
    <w:p>
      <w:pPr>
        <w:pStyle w:val="Heading1"/>
      </w:pPr>
      <w:r>
        <w:t>2. Use tables correctly</w:t>
      </w:r>
    </w:p>
    <w:p>
      <w:pPr>
        <w:spacing w:after="160"/>
      </w:pPr>
      <w:r>
        <w:t>The portal uses the same table controls in operational modules. They help you find records without losing your current view.</w:t>
      </w:r>
    </w:p>
    <w:p>
      <w:pPr>
        <w:pStyle w:val="ListNumber"/>
      </w:pPr>
      <w:r>
        <w:t>Use Search for a quick keyword search.</w:t>
      </w:r>
    </w:p>
    <w:p>
      <w:pPr>
        <w:pStyle w:val="ListNumber"/>
      </w:pPr>
      <w:r>
        <w:t>Select Filters for a field-specific search, then Clear filters when done.</w:t>
      </w:r>
    </w:p>
    <w:p>
      <w:pPr>
        <w:pStyle w:val="ListNumber"/>
      </w:pPr>
      <w:r>
        <w:t>Select a column heading to sort ascending; select again to reverse it.</w:t>
      </w:r>
    </w:p>
    <w:p>
      <w:pPr>
        <w:pStyle w:val="ListNumber"/>
      </w:pPr>
      <w:r>
        <w:t>Select Columns to hide, show or reset columns. Resize a column by dragging its right edge.</w:t>
      </w:r>
    </w:p>
    <w:p>
      <w:pPr>
        <w:pStyle w:val="ListNumber"/>
      </w:pPr>
      <w:r>
        <w:t>Use the checkbox column to select records. Use Actions only when your role permits the chosen action.</w:t>
      </w:r>
    </w:p>
    <w:p>
      <w:pPr>
        <w:pStyle w:val="ListNumber"/>
      </w:pPr>
      <w:r>
        <w:t>Use Export to download CSV, TSV or JSON. Export only data you are authorised to handle.</w:t>
      </w:r>
    </w:p>
    <w:p>
      <w:pPr>
        <w:pStyle w:val="ListNumber"/>
      </w:pPr>
      <w:r>
        <w:t>Use Rows per page, the page box and navigation arrows for long lists.</w:t>
      </w:r>
    </w:p>
    <w:p>
      <w:pPr>
        <w:pStyle w:val="Heading1"/>
      </w:pPr>
      <w:r>
        <w:t>3. Employee self-service</w:t>
      </w:r>
    </w:p>
    <w:p>
      <w:pPr>
        <w:pStyle w:val="Heading2"/>
      </w:pPr>
      <w:r>
        <w:t>Leave and absence</w:t>
      </w:r>
    </w:p>
    <w:p>
      <w:pPr>
        <w:pStyle w:val="ListNumber"/>
      </w:pPr>
      <w:r>
        <w:t>Open Leave &amp; Absence.</w:t>
      </w:r>
    </w:p>
    <w:p>
      <w:pPr>
        <w:pStyle w:val="ListNumber"/>
      </w:pPr>
      <w:r>
        <w:t>Select Apply for Leave.</w:t>
      </w:r>
    </w:p>
    <w:p>
      <w:pPr>
        <w:pStyle w:val="ListNumber"/>
      </w:pPr>
      <w:r>
        <w:t>Choose the correct leave category.</w:t>
      </w:r>
    </w:p>
    <w:p>
      <w:pPr>
        <w:pStyle w:val="ListNumber"/>
      </w:pPr>
      <w:r>
        <w:t>Enter a start date and an end date. The end date cannot be before the start date.</w:t>
      </w:r>
    </w:p>
    <w:p>
      <w:pPr>
        <w:pStyle w:val="ListNumber"/>
      </w:pPr>
      <w:r>
        <w:t>Enter a concise reason and handover details.</w:t>
      </w:r>
    </w:p>
    <w:p>
      <w:pPr>
        <w:pStyle w:val="ListNumber"/>
      </w:pPr>
      <w:r>
        <w:t>Select Submit Application, then monitor the status until it is approved, returned or rejected.</w:t>
      </w:r>
    </w:p>
    <w:p>
      <w:pPr>
        <w:pStyle w:val="Heading2"/>
      </w:pPr>
      <w:r>
        <w:t>Attendance, documents and letters</w:t>
      </w:r>
    </w:p>
    <w:p>
      <w:pPr>
        <w:pStyle w:val="ListBullet"/>
      </w:pPr>
      <w:r>
        <w:t>Use Attendance Clock only for your own work time unless you have a specific authorised role.</w:t>
      </w:r>
    </w:p>
    <w:p>
      <w:pPr>
        <w:pStyle w:val="ListBullet"/>
      </w:pPr>
      <w:r>
        <w:t>Use Document Vault to view documents you are allowed to access. Use View Document in the portal rather than relying on broken external links.</w:t>
      </w:r>
    </w:p>
    <w:p>
      <w:pPr>
        <w:pStyle w:val="ListBullet"/>
      </w:pPr>
      <w:r>
        <w:t>Use HR Letters for available letters. Keep downloaded files secure.</w:t>
      </w:r>
    </w:p>
    <w:p>
      <w:pPr>
        <w:pStyle w:val="Heading1"/>
      </w:pPr>
      <w:r>
        <w:t>4. Supervisor, HR and manager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  <w:vAlign w:val="center"/>
          </w:tcPr>
          <w:p>
            <w:r>
              <w:t>Workflow</w:t>
            </w:r>
          </w:p>
        </w:tc>
        <w:tc>
          <w:tcPr>
            <w:tcW w:type="dxa" w:w="4968"/>
            <w:shd w:fill="DCE9F7"/>
            <w:vAlign w:val="center"/>
          </w:tcPr>
          <w:p>
            <w:r>
              <w:t>Minimum safe sequence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Recruitment</w:t>
            </w:r>
          </w:p>
        </w:tc>
        <w:tc>
          <w:tcPr>
            <w:tcW w:type="dxa" w:w="4968"/>
            <w:vAlign w:val="center"/>
          </w:tcPr>
          <w:p>
            <w:r>
              <w:t>Create/publish vacancy; review applications; record assessment/interview outcomes; move candidates only through valid stages; keep notes factual.</w:t>
            </w:r>
          </w:p>
        </w:tc>
      </w:tr>
      <w:tr>
        <w:tc>
          <w:tcPr>
            <w:tcW w:type="dxa" w:w="4968"/>
            <w:vAlign w:val="center"/>
          </w:tcPr>
          <w:p>
            <w:r>
              <w:t>Employee records</w:t>
            </w:r>
          </w:p>
        </w:tc>
        <w:tc>
          <w:tcPr>
            <w:tcW w:type="dxa" w:w="4968"/>
            <w:vAlign w:val="center"/>
          </w:tcPr>
          <w:p>
            <w:r>
              <w:t>Verify identity and contact details; use an employable date of birth; set department, position, supervisor, appointment date and status correctly.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Onboarding</w:t>
            </w:r>
          </w:p>
        </w:tc>
        <w:tc>
          <w:tcPr>
            <w:tcW w:type="dxa" w:w="4968"/>
            <w:vAlign w:val="center"/>
          </w:tcPr>
          <w:p>
            <w:r>
              <w:t>Create workflow; assign owners and dates; complete tasks and upload required evidence; monitor outstanding items.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Contracts</w:t>
            </w:r>
          </w:p>
        </w:tc>
        <w:tc>
          <w:tcPr>
            <w:tcW w:type="dxa" w:w="4968"/>
            <w:vAlign w:val="center"/>
          </w:tcPr>
          <w:p>
            <w:r>
              <w:t>Use dates only for time-bound contracts; record renewals before expiry; upload or replace signed versions through the portal.</w:t>
            </w:r>
          </w:p>
        </w:tc>
      </w:tr>
      <w:tr>
        <w:tc>
          <w:tcPr>
            <w:tcW w:type="dxa" w:w="4968"/>
            <w:vAlign w:val="center"/>
          </w:tcPr>
          <w:p>
            <w:r>
              <w:t>Offboarding</w:t>
            </w:r>
          </w:p>
        </w:tc>
        <w:tc>
          <w:tcPr>
            <w:tcW w:type="dxa" w:w="4968"/>
            <w:vAlign w:val="center"/>
          </w:tcPr>
          <w:p>
            <w:r>
              <w:t>Initiate separation; assign clearance tasks; complete assets, access, final pay and records steps before closure.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Approvals</w:t>
            </w:r>
          </w:p>
        </w:tc>
        <w:tc>
          <w:tcPr>
            <w:tcW w:type="dxa" w:w="4968"/>
            <w:vAlign w:val="center"/>
          </w:tcPr>
          <w:p>
            <w:r>
              <w:t>Review the request, documents and dates; approve, return or reject with a clear comment; honour approved delegation periods.</w:t>
            </w:r>
          </w:p>
        </w:tc>
      </w:tr>
    </w:tbl>
    <w:p>
      <w:pPr>
        <w:pStyle w:val="Heading1"/>
      </w:pPr>
      <w:r>
        <w:t>5. Organisation, dashboard and reports</w:t>
      </w:r>
    </w:p>
    <w:p>
      <w:pPr>
        <w:pStyle w:val="ListNumber"/>
      </w:pPr>
      <w:r>
        <w:t>Open Dashboard and select a card/chart to drill into the underlying records.</w:t>
      </w:r>
    </w:p>
    <w:p>
      <w:pPr>
        <w:pStyle w:val="ListNumber"/>
      </w:pPr>
      <w:r>
        <w:t>Open Org Hierarchy to view filled and vacant positions. Use the filters before interpreting headcount.</w:t>
      </w:r>
    </w:p>
    <w:p>
      <w:pPr>
        <w:pStyle w:val="ListNumber"/>
      </w:pPr>
      <w:r>
        <w:t>Open Standard Reports; choose the report, apply appropriate dates and filters, then export or print.</w:t>
      </w:r>
    </w:p>
    <w:p>
      <w:pPr>
        <w:pStyle w:val="ListNumber"/>
      </w:pPr>
      <w:r>
        <w:t>Do not treat empty or non-applicable dates as a renewal/expiry. Confirm whether the record is a time-bound contract first.</w:t>
      </w:r>
    </w:p>
    <w:p>
      <w:r>
        <w:drawing>
          <wp:inline xmlns:a="http://schemas.openxmlformats.org/drawingml/2006/main" xmlns:pic="http://schemas.openxmlformats.org/drawingml/2006/picture">
            <wp:extent cx="5852160" cy="3960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5ac8661-744a-48bd-af27-e922b7be51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6E"/>
          <w:sz w:val="18"/>
        </w:rPr>
        <w:t>Figure: Organisation hierarchy with filled/vacant cards and filters.</w:t>
      </w:r>
    </w:p>
    <w:p>
      <w:pPr>
        <w:pStyle w:val="Heading1"/>
      </w:pPr>
      <w:r>
        <w:t>6. Data protection and error handling</w:t>
      </w:r>
    </w:p>
    <w:p>
      <w:pPr>
        <w:pStyle w:val="ListBullet"/>
      </w:pPr>
      <w:r>
        <w:t>Only access records that your role allows.</w:t>
      </w:r>
    </w:p>
    <w:p>
      <w:pPr>
        <w:pStyle w:val="ListBullet"/>
      </w:pPr>
      <w:r>
        <w:t>Use accurate, real dates. Do not use placeholder dates for birth, appointment, renewal or separation fields.</w:t>
      </w:r>
    </w:p>
    <w:p>
      <w:pPr>
        <w:pStyle w:val="ListBullet"/>
      </w:pPr>
      <w:r>
        <w:t>Do not email exports or personal documents to unauthorised recipients.</w:t>
      </w:r>
    </w:p>
    <w:p>
      <w:pPr>
        <w:pStyle w:val="ListBullet"/>
      </w:pPr>
      <w:r>
        <w:t>Read error messages before retrying. Save your work or take a screenshot before refreshing.</w:t>
      </w:r>
    </w:p>
    <w:p>
      <w:pPr>
        <w:pStyle w:val="ListBullet"/>
      </w:pPr>
      <w:r>
        <w:t>Report a fault with the module name, record reference, time, steps taken and a screenshot.</w:t>
      </w:r>
    </w:p>
    <w:p>
      <w:pPr>
        <w:pStyle w:val="Heading1"/>
      </w:pPr>
      <w:r>
        <w:t>7. End-of-task checklist</w:t>
      </w:r>
    </w:p>
    <w:p>
      <w:pPr>
        <w:pStyle w:val="ListBullet"/>
      </w:pPr>
      <w:r>
        <w:t>The record status is correct.</w:t>
      </w:r>
    </w:p>
    <w:p>
      <w:pPr>
        <w:pStyle w:val="ListBullet"/>
      </w:pPr>
      <w:r>
        <w:t>All applicable dates are logical and complete.</w:t>
      </w:r>
    </w:p>
    <w:p>
      <w:pPr>
        <w:pStyle w:val="ListBullet"/>
      </w:pPr>
      <w:r>
        <w:t>Required evidence/document uploads show as complete.</w:t>
      </w:r>
    </w:p>
    <w:p>
      <w:pPr>
        <w:pStyle w:val="ListBullet"/>
      </w:pPr>
      <w:r>
        <w:t>Any approval comment is clear and professional.</w:t>
      </w:r>
    </w:p>
    <w:p>
      <w:pPr>
        <w:pStyle w:val="ListBullet"/>
      </w:pPr>
      <w:r>
        <w:t>Sensitive information is not left open on a shared computer.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36E"/>
        <w:sz w:val="16"/>
      </w:rPr>
      <w:t>PNG NISIT HR Portal | Staff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0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216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