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24B09B66">
      <w:pPr>
        <w:spacing w:before="720" w:after="240"/>
      </w:pPr>
    </w:p>
    <w:p w14:paraId="36CC87EB">
      <w:pPr>
        <w:spacing w:after="120"/>
      </w:pPr>
      <w:r>
        <w:rPr>
          <w:rFonts w:ascii="Calibri" w:hAnsi="Calibri" w:eastAsia="ＭＳ 明朝" w:cs="Calibri" w:eastAsiaTheme="minorEastAsia" w:csTheme="minorBidi"/>
          <w:b/>
          <w:bCs/>
          <w:color w:val="2563EB"/>
          <w:sz w:val="19"/>
          <w:szCs w:val="22"/>
        </w:rPr>
        <w:t>VAXPLAN PLATFORM • GLOBAL HEALTH INITIATIVE</w:t>
      </w:r>
    </w:p>
    <w:p w14:paraId="64794AEB">
      <w:pPr>
        <w:spacing w:after="200" w:line="264" w:lineRule="auto"/>
      </w:pPr>
      <w:r>
        <w:rPr>
          <w:rFonts w:ascii="Calibri" w:hAnsi="Calibri" w:eastAsia="ＭＳ 明朝" w:cs="Calibri" w:eastAsiaTheme="minorEastAsia" w:csTheme="minorBidi"/>
          <w:b/>
          <w:bCs/>
          <w:color w:val="0F172A"/>
          <w:sz w:val="52"/>
          <w:szCs w:val="22"/>
        </w:rPr>
        <w:t>VaxPlan: Enterprise Business Case &amp; Stakeholder Investment Prospectus</w:t>
      </w:r>
    </w:p>
    <w:p w14:paraId="680EF174">
      <w:pPr>
        <w:spacing w:after="480"/>
      </w:pPr>
      <w:r>
        <w:rPr>
          <w:rFonts w:ascii="Calibri" w:hAnsi="Calibri" w:eastAsia="ＭＳ 明朝" w:cs="Calibri" w:eastAsiaTheme="minorEastAsia" w:csTheme="minorBidi"/>
          <w:color w:val="64748B"/>
          <w:sz w:val="25"/>
          <w:szCs w:val="22"/>
        </w:rPr>
        <w:t>Digital GIS Microplanning, Dual-Source Populations &amp; WHO RED-Aligned Operational Excellence for Universal Immunization</w:t>
      </w:r>
    </w:p>
    <w:p w14:paraId="62BCE7DC">
      <w:pPr>
        <w:spacing w:after="560"/>
      </w:pPr>
      <w:r>
        <w:rPr>
          <w:rFonts w:ascii="Cambria" w:hAnsi="Cambria" w:eastAsia="ＭＳ 明朝" w:cs="Cambria" w:asciiTheme="minorHAnsi" w:hAnsiTheme="minorHAnsi" w:eastAsiaTheme="minorEastAsia" w:csTheme="minorBidi"/>
          <w:b/>
          <w:bCs/>
          <w:color w:val="2563EB"/>
          <w:sz w:val="22"/>
          <w:szCs w:val="22"/>
        </w:rPr>
        <w:t>――――――――――――――――――――――――――――――――――――――――――</w:t>
      </w:r>
    </w:p>
    <w:tbl>
      <w:tblPr>
        <w:tblW w:w="0" w:type="auto"/>
        <w:jc w:val="center"/>
        <w:tblBorders>
          <w:top w:val="single" w:sz="4" w:space="0" w:color="CBD5E1"/>
          <w:left w:val="none"/>
          <w:bottom w:val="single" w:sz="4" w:space="0" w:color="CBD5E1"/>
          <w:right w:val="none"/>
          <w:insideH w:val="single" w:sz="4" w:space="0" w:color="CBD5E1"/>
          <w:insideV w:val="none"/>
        </w:tblBorders>
        <w:tblLayout w:type="fixed"/>
        <w:tblCellMar>
          <w:top w:w="0" w:type="dxa"/>
          <w:left w:w="108" w:type="dxa"/>
          <w:bottom w:w="0" w:type="dxa"/>
          <w:right w:w="108" w:type="dxa"/>
        </w:tblCellMar>
        <w:tblLook w:firstRow="1" w:firstColumn="1" w:noVBand="1"/>
      </w:tblPr>
      <w:tblGrid>
        <w:gridCol w:w="3168"/>
        <w:gridCol w:w="6192"/>
      </w:tblGrid>
      <w:tr>
        <w:tc>
          <w:tcPr>
            <w:tcW w:w="4896" w:type="dxa"/>
            <w:tcBorders>
              <w:top w:val="single" w:sz="4" w:space="0" w:color="CBD5E1"/>
              <w:left w:val="none"/>
              <w:bottom w:val="single" w:sz="4" w:space="0" w:color="CBD5E1"/>
              <w:right w:val="none"/>
            </w:tcBorders>
            <w:shd w:val="clear" w:fill="F1F5F9"/>
            <w:tcMar>
              <w:top w:w="90" w:type="dxa"/>
              <w:left w:w="130" w:type="dxa"/>
              <w:bottom w:w="90" w:type="dxa"/>
              <w:right w:w="130" w:type="dxa"/>
            </w:tcMar>
          </w:tcPr>
          <w:p w14:paraId="02C63A10">
            <w:pPr>
              <w:spacing w:before="20" w:after="20"/>
              <w:jc w:val="left"/>
            </w:pPr>
            <w:r>
              <w:rPr>
                <w:rFonts w:ascii="Calibri" w:hAnsi="Calibri" w:eastAsia="ＭＳ 明朝" w:cs="Calibri" w:eastAsiaTheme="minorEastAsia" w:csTheme="minorBidi"/>
                <w:b/>
                <w:bCs/>
                <w:color w:val="1E3A8A"/>
                <w:sz w:val="18"/>
                <w:szCs w:val="22"/>
              </w:rPr>
              <w:t>Document Version</w:t>
            </w:r>
          </w:p>
        </w:tc>
        <w:tc>
          <w:tcPr>
            <w:tcW w:w="4896" w:type="dxa"/>
            <w:tcBorders>
              <w:top w:val="single" w:sz="4" w:space="0" w:color="CBD5E1"/>
              <w:left w:val="none"/>
              <w:bottom w:val="single" w:sz="4" w:space="0" w:color="CBD5E1"/>
              <w:right w:val="none"/>
            </w:tcBorders>
            <w:shd w:val="clear" w:fill="F1F5F9"/>
            <w:tcMar>
              <w:top w:w="90" w:type="dxa"/>
              <w:left w:w="130" w:type="dxa"/>
              <w:bottom w:w="90" w:type="dxa"/>
              <w:right w:w="130" w:type="dxa"/>
            </w:tcMar>
          </w:tcPr>
          <w:p w14:paraId="605624FF">
            <w:pPr>
              <w:spacing w:before="20" w:after="20"/>
              <w:jc w:val="left"/>
            </w:pPr>
            <w:r>
              <w:rPr>
                <w:rFonts w:ascii="Calibri" w:hAnsi="Calibri" w:eastAsia="ＭＳ 明朝" w:cs="Calibri" w:eastAsiaTheme="minorEastAsia" w:csTheme="minorBidi"/>
                <w:color w:val="1E293B"/>
                <w:sz w:val="18"/>
                <w:szCs w:val="22"/>
              </w:rPr>
              <w:t>v1.0 (Comprehensive Investment Edition)</w:t>
            </w:r>
          </w:p>
        </w:tc>
      </w:tr>
      <w:tr>
        <w:tc>
          <w:tcPr>
            <w:tcW w:w="489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00067BC5">
            <w:pPr>
              <w:spacing w:before="20" w:after="20"/>
              <w:jc w:val="left"/>
            </w:pPr>
            <w:r>
              <w:rPr>
                <w:rFonts w:ascii="Calibri" w:hAnsi="Calibri" w:eastAsia="ＭＳ 明朝" w:cs="Calibri" w:eastAsiaTheme="minorEastAsia" w:csTheme="minorBidi"/>
                <w:b/>
                <w:bCs/>
                <w:color w:val="1E3A8A"/>
                <w:sz w:val="18"/>
                <w:szCs w:val="22"/>
              </w:rPr>
              <w:t>Effective Date</w:t>
            </w:r>
          </w:p>
        </w:tc>
        <w:tc>
          <w:tcPr>
            <w:tcW w:w="489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3866E7AF">
            <w:pPr>
              <w:spacing w:before="20" w:after="20"/>
              <w:jc w:val="left"/>
            </w:pPr>
            <w:r>
              <w:rPr>
                <w:rFonts w:ascii="Calibri" w:hAnsi="Calibri" w:eastAsia="ＭＳ 明朝" w:cs="Calibri" w:eastAsiaTheme="minorEastAsia" w:csTheme="minorBidi"/>
                <w:color w:val="1E293B"/>
                <w:sz w:val="18"/>
                <w:szCs w:val="22"/>
              </w:rPr>
              <w:t>September 2026</w:t>
            </w:r>
          </w:p>
        </w:tc>
      </w:tr>
      <w:tr>
        <w:tc>
          <w:tcPr>
            <w:tcW w:w="4896" w:type="dxa"/>
            <w:tcBorders>
              <w:top w:val="single" w:sz="4" w:space="0" w:color="CBD5E1"/>
              <w:left w:val="none"/>
              <w:bottom w:val="single" w:sz="4" w:space="0" w:color="CBD5E1"/>
              <w:right w:val="none"/>
            </w:tcBorders>
            <w:shd w:val="clear" w:fill="F1F5F9"/>
            <w:tcMar>
              <w:top w:w="90" w:type="dxa"/>
              <w:left w:w="130" w:type="dxa"/>
              <w:bottom w:w="90" w:type="dxa"/>
              <w:right w:w="130" w:type="dxa"/>
            </w:tcMar>
          </w:tcPr>
          <w:p w14:paraId="69B672A2">
            <w:pPr>
              <w:spacing w:before="20" w:after="20"/>
              <w:jc w:val="left"/>
            </w:pPr>
            <w:r>
              <w:rPr>
                <w:rFonts w:ascii="Calibri" w:hAnsi="Calibri" w:eastAsia="ＭＳ 明朝" w:cs="Calibri" w:eastAsiaTheme="minorEastAsia" w:csTheme="minorBidi"/>
                <w:b/>
                <w:bCs/>
                <w:color w:val="1E3A8A"/>
                <w:sz w:val="18"/>
                <w:szCs w:val="22"/>
              </w:rPr>
              <w:t>Target Audience</w:t>
            </w:r>
          </w:p>
        </w:tc>
        <w:tc>
          <w:tcPr>
            <w:tcW w:w="4896" w:type="dxa"/>
            <w:tcBorders>
              <w:top w:val="single" w:sz="4" w:space="0" w:color="CBD5E1"/>
              <w:left w:val="none"/>
              <w:bottom w:val="single" w:sz="4" w:space="0" w:color="CBD5E1"/>
              <w:right w:val="none"/>
            </w:tcBorders>
            <w:shd w:val="clear" w:fill="F1F5F9"/>
            <w:tcMar>
              <w:top w:w="90" w:type="dxa"/>
              <w:left w:w="130" w:type="dxa"/>
              <w:bottom w:w="90" w:type="dxa"/>
              <w:right w:w="130" w:type="dxa"/>
            </w:tcMar>
          </w:tcPr>
          <w:p w14:paraId="6FAD507C">
            <w:pPr>
              <w:spacing w:before="20" w:after="20"/>
              <w:jc w:val="left"/>
            </w:pPr>
            <w:r>
              <w:rPr>
                <w:rFonts w:ascii="Calibri" w:hAnsi="Calibri" w:eastAsia="ＭＳ 明朝" w:cs="Calibri" w:eastAsiaTheme="minorEastAsia" w:csTheme="minorBidi"/>
                <w:color w:val="1E293B"/>
                <w:sz w:val="18"/>
                <w:szCs w:val="22"/>
              </w:rPr>
              <w:t>Ministries of Health, National EPI Managers, Gavi, WHO, UNICEF, BMGF, Global Fund</w:t>
            </w:r>
          </w:p>
        </w:tc>
      </w:tr>
      <w:tr>
        <w:tc>
          <w:tcPr>
            <w:tcW w:w="489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7A2D46F7">
            <w:pPr>
              <w:spacing w:before="20" w:after="20"/>
              <w:jc w:val="left"/>
            </w:pPr>
            <w:r>
              <w:rPr>
                <w:rFonts w:ascii="Calibri" w:hAnsi="Calibri" w:eastAsia="ＭＳ 明朝" w:cs="Calibri" w:eastAsiaTheme="minorEastAsia" w:csTheme="minorBidi"/>
                <w:b/>
                <w:bCs/>
                <w:color w:val="1E3A8A"/>
                <w:sz w:val="18"/>
                <w:szCs w:val="22"/>
              </w:rPr>
              <w:t>Global Health Alignment</w:t>
            </w:r>
          </w:p>
        </w:tc>
        <w:tc>
          <w:tcPr>
            <w:tcW w:w="489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436648AD">
            <w:pPr>
              <w:spacing w:before="20" w:after="20"/>
              <w:jc w:val="left"/>
            </w:pPr>
            <w:r>
              <w:rPr>
                <w:rFonts w:ascii="Calibri" w:hAnsi="Calibri" w:eastAsia="ＭＳ 明朝" w:cs="Calibri" w:eastAsiaTheme="minorEastAsia" w:csTheme="minorBidi"/>
                <w:color w:val="1E293B"/>
                <w:sz w:val="18"/>
                <w:szCs w:val="22"/>
              </w:rPr>
              <w:t>WHO RED Strategy (Tools 1-10), WHO IIP Module 4, Gavi 5.0, IA2030</w:t>
            </w:r>
          </w:p>
        </w:tc>
      </w:tr>
      <w:tr>
        <w:tc>
          <w:tcPr>
            <w:tcW w:w="4896" w:type="dxa"/>
            <w:tcBorders>
              <w:top w:val="single" w:sz="4" w:space="0" w:color="CBD5E1"/>
              <w:left w:val="none"/>
              <w:bottom w:val="single" w:sz="4" w:space="0" w:color="CBD5E1"/>
              <w:right w:val="none"/>
            </w:tcBorders>
            <w:shd w:val="clear" w:fill="F1F5F9"/>
            <w:tcMar>
              <w:top w:w="90" w:type="dxa"/>
              <w:left w:w="130" w:type="dxa"/>
              <w:bottom w:w="90" w:type="dxa"/>
              <w:right w:w="130" w:type="dxa"/>
            </w:tcMar>
          </w:tcPr>
          <w:p w14:paraId="3EB0F00F">
            <w:pPr>
              <w:spacing w:before="20" w:after="20"/>
              <w:jc w:val="left"/>
            </w:pPr>
            <w:r>
              <w:rPr>
                <w:rFonts w:ascii="Calibri" w:hAnsi="Calibri" w:eastAsia="ＭＳ 明朝" w:cs="Calibri" w:eastAsiaTheme="minorEastAsia" w:csTheme="minorBidi"/>
                <w:b/>
                <w:bCs/>
                <w:color w:val="1E3A8A"/>
                <w:sz w:val="18"/>
                <w:szCs w:val="22"/>
              </w:rPr>
              <w:t>Platform State</w:t>
            </w:r>
          </w:p>
        </w:tc>
        <w:tc>
          <w:tcPr>
            <w:tcW w:w="4896" w:type="dxa"/>
            <w:tcBorders>
              <w:top w:val="single" w:sz="4" w:space="0" w:color="CBD5E1"/>
              <w:left w:val="none"/>
              <w:bottom w:val="single" w:sz="4" w:space="0" w:color="CBD5E1"/>
              <w:right w:val="none"/>
            </w:tcBorders>
            <w:shd w:val="clear" w:fill="F1F5F9"/>
            <w:tcMar>
              <w:top w:w="90" w:type="dxa"/>
              <w:left w:w="130" w:type="dxa"/>
              <w:bottom w:w="90" w:type="dxa"/>
              <w:right w:w="130" w:type="dxa"/>
            </w:tcMar>
          </w:tcPr>
          <w:p w14:paraId="08A17FEA">
            <w:pPr>
              <w:spacing w:before="20" w:after="20"/>
              <w:jc w:val="left"/>
            </w:pPr>
            <w:r>
              <w:rPr>
                <w:rFonts w:ascii="Calibri" w:hAnsi="Calibri" w:eastAsia="ＭＳ 明朝" w:cs="Calibri" w:eastAsiaTheme="minorEastAsia" w:csTheme="minorBidi"/>
                <w:color w:val="1E293B"/>
                <w:sz w:val="18"/>
                <w:szCs w:val="22"/>
              </w:rPr>
              <w:t>Production-Ready (Web, Offline PWA, Android, Windows Desktop)</w:t>
            </w:r>
          </w:p>
        </w:tc>
      </w:tr>
      <w:tr>
        <w:tc>
          <w:tcPr>
            <w:tcW w:w="489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619FDBAE">
            <w:pPr>
              <w:spacing w:before="20" w:after="20"/>
              <w:jc w:val="left"/>
            </w:pPr>
            <w:r>
              <w:rPr>
                <w:rFonts w:ascii="Calibri" w:hAnsi="Calibri" w:eastAsia="ＭＳ 明朝" w:cs="Calibri" w:eastAsiaTheme="minorEastAsia" w:csTheme="minorBidi"/>
                <w:b/>
                <w:bCs/>
                <w:color w:val="1E3A8A"/>
                <w:sz w:val="18"/>
                <w:szCs w:val="22"/>
              </w:rPr>
              <w:t>Sovereign Hosting</w:t>
            </w:r>
          </w:p>
        </w:tc>
        <w:tc>
          <w:tcPr>
            <w:tcW w:w="4896"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1F50EDEC">
            <w:pPr>
              <w:spacing w:before="20" w:after="20"/>
              <w:jc w:val="left"/>
            </w:pPr>
            <w:r>
              <w:rPr>
                <w:rFonts w:ascii="Calibri" w:hAnsi="Calibri" w:eastAsia="ＭＳ 明朝" w:cs="Calibri" w:eastAsiaTheme="minorEastAsia" w:csTheme="minorBidi"/>
                <w:color w:val="1E293B"/>
                <w:sz w:val="18"/>
                <w:szCs w:val="22"/>
              </w:rPr>
              <w:t>Supports MoH Sovereign National Cloud &amp; Hybrid Multi-Tenant Deployment</w:t>
            </w:r>
          </w:p>
        </w:tc>
      </w:tr>
    </w:tbl>
    <w:p w14:paraId="74A02E13">
      <w:pPr>
        <w:spacing w:before="800"/>
      </w:pPr>
      <w:r>
        <w:rPr>
          <w:rFonts w:ascii="Calibri" w:hAnsi="Calibri" w:eastAsia="ＭＳ 明朝" w:cs="Calibri" w:eastAsiaTheme="minorEastAsia" w:csTheme="minorBidi"/>
          <w:i/>
          <w:iCs/>
          <w:color w:val="059669"/>
          <w:sz w:val="20"/>
          <w:szCs w:val="22"/>
        </w:rPr>
        <w:t>Reach every child. Plan every session. Optimize every dose.</w:t>
      </w:r>
    </w:p>
    <w:p w14:paraId="2284AE92">
      <w:pPr>
        <w:pageBreakBefore/>
        <w:spacing w:after="200" w:line="276" w:lineRule="auto"/>
      </w:pPr>
      <w:r>
        <w:lastRenderedPageBreak/>
      </w:r>
    </w:p>
    <w:p w14:paraId="3553A6C6">
      <w:pPr>
        <w:keepNext/>
        <w:spacing w:before="360" w:after="120"/>
      </w:pPr>
      <w:r>
        <w:rPr>
          <w:rFonts w:ascii="Calibri" w:hAnsi="Calibri" w:eastAsia="ＭＳ 明朝" w:cs="Calibri" w:eastAsiaTheme="minorEastAsia" w:csTheme="minorBidi"/>
          <w:b/>
          <w:bCs/>
          <w:color w:val="0F172A"/>
          <w:sz w:val="30"/>
          <w:szCs w:val="22"/>
        </w:rPr>
        <w:t>1. Executive Summary &amp; Investment Thesis</w:t>
      </w:r>
    </w:p>
    <w:p w14:paraId="1269CE0B">
      <w:pPr>
        <w:spacing w:before="0" w:after="120" w:line="276" w:lineRule="auto"/>
      </w:pPr>
      <w:r>
        <w:rPr>
          <w:rFonts w:ascii="Calibri" w:hAnsi="Calibri" w:eastAsia="ＭＳ 明朝" w:cs="Calibri" w:eastAsiaTheme="minorEastAsia" w:csTheme="minorBidi"/>
          <w:color w:val="1E293B"/>
          <w:sz w:val="20"/>
          <w:szCs w:val="22"/>
        </w:rPr>
        <w:t>Immunization remains one of humanity's most cost-effective public health interventions, saving millions of lives annually. Yet globally, over 14 million children each year are 'zero-dose'—failing to receive even a single dose of diphtheria, tetanus, and pertussis (DTP-1) vaccine—and an additional 6 million are severely under-immunized.</w:t>
      </w:r>
    </w:p>
    <w:p w14:paraId="1ADD977B">
      <w:pPr>
        <w:spacing w:before="0" w:after="120" w:line="276" w:lineRule="auto"/>
      </w:pPr>
      <w:r>
        <w:rPr>
          <w:rFonts w:ascii="Calibri" w:hAnsi="Calibri" w:eastAsia="ＭＳ 明朝" w:cs="Calibri" w:eastAsiaTheme="minorEastAsia" w:csTheme="minorBidi"/>
          <w:color w:val="1E293B"/>
          <w:sz w:val="20"/>
          <w:szCs w:val="22"/>
        </w:rPr>
        <w:t>The primary bottleneck to universal coverage is no longer vaccine manufacturing capacity or national cold stores. It is the systemic breakdown of operational planning at the last mile. In low- and middle-income countries (LMICs), national microplans overwhelmingly exist as disconnected paper forms, static spreadsheets, and hand-drawn wall sketch maps. Clinic managers calculate targets with outdated census projections, plan outreach sessions without terrain intelligence, and discover stockouts or canceled visits weeks after children have been turned away.</w:t>
      </w:r>
    </w:p>
    <w:tbl>
      <w:tblPr>
        <w:tblW w:w="0" w:type="auto"/>
        <w:jc w:val="center"/>
        <w:tblBorders>
          <w:top w:val="none"/>
          <w:left w:val="single" w:sz="24" w:space="0" w:color="3B82F6"/>
          <w:bottom w:val="none"/>
          <w:right w:val="none"/>
          <w:insideH w:val="none"/>
          <w:insideV w:val="none"/>
        </w:tblBorders>
        <w:tblLayout w:type="fixed"/>
        <w:tblCellMar>
          <w:top w:w="0" w:type="dxa"/>
          <w:left w:w="108" w:type="dxa"/>
          <w:bottom w:w="0" w:type="dxa"/>
          <w:right w:w="108" w:type="dxa"/>
        </w:tblCellMar>
        <w:tblLook w:firstRow="1" w:firstColumn="1" w:noVBand="1"/>
      </w:tblPr>
      <w:tblGrid>
        <w:gridCol w:w="9360"/>
      </w:tblGrid>
      <w:tr>
        <w:tc>
          <w:tcPr>
            <w:tcW w:w="9792" w:type="dxa"/>
            <w:tcBorders>
              <w:top w:val="none"/>
              <w:left w:val="single" w:sz="24" w:space="0" w:color="3B82F6"/>
              <w:bottom w:val="none"/>
              <w:right w:val="none"/>
            </w:tcBorders>
            <w:shd w:val="clear" w:fill="EFF6FF"/>
            <w:tcMar>
              <w:top w:w="140" w:type="dxa"/>
              <w:left w:w="180" w:type="dxa"/>
              <w:bottom w:w="140" w:type="dxa"/>
              <w:right w:w="180" w:type="dxa"/>
            </w:tcMar>
          </w:tcPr>
          <w:p w14:paraId="2741A55F">
            <w:pPr>
              <w:spacing w:before="40" w:after="40"/>
            </w:pPr>
            <w:r>
              <w:rPr>
                <w:rFonts w:ascii="Calibri" w:hAnsi="Calibri" w:eastAsia="ＭＳ 明朝" w:cs="Calibri" w:eastAsiaTheme="minorEastAsia" w:csTheme="minorBidi"/>
                <w:b/>
                <w:bCs/>
                <w:color w:val="3B82F6"/>
                <w:sz w:val="20"/>
                <w:szCs w:val="22"/>
              </w:rPr>
              <w:t xml:space="preserve">The VaxPlan Vision: </w:t>
            </w:r>
            <w:r>
              <w:rPr>
                <w:rFonts w:ascii="Calibri" w:hAnsi="Calibri" w:eastAsia="ＭＳ 明朝" w:cs="Calibri" w:eastAsiaTheme="minorEastAsia" w:csTheme="minorBidi"/>
                <w:i/>
                <w:iCs/>
                <w:color w:val="1E293B"/>
                <w:sz w:val="19"/>
                <w:szCs w:val="22"/>
              </w:rPr>
              <w:t>VaxPlan is a mobile-first, offline-capable GIS microplanning platform that takes a Ministry of Health from an interactive satellite map of its facilities all the way down to a vaccinator's daily itinerary—and back up to real-time national equity dashboards. VaxPlan operationalizes the WHO Reach Every District (RED) strategy into a modern digital system.</w:t>
            </w:r>
          </w:p>
        </w:tc>
      </w:tr>
    </w:tbl>
    <w:p w14:paraId="4BC874EC">
      <w:pPr>
        <w:spacing w:after="80"/>
      </w:pPr>
    </w:p>
    <w:p w14:paraId="46F2B054">
      <w:pPr>
        <w:keepNext/>
        <w:spacing w:before="280" w:after="80"/>
      </w:pPr>
      <w:r>
        <w:rPr>
          <w:rFonts w:ascii="Calibri" w:hAnsi="Calibri" w:eastAsia="ＭＳ 明朝" w:cs="Calibri" w:eastAsiaTheme="minorEastAsia" w:csTheme="minorBidi"/>
          <w:b/>
          <w:bCs/>
          <w:color w:val="1E3A8A"/>
          <w:sz w:val="25"/>
          <w:szCs w:val="22"/>
        </w:rPr>
        <w:t>The Continuous Operational Cycle</w:t>
      </w:r>
    </w:p>
    <w:tbl>
      <w:tblPr>
        <w:tblW w:w="0" w:type="auto"/>
        <w:jc w:val="center"/>
        <w:tblBorders>
          <w:top w:val="single" w:sz="6" w:space="0" w:color="CBD5E1"/>
          <w:left w:val="single" w:sz="6" w:space="0" w:color="CBD5E1"/>
          <w:bottom w:val="single" w:sz="6" w:space="0" w:color="CBD5E1"/>
          <w:right w:val="single" w:sz="6" w:space="0" w:color="CBD5E1"/>
          <w:insideH w:val="single" w:sz="6" w:space="0" w:color="CBD5E1"/>
          <w:insideV w:val="single" w:sz="6" w:space="0" w:color="CBD5E1"/>
        </w:tblBorders>
        <w:tblLayout w:type="fixed"/>
        <w:tblCellMar>
          <w:top w:w="0" w:type="dxa"/>
          <w:left w:w="108" w:type="dxa"/>
          <w:bottom w:w="0" w:type="dxa"/>
          <w:right w:w="108" w:type="dxa"/>
        </w:tblCellMar>
        <w:tblLook w:firstRow="1" w:firstColumn="1" w:noVBand="1"/>
      </w:tblPr>
      <w:tblGrid>
        <w:gridCol w:w="9360"/>
      </w:tblGrid>
      <w:tr>
        <w:tc>
          <w:tcPr>
            <w:tcW w:w="9792" w:type="dxa"/>
            <w:tcBorders>
              <w:top w:val="single" w:sz="6" w:space="0" w:color="CBD5E1"/>
              <w:left w:val="single" w:sz="6" w:space="0" w:color="CBD5E1"/>
              <w:bottom w:val="single" w:sz="6" w:space="0" w:color="CBD5E1"/>
              <w:right w:val="single" w:sz="6" w:space="0" w:color="CBD5E1"/>
            </w:tcBorders>
            <w:shd w:val="clear" w:fill="F1F5F9"/>
            <w:tcMar>
              <w:top w:w="120" w:type="dxa"/>
              <w:left w:w="160" w:type="dxa"/>
              <w:bottom w:w="120" w:type="dxa"/>
              <w:right w:w="160" w:type="dxa"/>
            </w:tcMar>
          </w:tcPr>
          <w:p w14:paraId="5D3E169F">
            <w:pPr>
              <w:spacing w:before="40" w:after="40" w:line="240" w:lineRule="exact"/>
            </w:pPr>
            <w:r>
              <w:rPr>
                <w:rFonts w:ascii="Consolas" w:hAnsi="Consolas" w:eastAsia="ＭＳ 明朝" w:cs="Consolas" w:eastAsiaTheme="minorEastAsia" w:csTheme="minorBidi"/>
                <w:color w:val="1E3A8A"/>
                <w:sz w:val="17"/>
                <w:szCs w:val="22"/>
              </w:rPr>
              <w:t xml:space="preserve">  [1. SPATIAL MAP]      --&gt;  [2. RED-ALIGNED WIZARD]  --&gt;  [3. LOGISTICS &amp; TEAMS]</w:t>
            </w:r>
            <w:r>
              <w:br w:type="textWrapping"/>
            </w:r>
            <w:r>
              <w:rPr>
                <w:rFonts w:ascii="Consolas" w:hAnsi="Consolas" w:eastAsia="ＭＳ 明朝" w:cs="Consolas" w:eastAsiaTheme="minorEastAsia" w:csTheme="minorBidi"/>
                <w:color w:val="1E3A8A"/>
                <w:sz w:val="17"/>
                <w:szCs w:val="22"/>
              </w:rPr>
              <w:t xml:space="preserve">  High-Res GIS,               Prepopulated Worksheets,      Session Sizing, Cold</w:t>
            </w:r>
            <w:r>
              <w:br w:type="textWrapping"/>
            </w:r>
            <w:r>
              <w:rPr>
                <w:rFonts w:ascii="Consolas" w:hAnsi="Consolas" w:eastAsia="ＭＳ 明朝" w:cs="Consolas" w:eastAsiaTheme="minorEastAsia" w:csTheme="minorBidi"/>
                <w:color w:val="1E3A8A"/>
                <w:sz w:val="17"/>
                <w:szCs w:val="22"/>
              </w:rPr>
              <w:t xml:space="preserve">  Boundaries, Catchments      Dual-Source Denominators      Chain, Fuel &amp; Budgets</w:t>
            </w:r>
            <w:r>
              <w:br w:type="textWrapping"/>
            </w:r>
            <w:r>
              <w:rPr>
                <w:rFonts w:ascii="Consolas" w:hAnsi="Consolas" w:eastAsia="ＭＳ 明朝" w:cs="Consolas" w:eastAsiaTheme="minorEastAsia" w:csTheme="minorBidi"/>
                <w:color w:val="1E3A8A"/>
                <w:sz w:val="17"/>
                <w:szCs w:val="22"/>
              </w:rPr>
              <w:t xml:space="preserve">          ^                                                           |</w:t>
            </w:r>
            <w:r>
              <w:br w:type="textWrapping"/>
            </w:r>
            <w:r>
              <w:rPr>
                <w:rFonts w:ascii="Consolas" w:hAnsi="Consolas" w:eastAsia="ＭＳ 明朝" w:cs="Consolas" w:eastAsiaTheme="minorEastAsia" w:csTheme="minorBidi"/>
                <w:color w:val="1E3A8A"/>
                <w:sz w:val="17"/>
                <w:szCs w:val="22"/>
              </w:rPr>
              <w:t xml:space="preserve">          |                                                           v</w:t>
            </w:r>
            <w:r>
              <w:br w:type="textWrapping"/>
            </w:r>
            <w:r>
              <w:rPr>
                <w:rFonts w:ascii="Consolas" w:hAnsi="Consolas" w:eastAsia="ＭＳ 明朝" w:cs="Consolas" w:eastAsiaTheme="minorEastAsia" w:csTheme="minorBidi"/>
                <w:color w:val="1E3A8A"/>
                <w:sz w:val="17"/>
                <w:szCs w:val="22"/>
              </w:rPr>
              <w:t xml:space="preserve">  [6. GOVERNANCE]       &lt;--  [5. COVERAGE &amp; DEFAULTERS] &lt;--  [4. FIELD EXECUTION]</w:t>
            </w:r>
            <w:r>
              <w:br w:type="textWrapping"/>
            </w:r>
            <w:r>
              <w:rPr>
                <w:rFonts w:ascii="Consolas" w:hAnsi="Consolas" w:eastAsia="ＭＳ 明朝" w:cs="Consolas" w:eastAsiaTheme="minorEastAsia" w:csTheme="minorBidi"/>
                <w:color w:val="1E3A8A"/>
                <w:sz w:val="17"/>
                <w:szCs w:val="22"/>
              </w:rPr>
              <w:t xml:space="preserve">  7-Day Review Window,        QR Health Cards, Client       Offline PWA Mobile,</w:t>
            </w:r>
            <w:r>
              <w:br w:type="textWrapping"/>
            </w:r>
            <w:r>
              <w:rPr>
                <w:rFonts w:ascii="Consolas" w:hAnsi="Consolas" w:eastAsia="ＭＳ 明朝" w:cs="Consolas" w:eastAsiaTheme="minorEastAsia" w:csTheme="minorBidi"/>
                <w:color w:val="1E3A8A"/>
                <w:sz w:val="17"/>
                <w:szCs w:val="22"/>
              </w:rPr>
              <w:t xml:space="preserve">  Approval Audit Trail        Register, Traceability        Daily Itineraries</w:t>
            </w:r>
          </w:p>
        </w:tc>
      </w:tr>
    </w:tbl>
    <w:p w14:paraId="5D018B8C">
      <w:pPr>
        <w:spacing w:after="80"/>
      </w:pPr>
    </w:p>
    <w:p w14:paraId="07B1110F">
      <w:pPr>
        <w:keepNext/>
        <w:spacing w:before="360" w:after="120"/>
      </w:pPr>
      <w:r>
        <w:rPr>
          <w:rFonts w:ascii="Calibri" w:hAnsi="Calibri" w:eastAsia="ＭＳ 明朝" w:cs="Calibri" w:eastAsiaTheme="minorEastAsia" w:csTheme="minorBidi"/>
          <w:b/>
          <w:bCs/>
          <w:color w:val="0F172A"/>
          <w:sz w:val="30"/>
          <w:szCs w:val="22"/>
        </w:rPr>
        <w:t>2. The Problem: The Anatomy of Last-Mile Planning Failure</w:t>
      </w:r>
    </w:p>
    <w:p w14:paraId="10F8AF94">
      <w:pPr>
        <w:spacing w:before="0" w:after="120" w:line="276" w:lineRule="auto"/>
      </w:pPr>
      <w:r>
        <w:rPr>
          <w:rFonts w:ascii="Calibri" w:hAnsi="Calibri" w:eastAsia="ＭＳ 明朝" w:cs="Calibri" w:eastAsiaTheme="minorEastAsia" w:csTheme="minorBidi"/>
          <w:color w:val="1E293B"/>
          <w:sz w:val="20"/>
          <w:szCs w:val="22"/>
        </w:rPr>
        <w:t>Immunization programs across Sub-Saharan Africa, South Asia, and the Pacific encounter five structural bottlenecks that waste funding and leave communities unreached:</w:t>
      </w:r>
    </w:p>
    <w:p w14:paraId="2C57DA75">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The Denominator Dilemma: </w:t>
      </w:r>
      <w:r>
        <w:rPr>
          <w:rFonts w:ascii="Calibri" w:hAnsi="Calibri" w:eastAsia="ＭＳ 明朝" w:cs="Calibri" w:eastAsiaTheme="minorEastAsia" w:csTheme="minorBidi"/>
          <w:color w:val="1E293B"/>
          <w:sz w:val="19"/>
          <w:szCs w:val="22"/>
        </w:rPr>
        <w:t>Health facilities rely on national censuses that are 10–20 years outdated, completely missing rapid urbanization, displaced settlements, and nomadic migration corridors. Denominators become arbitrary guesswork.</w:t>
      </w:r>
    </w:p>
    <w:p w14:paraId="0428E871">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The Ghost Session Phenomenon: </w:t>
      </w:r>
      <w:r>
        <w:rPr>
          <w:rFonts w:ascii="Calibri" w:hAnsi="Calibri" w:eastAsia="ＭＳ 明朝" w:cs="Calibri" w:eastAsiaTheme="minorEastAsia" w:csTheme="minorBidi"/>
          <w:color w:val="1E293B"/>
          <w:sz w:val="19"/>
          <w:szCs w:val="22"/>
        </w:rPr>
        <w:t>Outreach sessions scheduled on paper are canceled in practice due to unbudgeted transport, seasonal river flooding, or impassable roads. Supervisors remain unaware until quarterly reports months later.</w:t>
      </w:r>
    </w:p>
    <w:p w14:paraId="47CE19DE">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Contested Catchment Zones: </w:t>
      </w:r>
      <w:r>
        <w:rPr>
          <w:rFonts w:ascii="Calibri" w:hAnsi="Calibri" w:eastAsia="ＭＳ 明朝" w:cs="Calibri" w:eastAsiaTheme="minorEastAsia" w:csTheme="minorBidi"/>
          <w:color w:val="1E293B"/>
          <w:sz w:val="19"/>
          <w:szCs w:val="22"/>
        </w:rPr>
        <w:t>Adjoining health centers lack digitized boundaries. Overlapping catchments lead to friction, while border settlements fall into dead zones where each facility assumes the other is responsible.</w:t>
      </w:r>
    </w:p>
    <w:p w14:paraId="72553C62">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Cold Chain Disconnect: </w:t>
      </w:r>
      <w:r>
        <w:rPr>
          <w:rFonts w:ascii="Calibri" w:hAnsi="Calibri" w:eastAsia="ＭＳ 明朝" w:cs="Calibri" w:eastAsiaTheme="minorEastAsia" w:csTheme="minorBidi"/>
          <w:color w:val="1E293B"/>
          <w:sz w:val="19"/>
          <w:szCs w:val="22"/>
        </w:rPr>
        <w:t>Microplans operate disconnected from physical stock ledgers. Sessions are planned for remote sites with vaccine carriers lacking certified ice packs, leading to heat spoilage or freeze damage.</w:t>
      </w:r>
    </w:p>
    <w:p w14:paraId="006DF06B">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Heavy Administrative Overhead: </w:t>
      </w:r>
      <w:r>
        <w:rPr>
          <w:rFonts w:ascii="Calibri" w:hAnsi="Calibri" w:eastAsia="ＭＳ 明朝" w:cs="Calibri" w:eastAsiaTheme="minorEastAsia" w:csTheme="minorBidi"/>
          <w:color w:val="1E293B"/>
          <w:sz w:val="19"/>
          <w:szCs w:val="22"/>
        </w:rPr>
        <w:t>Health staff spend dozens of hours retyping identical demographic figures and antigen counts across redundant ledgers and donor reporting forms.</w:t>
      </w:r>
    </w:p>
    <w:p w14:paraId="773C0D09">
      <w:pPr>
        <w:keepNext/>
        <w:spacing w:before="360" w:after="120"/>
      </w:pPr>
      <w:r>
        <w:rPr>
          <w:rFonts w:ascii="Calibri" w:hAnsi="Calibri" w:eastAsia="ＭＳ 明朝" w:cs="Calibri" w:eastAsiaTheme="minorEastAsia" w:csTheme="minorBidi"/>
          <w:b/>
          <w:bCs/>
          <w:color w:val="0F172A"/>
          <w:sz w:val="30"/>
          <w:szCs w:val="22"/>
        </w:rPr>
        <w:t>3. Platform Differentiators &amp; Comparative Advantage</w:t>
      </w:r>
    </w:p>
    <w:tbl>
      <w:tblPr>
        <w:tblW w:w="0" w:type="auto"/>
        <w:jc w:val="center"/>
        <w:tblBorders>
          <w:top w:val="single" w:sz="8" w:space="0" w:color="1E3A8A"/>
          <w:left w:val="none"/>
          <w:bottom w:val="single" w:sz="8" w:space="0" w:color="1E3A8A"/>
          <w:right w:val="none"/>
          <w:insideH w:val="single" w:sz="8" w:space="0" w:color="1E3A8A"/>
          <w:insideV w:val="none"/>
        </w:tblBorders>
        <w:tblLayout w:type="fixed"/>
        <w:tblCellMar>
          <w:top w:w="0" w:type="dxa"/>
          <w:left w:w="108" w:type="dxa"/>
          <w:bottom w:w="0" w:type="dxa"/>
          <w:right w:w="108" w:type="dxa"/>
        </w:tblCellMar>
        <w:tblLook w:firstRow="1" w:firstColumn="1" w:noVBand="1"/>
      </w:tblPr>
      <w:tblGrid>
        <w:gridCol w:w="2592"/>
        <w:gridCol w:w="3168"/>
        <w:gridCol w:w="3600"/>
      </w:tblGrid>
      <w:tr>
        <w:tc>
          <w:tcPr>
            <w:tcW w:w="3264" w:type="dxa"/>
            <w:tcBorders>
              <w:top w:val="single" w:sz="8" w:space="0" w:color="1E3A8A"/>
              <w:left w:val="none"/>
              <w:bottom w:val="single" w:sz="8" w:space="0" w:color="1E3A8A"/>
              <w:right w:val="none"/>
            </w:tcBorders>
            <w:shd w:val="clear" w:fill="0F172A"/>
            <w:tcMar>
              <w:top w:w="140" w:type="dxa"/>
              <w:left w:w="150" w:type="dxa"/>
              <w:bottom w:w="140" w:type="dxa"/>
              <w:right w:w="150" w:type="dxa"/>
            </w:tcMar>
          </w:tcPr>
          <w:p w14:paraId="5895E55E">
            <w:pPr>
              <w:spacing w:before="40" w:after="40"/>
              <w:jc w:val="left"/>
            </w:pPr>
            <w:r>
              <w:rPr>
                <w:rFonts w:ascii="Calibri" w:hAnsi="Calibri" w:eastAsia="ＭＳ 明朝" w:cs="Calibri" w:eastAsiaTheme="minorEastAsia" w:csTheme="minorBidi"/>
                <w:b/>
                <w:bCs/>
                <w:color w:val="FFFFFF"/>
                <w:sz w:val="19"/>
                <w:szCs w:val="22"/>
              </w:rPr>
              <w:t>Functional Area</w:t>
            </w:r>
          </w:p>
        </w:tc>
        <w:tc>
          <w:tcPr>
            <w:tcW w:w="3264" w:type="dxa"/>
            <w:tcBorders>
              <w:top w:val="single" w:sz="8" w:space="0" w:color="1E3A8A"/>
              <w:left w:val="none"/>
              <w:bottom w:val="single" w:sz="8" w:space="0" w:color="1E3A8A"/>
              <w:right w:val="none"/>
            </w:tcBorders>
            <w:shd w:val="clear" w:fill="0F172A"/>
            <w:tcMar>
              <w:top w:w="140" w:type="dxa"/>
              <w:left w:w="150" w:type="dxa"/>
              <w:bottom w:w="140" w:type="dxa"/>
              <w:right w:w="150" w:type="dxa"/>
            </w:tcMar>
          </w:tcPr>
          <w:p w14:paraId="104D5D7F">
            <w:pPr>
              <w:spacing w:before="40" w:after="40"/>
              <w:jc w:val="left"/>
            </w:pPr>
            <w:r>
              <w:rPr>
                <w:rFonts w:ascii="Calibri" w:hAnsi="Calibri" w:eastAsia="ＭＳ 明朝" w:cs="Calibri" w:eastAsiaTheme="minorEastAsia" w:csTheme="minorBidi"/>
                <w:b/>
                <w:bCs/>
                <w:color w:val="FFFFFF"/>
                <w:sz w:val="19"/>
                <w:szCs w:val="22"/>
              </w:rPr>
              <w:t>Legacy Spreadsheets &amp; Paper</w:t>
            </w:r>
          </w:p>
        </w:tc>
        <w:tc>
          <w:tcPr>
            <w:tcW w:w="3264" w:type="dxa"/>
            <w:tcBorders>
              <w:top w:val="single" w:sz="8" w:space="0" w:color="1E3A8A"/>
              <w:left w:val="none"/>
              <w:bottom w:val="single" w:sz="8" w:space="0" w:color="1E3A8A"/>
              <w:right w:val="none"/>
            </w:tcBorders>
            <w:shd w:val="clear" w:fill="0F172A"/>
            <w:tcMar>
              <w:top w:w="140" w:type="dxa"/>
              <w:left w:w="150" w:type="dxa"/>
              <w:bottom w:w="140" w:type="dxa"/>
              <w:right w:w="150" w:type="dxa"/>
            </w:tcMar>
          </w:tcPr>
          <w:p w14:paraId="094D0483">
            <w:pPr>
              <w:spacing w:before="40" w:after="40"/>
              <w:jc w:val="left"/>
            </w:pPr>
            <w:r>
              <w:rPr>
                <w:rFonts w:ascii="Calibri" w:hAnsi="Calibri" w:eastAsia="ＭＳ 明朝" w:cs="Calibri" w:eastAsiaTheme="minorEastAsia" w:csTheme="minorBidi"/>
                <w:b/>
                <w:bCs/>
                <w:color w:val="FFFFFF"/>
                <w:sz w:val="19"/>
                <w:szCs w:val="22"/>
              </w:rPr>
              <w:t>The VaxPlan Platform Advantage</w:t>
            </w:r>
          </w:p>
        </w:tc>
      </w:tr>
      <w:tr>
        <w:tc>
          <w:tcPr>
            <w:tcW w:w="326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2CDCF06B">
            <w:pPr>
              <w:spacing w:before="20" w:after="20"/>
              <w:jc w:val="left"/>
            </w:pPr>
            <w:r>
              <w:rPr>
                <w:rFonts w:ascii="Calibri" w:hAnsi="Calibri" w:eastAsia="ＭＳ 明朝" w:cs="Calibri" w:eastAsiaTheme="minorEastAsia" w:csTheme="minorBidi"/>
                <w:b/>
                <w:bCs/>
                <w:color w:val="1E293B"/>
                <w:sz w:val="19"/>
                <w:szCs w:val="22"/>
              </w:rPr>
              <w:t>Microplanning</w:t>
            </w:r>
          </w:p>
        </w:tc>
        <w:tc>
          <w:tcPr>
            <w:tcW w:w="326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3341CF2D">
            <w:pPr>
              <w:spacing w:before="20" w:after="20"/>
              <w:jc w:val="left"/>
            </w:pPr>
            <w:r>
              <w:rPr>
                <w:rFonts w:ascii="Calibri" w:hAnsi="Calibri" w:eastAsia="ＭＳ 明朝" w:cs="Calibri" w:eastAsiaTheme="minorEastAsia" w:csTheme="minorBidi"/>
                <w:color w:val="64748B"/>
                <w:sz w:val="19"/>
                <w:szCs w:val="22"/>
              </w:rPr>
              <w:t>Complex paper forms, unvalidated Excel files</w:t>
            </w:r>
          </w:p>
        </w:tc>
        <w:tc>
          <w:tcPr>
            <w:tcW w:w="326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2CA0E466">
            <w:pPr>
              <w:spacing w:before="20" w:after="20"/>
              <w:jc w:val="left"/>
            </w:pPr>
            <w:r>
              <w:rPr>
                <w:rFonts w:ascii="Calibri" w:hAnsi="Calibri" w:eastAsia="ＭＳ 明朝" w:cs="Calibri" w:eastAsiaTheme="minorEastAsia" w:csTheme="minorBidi"/>
                <w:b/>
                <w:bCs/>
                <w:color w:val="1E3A8A"/>
                <w:sz w:val="19"/>
                <w:szCs w:val="22"/>
              </w:rPr>
              <w:t>Guided 12-step wizard directly mapped to WHO RED 10-step worksheets with auto-prepopulation.</w:t>
            </w:r>
          </w:p>
        </w:tc>
      </w:tr>
      <w:tr>
        <w:tc>
          <w:tcPr>
            <w:tcW w:w="3264"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7FEB49BF">
            <w:pPr>
              <w:spacing w:before="20" w:after="20"/>
              <w:jc w:val="left"/>
            </w:pPr>
            <w:r>
              <w:rPr>
                <w:rFonts w:ascii="Calibri" w:hAnsi="Calibri" w:eastAsia="ＭＳ 明朝" w:cs="Calibri" w:eastAsiaTheme="minorEastAsia" w:csTheme="minorBidi"/>
                <w:b/>
                <w:bCs/>
                <w:color w:val="1E293B"/>
                <w:sz w:val="19"/>
                <w:szCs w:val="22"/>
              </w:rPr>
              <w:t>Catchment Mapping</w:t>
            </w:r>
          </w:p>
        </w:tc>
        <w:tc>
          <w:tcPr>
            <w:tcW w:w="3264"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02BB13A3">
            <w:pPr>
              <w:spacing w:before="20" w:after="20"/>
              <w:jc w:val="left"/>
            </w:pPr>
            <w:r>
              <w:rPr>
                <w:rFonts w:ascii="Calibri" w:hAnsi="Calibri" w:eastAsia="ＭＳ 明朝" w:cs="Calibri" w:eastAsiaTheme="minorEastAsia" w:csTheme="minorBidi"/>
                <w:color w:val="64748B"/>
                <w:sz w:val="19"/>
                <w:szCs w:val="22"/>
              </w:rPr>
              <w:t>Static wall sketch maps, no coordinates</w:t>
            </w:r>
          </w:p>
        </w:tc>
        <w:tc>
          <w:tcPr>
            <w:tcW w:w="3264"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2811AEAA">
            <w:pPr>
              <w:spacing w:before="20" w:after="20"/>
              <w:jc w:val="left"/>
            </w:pPr>
            <w:r>
              <w:rPr>
                <w:rFonts w:ascii="Calibri" w:hAnsi="Calibri" w:eastAsia="ＭＳ 明朝" w:cs="Calibri" w:eastAsiaTheme="minorEastAsia" w:csTheme="minorBidi"/>
                <w:b/>
                <w:bCs/>
                <w:color w:val="1E3A8A"/>
                <w:sz w:val="19"/>
                <w:szCs w:val="22"/>
              </w:rPr>
              <w:t>Interactive PostGIS spatial engine, GeoJSON polygons, overlap detection, and conflict resolution.</w:t>
            </w:r>
          </w:p>
        </w:tc>
      </w:tr>
      <w:tr>
        <w:tc>
          <w:tcPr>
            <w:tcW w:w="326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426AB5D0">
            <w:pPr>
              <w:spacing w:before="20" w:after="20"/>
              <w:jc w:val="left"/>
            </w:pPr>
            <w:r>
              <w:rPr>
                <w:rFonts w:ascii="Calibri" w:hAnsi="Calibri" w:eastAsia="ＭＳ 明朝" w:cs="Calibri" w:eastAsiaTheme="minorEastAsia" w:csTheme="minorBidi"/>
                <w:b/>
                <w:bCs/>
                <w:color w:val="1E293B"/>
                <w:sz w:val="19"/>
                <w:szCs w:val="22"/>
              </w:rPr>
              <w:t>Population Targets</w:t>
            </w:r>
          </w:p>
        </w:tc>
        <w:tc>
          <w:tcPr>
            <w:tcW w:w="326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2E8D1A89">
            <w:pPr>
              <w:spacing w:before="20" w:after="20"/>
              <w:jc w:val="left"/>
            </w:pPr>
            <w:r>
              <w:rPr>
                <w:rFonts w:ascii="Calibri" w:hAnsi="Calibri" w:eastAsia="ＭＳ 明朝" w:cs="Calibri" w:eastAsiaTheme="minorEastAsia" w:csTheme="minorBidi"/>
                <w:color w:val="64748B"/>
                <w:sz w:val="19"/>
                <w:szCs w:val="22"/>
              </w:rPr>
              <w:t>Single outdated census projection</w:t>
            </w:r>
          </w:p>
        </w:tc>
        <w:tc>
          <w:tcPr>
            <w:tcW w:w="326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78205B28">
            <w:pPr>
              <w:spacing w:before="20" w:after="20"/>
              <w:jc w:val="left"/>
            </w:pPr>
            <w:r>
              <w:rPr>
                <w:rFonts w:ascii="Calibri" w:hAnsi="Calibri" w:eastAsia="ＭＳ 明朝" w:cs="Calibri" w:eastAsiaTheme="minorEastAsia" w:csTheme="minorBidi"/>
                <w:b/>
                <w:bCs/>
                <w:color w:val="1E3A8A"/>
                <w:sz w:val="19"/>
                <w:szCs w:val="22"/>
              </w:rPr>
              <w:t>Dual-source engine: Official NSO census reconciled with WorldPop 100m gridded satellite population.</w:t>
            </w:r>
          </w:p>
        </w:tc>
      </w:tr>
      <w:tr>
        <w:tc>
          <w:tcPr>
            <w:tcW w:w="3264"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60BC0D6B">
            <w:pPr>
              <w:spacing w:before="20" w:after="20"/>
              <w:jc w:val="left"/>
            </w:pPr>
            <w:r>
              <w:rPr>
                <w:rFonts w:ascii="Calibri" w:hAnsi="Calibri" w:eastAsia="ＭＳ 明朝" w:cs="Calibri" w:eastAsiaTheme="minorEastAsia" w:csTheme="minorBidi"/>
                <w:b/>
                <w:bCs/>
                <w:color w:val="1E293B"/>
                <w:sz w:val="19"/>
                <w:szCs w:val="22"/>
              </w:rPr>
              <w:t>Field Connectivity</w:t>
            </w:r>
          </w:p>
        </w:tc>
        <w:tc>
          <w:tcPr>
            <w:tcW w:w="3264"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74D9DAD7">
            <w:pPr>
              <w:spacing w:before="20" w:after="20"/>
              <w:jc w:val="left"/>
            </w:pPr>
            <w:r>
              <w:rPr>
                <w:rFonts w:ascii="Calibri" w:hAnsi="Calibri" w:eastAsia="ＭＳ 明朝" w:cs="Calibri" w:eastAsiaTheme="minorEastAsia" w:csTheme="minorBidi"/>
                <w:color w:val="64748B"/>
                <w:sz w:val="19"/>
                <w:szCs w:val="22"/>
              </w:rPr>
              <w:t>Online-only tools that fail in remote bush</w:t>
            </w:r>
          </w:p>
        </w:tc>
        <w:tc>
          <w:tcPr>
            <w:tcW w:w="3264"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3D976753">
            <w:pPr>
              <w:spacing w:before="20" w:after="20"/>
              <w:jc w:val="left"/>
            </w:pPr>
            <w:r>
              <w:rPr>
                <w:rFonts w:ascii="Calibri" w:hAnsi="Calibri" w:eastAsia="ＭＳ 明朝" w:cs="Calibri" w:eastAsiaTheme="minorEastAsia" w:csTheme="minorBidi"/>
                <w:b/>
                <w:bCs/>
                <w:color w:val="1E3A8A"/>
                <w:sz w:val="19"/>
                <w:szCs w:val="22"/>
              </w:rPr>
              <w:t>True offline-first PWA with IndexedDB local storage and deterministic sync reconciliation.</w:t>
            </w:r>
          </w:p>
        </w:tc>
      </w:tr>
      <w:tr>
        <w:tc>
          <w:tcPr>
            <w:tcW w:w="326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44ECE71A">
            <w:pPr>
              <w:spacing w:before="20" w:after="20"/>
              <w:jc w:val="left"/>
            </w:pPr>
            <w:r>
              <w:rPr>
                <w:rFonts w:ascii="Calibri" w:hAnsi="Calibri" w:eastAsia="ＭＳ 明朝" w:cs="Calibri" w:eastAsiaTheme="minorEastAsia" w:csTheme="minorBidi"/>
                <w:b/>
                <w:bCs/>
                <w:color w:val="1E293B"/>
                <w:sz w:val="19"/>
                <w:szCs w:val="22"/>
              </w:rPr>
              <w:t>Plan Approval &amp; Review</w:t>
            </w:r>
          </w:p>
        </w:tc>
        <w:tc>
          <w:tcPr>
            <w:tcW w:w="326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0A3E3DE6">
            <w:pPr>
              <w:spacing w:before="20" w:after="20"/>
              <w:jc w:val="left"/>
            </w:pPr>
            <w:r>
              <w:rPr>
                <w:rFonts w:ascii="Calibri" w:hAnsi="Calibri" w:eastAsia="ＭＳ 明朝" w:cs="Calibri" w:eastAsiaTheme="minorEastAsia" w:csTheme="minorBidi"/>
                <w:color w:val="64748B"/>
                <w:sz w:val="19"/>
                <w:szCs w:val="22"/>
              </w:rPr>
              <w:t>Informal verbal approval, unmonitored</w:t>
            </w:r>
          </w:p>
        </w:tc>
        <w:tc>
          <w:tcPr>
            <w:tcW w:w="326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0114409F">
            <w:pPr>
              <w:spacing w:before="20" w:after="20"/>
              <w:jc w:val="left"/>
            </w:pPr>
            <w:r>
              <w:rPr>
                <w:rFonts w:ascii="Calibri" w:hAnsi="Calibri" w:eastAsia="ＭＳ 明朝" w:cs="Calibri" w:eastAsiaTheme="minorEastAsia" w:csTheme="minorBidi"/>
                <w:b/>
                <w:bCs/>
                <w:color w:val="1E3A8A"/>
                <w:sz w:val="19"/>
                <w:szCs w:val="22"/>
              </w:rPr>
              <w:t>Multi-tier approval workflow with mandatory 7-day review windows and configurable implementation lead times.</w:t>
            </w:r>
          </w:p>
        </w:tc>
      </w:tr>
      <w:tr>
        <w:tc>
          <w:tcPr>
            <w:tcW w:w="3264"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7EB0F7EA">
            <w:pPr>
              <w:spacing w:before="20" w:after="20"/>
              <w:jc w:val="left"/>
            </w:pPr>
            <w:r>
              <w:rPr>
                <w:rFonts w:ascii="Calibri" w:hAnsi="Calibri" w:eastAsia="ＭＳ 明朝" w:cs="Calibri" w:eastAsiaTheme="minorEastAsia" w:csTheme="minorBidi"/>
                <w:b/>
                <w:bCs/>
                <w:color w:val="1E293B"/>
                <w:sz w:val="19"/>
                <w:szCs w:val="22"/>
              </w:rPr>
              <w:t>Version Integrity</w:t>
            </w:r>
          </w:p>
        </w:tc>
        <w:tc>
          <w:tcPr>
            <w:tcW w:w="3264"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70C38A1D">
            <w:pPr>
              <w:spacing w:before="20" w:after="20"/>
              <w:jc w:val="left"/>
            </w:pPr>
            <w:r>
              <w:rPr>
                <w:rFonts w:ascii="Calibri" w:hAnsi="Calibri" w:eastAsia="ＭＳ 明朝" w:cs="Calibri" w:eastAsiaTheme="minorEastAsia" w:csTheme="minorBidi"/>
                <w:color w:val="64748B"/>
                <w:sz w:val="19"/>
                <w:szCs w:val="22"/>
              </w:rPr>
              <w:t>Files overwritten, lost history</w:t>
            </w:r>
          </w:p>
        </w:tc>
        <w:tc>
          <w:tcPr>
            <w:tcW w:w="3264" w:type="dxa"/>
            <w:tcBorders>
              <w:top w:val="single" w:sz="4" w:space="0" w:color="CBD5E1"/>
              <w:left w:val="none"/>
              <w:bottom w:val="single" w:sz="4" w:space="0" w:color="CBD5E1"/>
              <w:right w:val="none"/>
            </w:tcBorders>
            <w:shd w:val="clear" w:fill="FFFFFF"/>
            <w:tcMar>
              <w:top w:w="90" w:type="dxa"/>
              <w:left w:w="130" w:type="dxa"/>
              <w:bottom w:w="90" w:type="dxa"/>
              <w:right w:w="130" w:type="dxa"/>
            </w:tcMar>
          </w:tcPr>
          <w:p w14:paraId="191CF22E">
            <w:pPr>
              <w:spacing w:before="20" w:after="20"/>
              <w:jc w:val="left"/>
            </w:pPr>
            <w:r>
              <w:rPr>
                <w:rFonts w:ascii="Calibri" w:hAnsi="Calibri" w:eastAsia="ＭＳ 明朝" w:cs="Calibri" w:eastAsiaTheme="minorEastAsia" w:csTheme="minorBidi"/>
                <w:b/>
                <w:bCs/>
                <w:color w:val="1E3A8A"/>
                <w:sz w:val="19"/>
                <w:szCs w:val="22"/>
              </w:rPr>
              <w:t>Immutable snapshot versioning: automatic version created on open, edit, save, and close.</w:t>
            </w:r>
          </w:p>
        </w:tc>
      </w:tr>
      <w:tr>
        <w:tc>
          <w:tcPr>
            <w:tcW w:w="326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3559CEB8">
            <w:pPr>
              <w:spacing w:before="20" w:after="20"/>
              <w:jc w:val="left"/>
            </w:pPr>
            <w:r>
              <w:rPr>
                <w:rFonts w:ascii="Calibri" w:hAnsi="Calibri" w:eastAsia="ＭＳ 明朝" w:cs="Calibri" w:eastAsiaTheme="minorEastAsia" w:csTheme="minorBidi"/>
                <w:b/>
                <w:bCs/>
                <w:color w:val="1E293B"/>
                <w:sz w:val="19"/>
                <w:szCs w:val="22"/>
              </w:rPr>
              <w:t>Supply Forecasting</w:t>
            </w:r>
          </w:p>
        </w:tc>
        <w:tc>
          <w:tcPr>
            <w:tcW w:w="326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56D057F4">
            <w:pPr>
              <w:spacing w:before="20" w:after="20"/>
              <w:jc w:val="left"/>
            </w:pPr>
            <w:r>
              <w:rPr>
                <w:rFonts w:ascii="Calibri" w:hAnsi="Calibri" w:eastAsia="ＭＳ 明朝" w:cs="Calibri" w:eastAsiaTheme="minorEastAsia" w:csTheme="minorBidi"/>
                <w:color w:val="64748B"/>
                <w:sz w:val="19"/>
                <w:szCs w:val="22"/>
              </w:rPr>
              <w:t>Disjointed manual guesses</w:t>
            </w:r>
          </w:p>
        </w:tc>
        <w:tc>
          <w:tcPr>
            <w:tcW w:w="3264" w:type="dxa"/>
            <w:tcBorders>
              <w:top w:val="single" w:sz="4" w:space="0" w:color="CBD5E1"/>
              <w:left w:val="none"/>
              <w:bottom w:val="single" w:sz="4" w:space="0" w:color="CBD5E1"/>
              <w:right w:val="none"/>
            </w:tcBorders>
            <w:shd w:val="clear" w:fill="F8FAFC"/>
            <w:tcMar>
              <w:top w:w="90" w:type="dxa"/>
              <w:left w:w="130" w:type="dxa"/>
              <w:bottom w:w="90" w:type="dxa"/>
              <w:right w:w="130" w:type="dxa"/>
            </w:tcMar>
          </w:tcPr>
          <w:p w14:paraId="3032686A">
            <w:pPr>
              <w:spacing w:before="20" w:after="20"/>
              <w:jc w:val="left"/>
            </w:pPr>
            <w:r>
              <w:rPr>
                <w:rFonts w:ascii="Calibri" w:hAnsi="Calibri" w:eastAsia="ＭＳ 明朝" w:cs="Calibri" w:eastAsiaTheme="minorEastAsia" w:csTheme="minorBidi"/>
                <w:b/>
                <w:bCs/>
                <w:color w:val="1E3A8A"/>
                <w:sz w:val="19"/>
                <w:szCs w:val="22"/>
              </w:rPr>
              <w:t>Automated antigen, AD syringe, dilution syringe, safety box, and cold box sizing based on WHO vial wastage.</w:t>
            </w:r>
          </w:p>
        </w:tc>
      </w:tr>
    </w:tbl>
    <w:p w14:paraId="43C87834">
      <w:pPr>
        <w:spacing w:after="160"/>
      </w:pPr>
    </w:p>
    <w:p w14:paraId="4542D36C">
      <w:pPr>
        <w:keepNext/>
        <w:spacing w:before="360" w:after="120"/>
      </w:pPr>
      <w:r>
        <w:rPr>
          <w:rFonts w:ascii="Calibri" w:hAnsi="Calibri" w:eastAsia="ＭＳ 明朝" w:cs="Calibri" w:eastAsiaTheme="minorEastAsia" w:csTheme="minorBidi"/>
          <w:b/>
          <w:bCs/>
          <w:color w:val="0F172A"/>
          <w:sz w:val="30"/>
          <w:szCs w:val="22"/>
        </w:rPr>
        <w:t>4. Quantified Business Case &amp; Return on Investment (ROI)</w:t>
      </w:r>
    </w:p>
    <w:p w14:paraId="7BF076F9">
      <w:pPr>
        <w:spacing w:before="0" w:after="120" w:line="276" w:lineRule="auto"/>
      </w:pPr>
      <w:r>
        <w:rPr>
          <w:rFonts w:ascii="Calibri" w:hAnsi="Calibri" w:eastAsia="ＭＳ 明朝" w:cs="Calibri" w:eastAsiaTheme="minorEastAsia" w:csTheme="minorBidi"/>
          <w:color w:val="1E293B"/>
          <w:sz w:val="20"/>
          <w:szCs w:val="22"/>
        </w:rPr>
        <w:t>VaxPlan delivers measurable economic and operational efficiencies for national governments and donor sponsors:</w:t>
      </w:r>
    </w:p>
    <w:p w14:paraId="297C242F">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18–25% Transport Savings: </w:t>
      </w:r>
      <w:r>
        <w:rPr>
          <w:rFonts w:ascii="Calibri" w:hAnsi="Calibri" w:eastAsia="ＭＳ 明朝" w:cs="Calibri" w:eastAsiaTheme="minorEastAsia" w:csTheme="minorBidi"/>
          <w:color w:val="1E293B"/>
          <w:sz w:val="19"/>
          <w:szCs w:val="22"/>
        </w:rPr>
        <w:t>Elimination of redundant vehicle journeys and canceled outreach sessions reduces per-session transport expenditure by 18% to 25% through spatial route clustering.</w:t>
      </w:r>
    </w:p>
    <w:p w14:paraId="79F19956">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15–30% Wastage Reduction: </w:t>
      </w:r>
      <w:r>
        <w:rPr>
          <w:rFonts w:ascii="Calibri" w:hAnsi="Calibri" w:eastAsia="ＭＳ 明朝" w:cs="Calibri" w:eastAsiaTheme="minorEastAsia" w:csTheme="minorBidi"/>
          <w:color w:val="1E293B"/>
          <w:sz w:val="19"/>
          <w:szCs w:val="22"/>
        </w:rPr>
        <w:t>Precise quarterly forecasting by antigen presentation reduces vaccine expiration and open-vial wastage by 15% to 30%, protecting expensive pentavalent and PCV investments.</w:t>
      </w:r>
    </w:p>
    <w:p w14:paraId="772F324E">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120,000+ Health Worker Hours Saved: </w:t>
      </w:r>
      <w:r>
        <w:rPr>
          <w:rFonts w:ascii="Calibri" w:hAnsi="Calibri" w:eastAsia="ＭＳ 明朝" w:cs="Calibri" w:eastAsiaTheme="minorEastAsia" w:csTheme="minorBidi"/>
          <w:color w:val="1E293B"/>
          <w:sz w:val="19"/>
          <w:szCs w:val="22"/>
        </w:rPr>
        <w:t>Automated data prepopulation returns an estimated 120,000 health worker hours per national planning cycle from paperwork to frontline clinical care.</w:t>
      </w:r>
    </w:p>
    <w:p w14:paraId="2B67754B">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Zero-Dose Targeting Precision: </w:t>
      </w:r>
      <w:r>
        <w:rPr>
          <w:rFonts w:ascii="Calibri" w:hAnsi="Calibri" w:eastAsia="ＭＳ 明朝" w:cs="Calibri" w:eastAsiaTheme="minorEastAsia" w:csTheme="minorBidi"/>
          <w:color w:val="1E293B"/>
          <w:sz w:val="19"/>
          <w:szCs w:val="22"/>
        </w:rPr>
        <w:t>High-resolution satellite population overlays identify unreached and zero-dose communities, directing operational budgets precisely where outbreak risk is concentrated.</w:t>
      </w:r>
    </w:p>
    <w:tbl>
      <w:tblPr>
        <w:tblW w:w="0" w:type="auto"/>
        <w:jc w:val="center"/>
        <w:tblBorders>
          <w:top w:val="none"/>
          <w:left w:val="single" w:sz="24" w:space="0" w:color="3B82F6"/>
          <w:bottom w:val="none"/>
          <w:right w:val="none"/>
          <w:insideH w:val="none"/>
          <w:insideV w:val="none"/>
        </w:tblBorders>
        <w:tblLayout w:type="fixed"/>
        <w:tblCellMar>
          <w:top w:w="0" w:type="dxa"/>
          <w:left w:w="108" w:type="dxa"/>
          <w:bottom w:w="0" w:type="dxa"/>
          <w:right w:w="108" w:type="dxa"/>
        </w:tblCellMar>
        <w:tblLook w:firstRow="1" w:firstColumn="1" w:noVBand="1"/>
      </w:tblPr>
      <w:tblGrid>
        <w:gridCol w:w="9360"/>
      </w:tblGrid>
      <w:tr>
        <w:tc>
          <w:tcPr>
            <w:tcW w:w="9792" w:type="dxa"/>
            <w:tcBorders>
              <w:top w:val="none"/>
              <w:left w:val="single" w:sz="24" w:space="0" w:color="3B82F6"/>
              <w:bottom w:val="none"/>
              <w:right w:val="none"/>
            </w:tcBorders>
            <w:shd w:val="clear" w:fill="EFF6FF"/>
            <w:tcMar>
              <w:top w:w="140" w:type="dxa"/>
              <w:left w:w="180" w:type="dxa"/>
              <w:bottom w:w="140" w:type="dxa"/>
              <w:right w:w="180" w:type="dxa"/>
            </w:tcMar>
          </w:tcPr>
          <w:p w14:paraId="6186D37A">
            <w:pPr>
              <w:spacing w:before="40" w:after="40"/>
            </w:pPr>
            <w:r>
              <w:rPr>
                <w:rFonts w:ascii="Calibri" w:hAnsi="Calibri" w:eastAsia="ＭＳ 明朝" w:cs="Calibri" w:eastAsiaTheme="minorEastAsia" w:csTheme="minorBidi"/>
                <w:b/>
                <w:bCs/>
                <w:color w:val="3B82F6"/>
                <w:sz w:val="20"/>
                <w:szCs w:val="22"/>
              </w:rPr>
              <w:t xml:space="preserve">Economic Payback Horizon: </w:t>
            </w:r>
            <w:r>
              <w:rPr>
                <w:rFonts w:ascii="Calibri" w:hAnsi="Calibri" w:eastAsia="ＭＳ 明朝" w:cs="Calibri" w:eastAsiaTheme="minorEastAsia" w:csTheme="minorBidi"/>
                <w:i/>
                <w:iCs/>
                <w:color w:val="1E293B"/>
                <w:sz w:val="19"/>
                <w:szCs w:val="22"/>
              </w:rPr>
              <w:t>Representative Country Scenario (1,500 health facilities, 400,000 annual target birth cohort): Direct annual operational savings of $420,000 - $770,000 in transport, fuel, and preserved vaccine stock, achieving complete investment recovery within 9 to 14 months of nationwide deployment.</w:t>
            </w:r>
          </w:p>
        </w:tc>
      </w:tr>
    </w:tbl>
    <w:p w14:paraId="602FEC54">
      <w:pPr>
        <w:spacing w:after="80"/>
      </w:pPr>
    </w:p>
    <w:p w14:paraId="49444F91">
      <w:pPr>
        <w:keepNext/>
        <w:spacing w:before="360" w:after="120"/>
      </w:pPr>
      <w:r>
        <w:rPr>
          <w:rFonts w:ascii="Calibri" w:hAnsi="Calibri" w:eastAsia="ＭＳ 明朝" w:cs="Calibri" w:eastAsiaTheme="minorEastAsia" w:csTheme="minorBidi"/>
          <w:b/>
          <w:bCs/>
          <w:color w:val="0F172A"/>
          <w:sz w:val="30"/>
          <w:szCs w:val="22"/>
        </w:rPr>
        <w:t>5. Governance, Multi-Tier Approvals &amp; Policy Enforcement</w:t>
      </w:r>
    </w:p>
    <w:p w14:paraId="274D791B">
      <w:pPr>
        <w:spacing w:before="0" w:after="120" w:line="276" w:lineRule="auto"/>
      </w:pPr>
      <w:r>
        <w:rPr>
          <w:rFonts w:ascii="Calibri" w:hAnsi="Calibri" w:eastAsia="ＭＳ 明朝" w:cs="Calibri" w:eastAsiaTheme="minorEastAsia" w:csTheme="minorBidi"/>
          <w:color w:val="1E293B"/>
          <w:sz w:val="20"/>
          <w:szCs w:val="22"/>
        </w:rPr>
        <w:t>Microplan governance in VaxPlan is enforced through rigorous, policy-driven workflows:</w:t>
      </w:r>
    </w:p>
    <w:p w14:paraId="2154D09E">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7-Day Review Window: </w:t>
      </w:r>
      <w:r>
        <w:rPr>
          <w:rFonts w:ascii="Calibri" w:hAnsi="Calibri" w:eastAsia="ＭＳ 明朝" w:cs="Calibri" w:eastAsiaTheme="minorEastAsia" w:csTheme="minorBidi"/>
          <w:color w:val="1E293B"/>
          <w:sz w:val="19"/>
          <w:szCs w:val="22"/>
        </w:rPr>
        <w:t>Microplans cannot be approved immediately upon submission. A mandatory review window (default 7 days, configurable per country tenant) is enforced, providing district supervisors with the requisite desk-review and audit period.</w:t>
      </w:r>
    </w:p>
    <w:p w14:paraId="32FF2E69">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Implementation Lead-Time Policy: </w:t>
      </w:r>
      <w:r>
        <w:rPr>
          <w:rFonts w:ascii="Calibri" w:hAnsi="Calibri" w:eastAsia="ＭＳ 明朝" w:cs="Calibri" w:eastAsiaTheme="minorEastAsia" w:csTheme="minorBidi"/>
          <w:color w:val="1E293B"/>
          <w:sz w:val="19"/>
          <w:szCs w:val="22"/>
        </w:rPr>
        <w:t>Vaccination sessions must be scheduled for execution at least X days (configurable, default 7 days) following approval, guaranteeing that vaccines are distributed and community mobilizers have sufficient notice.</w:t>
      </w:r>
    </w:p>
    <w:p w14:paraId="5C92AC9D">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Full Draft Lifecycle Versioning: </w:t>
      </w:r>
      <w:r>
        <w:rPr>
          <w:rFonts w:ascii="Calibri" w:hAnsi="Calibri" w:eastAsia="ＭＳ 明朝" w:cs="Calibri" w:eastAsiaTheme="minorEastAsia" w:csTheme="minorBidi"/>
          <w:color w:val="1E293B"/>
          <w:sz w:val="19"/>
          <w:szCs w:val="22"/>
        </w:rPr>
        <w:t>Each microplan captures a distinct point-in-time snapshot whenever opened, edited, saved, submitted, approved, or restored, creating an unalterable audit trail for sovereign health authorities and donors.</w:t>
      </w:r>
    </w:p>
    <w:p w14:paraId="2B682A89">
      <w:pPr>
        <w:keepNext/>
        <w:spacing w:before="360" w:after="120"/>
      </w:pPr>
      <w:r>
        <w:rPr>
          <w:rFonts w:ascii="Calibri" w:hAnsi="Calibri" w:eastAsia="ＭＳ 明朝" w:cs="Calibri" w:eastAsiaTheme="minorEastAsia" w:csTheme="minorBidi"/>
          <w:b/>
          <w:bCs/>
          <w:color w:val="0F172A"/>
          <w:sz w:val="30"/>
          <w:szCs w:val="22"/>
        </w:rPr>
        <w:t>6. Commercial Models &amp; Sovereign Deployment Frameworks</w:t>
      </w:r>
    </w:p>
    <w:p w14:paraId="270FA4A1">
      <w:pPr>
        <w:spacing w:before="0" w:after="120" w:line="276" w:lineRule="auto"/>
      </w:pPr>
      <w:r>
        <w:rPr>
          <w:rFonts w:ascii="Calibri" w:hAnsi="Calibri" w:eastAsia="ＭＳ 明朝" w:cs="Calibri" w:eastAsiaTheme="minorEastAsia" w:csTheme="minorBidi"/>
          <w:color w:val="1E293B"/>
          <w:sz w:val="20"/>
          <w:szCs w:val="22"/>
        </w:rPr>
        <w:t>VaxPlan offers flexible, sustainable engagement models designed for national ownership:</w:t>
      </w:r>
    </w:p>
    <w:p w14:paraId="7D793EE1">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1. Sovereign MoH Enterprise License: </w:t>
      </w:r>
      <w:r>
        <w:rPr>
          <w:rFonts w:ascii="Calibri" w:hAnsi="Calibri" w:eastAsia="ＭＳ 明朝" w:cs="Calibri" w:eastAsiaTheme="minorEastAsia" w:csTheme="minorBidi"/>
          <w:color w:val="1E293B"/>
          <w:sz w:val="19"/>
          <w:szCs w:val="22"/>
        </w:rPr>
        <w:t>Annual or multi-year national agreement covering sovereign cloud hosting, system maintenance, 24/7 technical support, and continuous feature updates.</w:t>
      </w:r>
    </w:p>
    <w:p w14:paraId="250E26FE">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2. Donor-Sponsored Technical Assistance: </w:t>
      </w:r>
      <w:r>
        <w:rPr>
          <w:rFonts w:ascii="Calibri" w:hAnsi="Calibri" w:eastAsia="ＭＳ 明朝" w:cs="Calibri" w:eastAsiaTheme="minorEastAsia" w:csTheme="minorBidi"/>
          <w:color w:val="1E293B"/>
          <w:sz w:val="19"/>
          <w:szCs w:val="22"/>
        </w:rPr>
        <w:t>Multilateral donor funding (Gavi Operational Costs, UNICEF Health Systems Strengthening, BMGF) covering initial baseline GIS mapping, training, and 24-month transition to full MoH management.</w:t>
      </w:r>
    </w:p>
    <w:p w14:paraId="5754DC1D">
      <w:pPr>
        <w:pStyle w:val="ListBullet"/>
        <w:spacing w:before="0" w:after="60" w:line="269" w:lineRule="auto"/>
        <w:ind w:left="360" w:hanging="360"/>
      </w:pPr>
      <w:r>
        <w:rPr>
          <w:rFonts w:ascii="Calibri" w:hAnsi="Calibri" w:eastAsia="ＭＳ 明朝" w:cs="Calibri" w:eastAsiaTheme="minorEastAsia" w:csTheme="minorBidi"/>
          <w:b/>
          <w:bCs/>
          <w:color w:val="1E3A8A"/>
          <w:sz w:val="19"/>
          <w:szCs w:val="22"/>
        </w:rPr>
        <w:t xml:space="preserve">3. Targeted Sub-National Corridor Pilots: </w:t>
      </w:r>
      <w:r>
        <w:rPr>
          <w:rFonts w:ascii="Calibri" w:hAnsi="Calibri" w:eastAsia="ＭＳ 明朝" w:cs="Calibri" w:eastAsiaTheme="minorEastAsia" w:csTheme="minorBidi"/>
          <w:color w:val="1E293B"/>
          <w:sz w:val="19"/>
          <w:szCs w:val="22"/>
        </w:rPr>
        <w:t>Rapid implementation in priority zero-dose districts, border areas, or humanitarian refugee corridors in partnership with international health NGOs.</w:t>
      </w:r>
    </w:p>
    <w:sectPr>
      <w:headerReference w:type="default" r:id="rId9"/>
      <w:footerReference w:type="default" r:id="rId10"/>
      <w:pgSz w:w="12240" w:h="15840"/>
      <w:pgMar w:top="1152" w:right="1224" w:bottom="1152" w:left="1224" w:header="720" w:footer="720" w:gutter="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Footer"/>
      <w:jc w:val="center"/>
    </w:pPr>
    <w:r>
      <w:rPr>
        <w:rFonts w:ascii="Calibri" w:hAnsi="Calibri"/>
        <w:color w:val="64748B"/>
        <w:sz w:val="16"/>
      </w:rPr>
      <w:t>VaxPlan © 2026 • Confidential &amp; Strategic Health Investment Document</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w:p>
    <w:pPr>
      <w:pStyle w:val="Header"/>
      <w:jc w:val="right"/>
    </w:pPr>
    <w:r>
      <w:rPr>
        <w:rFonts w:ascii="Calibri" w:hAnsi="Calibri"/>
        <w:color w:val="64748B"/>
        <w:sz w:val="17"/>
      </w:rPr>
      <w:t>VaxPlan Platform • Business Case &amp; Investment Prospectus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2026-09-10T00:47:56.890Z</dcterms:modified>
  <cp:category/>
</cp:coreProperties>
</file>