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tbl>
      <w:tblPr>
        <w:tblW w:w="0" w:type="auto"/>
        <w:jc w:val="center"/>
        <w:tblLayout w:type="fixed"/>
        <w:tblCellMar>
          <w:top w:w="0" w:type="dxa"/>
          <w:left w:w="108" w:type="dxa"/>
          <w:bottom w:w="0" w:type="dxa"/>
          <w:right w:w="108" w:type="dxa"/>
        </w:tblCellMar>
        <w:tblLook w:firstRow="1" w:firstColumn="1" w:noVBand="1"/>
      </w:tblPr>
      <w:tblGrid>
        <w:gridCol w:w="9648"/>
      </w:tblGrid>
      <w:tr>
        <w:tc>
          <w:tcPr>
            <w:tcW w:w="9648" w:type="dxa"/>
            <w:shd w:val="clear" w:fill="0F172A"/>
            <w:tcMar>
              <w:top w:w="240" w:type="dxa"/>
              <w:left w:w="240" w:type="dxa"/>
              <w:bottom w:w="240" w:type="dxa"/>
              <w:right w:w="240" w:type="dxa"/>
            </w:tcMar>
          </w:tcPr>
          <w:p w14:paraId="1DA1E7DE">
            <w:pPr>
              <w:spacing w:after="200" w:line="276" w:lineRule="auto"/>
            </w:pPr>
            <w:r>
              <w:rPr>
                <w:rFonts w:ascii="Calibri" w:hAnsi="Calibri" w:eastAsia="ＭＳ 明朝" w:cs="Calibri" w:eastAsiaTheme="minorEastAsia" w:csTheme="minorBidi"/>
                <w:b/>
                <w:bCs/>
                <w:color w:val="93C5FD"/>
                <w:sz w:val="17"/>
                <w:szCs w:val="22"/>
              </w:rPr>
              <w:t>GLOBAL IMMUNIZATION STRATEGY &amp; TECHNOLOGY DIRECTIVE</w:t>
            </w:r>
          </w:p>
          <w:p w14:paraId="0EE786B3">
            <w:pPr>
              <w:spacing w:before="80" w:after="40"/>
            </w:pPr>
            <w:r>
              <w:rPr>
                <w:rFonts w:ascii="Calibri" w:hAnsi="Calibri" w:eastAsia="ＭＳ 明朝" w:cs="Calibri" w:eastAsiaTheme="minorEastAsia" w:csTheme="minorBidi"/>
                <w:b/>
                <w:bCs/>
                <w:color w:val="FFFFFF"/>
                <w:sz w:val="40"/>
                <w:szCs w:val="22"/>
              </w:rPr>
              <w:t>VAXPLAN PLATFORM MASTER BRIEF</w:t>
            </w:r>
          </w:p>
          <w:p w14:paraId="3FECBE58">
            <w:pPr>
              <w:spacing w:before="40" w:after="80"/>
            </w:pPr>
            <w:r>
              <w:rPr>
                <w:rFonts w:ascii="Calibri" w:hAnsi="Calibri" w:eastAsia="ＭＳ 明朝" w:cs="Calibri" w:eastAsiaTheme="minorEastAsia" w:csTheme="minorBidi"/>
                <w:color w:val="E2E8F0"/>
                <w:sz w:val="21"/>
                <w:szCs w:val="22"/>
              </w:rPr>
              <w:t>The Next-Generation Geospatial Immunization Microplanning, Logistics &amp; Service Delivery Platform | 30-Day Country Fast-Track Blueprint</w:t>
            </w:r>
          </w:p>
        </w:tc>
      </w:tr>
    </w:tbl>
    <w:p w14:paraId="50E8D0C3">
      <w:pPr>
        <w:spacing w:after="160"/>
      </w:pPr>
    </w:p>
    <w:tbl>
      <w:tblPr>
        <w:tblW w:w="0" w:type="auto"/>
        <w:jc w:val="center"/>
        <w:tblBorders>
          <w:top w:val="single" w:sz="4" w:space="0" w:color="CBD5E1"/>
          <w:left w:val="none"/>
          <w:bottom w:val="single" w:sz="4" w:space="0" w:color="CBD5E1"/>
          <w:right w:val="none"/>
          <w:insideH w:val="single" w:sz="4" w:space="0" w:color="CBD5E1"/>
          <w:insideV w:val="none"/>
        </w:tblBorders>
        <w:tblLayout w:type="fixed"/>
        <w:tblCellMar>
          <w:top w:w="0" w:type="dxa"/>
          <w:left w:w="108" w:type="dxa"/>
          <w:bottom w:w="0" w:type="dxa"/>
          <w:right w:w="108" w:type="dxa"/>
        </w:tblCellMar>
        <w:tblLook w:firstRow="1" w:firstColumn="1" w:noVBand="1"/>
      </w:tblPr>
      <w:tblGrid>
        <w:gridCol w:w="4824"/>
        <w:gridCol w:w="4824"/>
      </w:tblGrid>
      <w:tr>
        <w:tc>
          <w:tcPr>
            <w:tcW w:w="4824" w:type="dxa"/>
            <w:tcBorders>
              <w:top w:val="single" w:sz="4" w:space="0" w:color="CBD5E1"/>
              <w:left w:val="none"/>
              <w:bottom w:val="single" w:sz="4" w:space="0" w:color="CBD5E1"/>
              <w:right w:val="none"/>
            </w:tcBorders>
            <w:shd w:val="clear" w:fill="F8FAFC"/>
            <w:tcMar>
              <w:top w:w="90" w:type="dxa"/>
              <w:left w:w="130" w:type="dxa"/>
              <w:bottom w:w="90" w:type="dxa"/>
              <w:right w:w="130" w:type="dxa"/>
            </w:tcMar>
          </w:tcPr>
          <w:p w14:paraId="6E366601">
            <w:pPr>
              <w:spacing w:before="20" w:after="20"/>
              <w:jc w:val="left"/>
            </w:pPr>
            <w:r>
              <w:rPr>
                <w:rFonts w:ascii="Calibri" w:hAnsi="Calibri" w:eastAsia="ＭＳ 明朝" w:cs="Calibri" w:eastAsiaTheme="minorEastAsia" w:csTheme="minorBidi"/>
                <w:b/>
                <w:bCs/>
                <w:color w:val="0F172A"/>
                <w:sz w:val="18"/>
                <w:szCs w:val="22"/>
              </w:rPr>
              <w:t>Audience: Health Ministers, EPI Managers, Gavi/WHO/UNICEF Executives</w:t>
            </w:r>
          </w:p>
        </w:tc>
        <w:tc>
          <w:tcPr>
            <w:tcW w:w="4824" w:type="dxa"/>
            <w:tcBorders>
              <w:top w:val="single" w:sz="4" w:space="0" w:color="CBD5E1"/>
              <w:left w:val="none"/>
              <w:bottom w:val="single" w:sz="4" w:space="0" w:color="CBD5E1"/>
              <w:right w:val="none"/>
            </w:tcBorders>
            <w:shd w:val="clear" w:fill="F8FAFC"/>
            <w:tcMar>
              <w:top w:w="90" w:type="dxa"/>
              <w:left w:w="130" w:type="dxa"/>
              <w:bottom w:w="90" w:type="dxa"/>
              <w:right w:w="130" w:type="dxa"/>
            </w:tcMar>
          </w:tcPr>
          <w:p w14:paraId="7E1CA780">
            <w:pPr>
              <w:spacing w:before="20" w:after="20"/>
              <w:jc w:val="left"/>
            </w:pPr>
            <w:r>
              <w:rPr>
                <w:rFonts w:ascii="Calibri" w:hAnsi="Calibri" w:eastAsia="ＭＳ 明朝" w:cs="Calibri" w:eastAsiaTheme="minorEastAsia" w:csTheme="minorBidi"/>
                <w:b/>
                <w:bCs/>
                <w:color w:val="0F172A"/>
                <w:sz w:val="18"/>
                <w:szCs w:val="22"/>
              </w:rPr>
              <w:t>Platform Version: Enterprise Release v1.9.4</w:t>
            </w:r>
          </w:p>
        </w:tc>
      </w:tr>
      <w:tr>
        <w:tc>
          <w:tcPr>
            <w:tcW w:w="4824" w:type="dxa"/>
            <w:tcBorders>
              <w:top w:val="single" w:sz="4" w:space="0" w:color="CBD5E1"/>
              <w:left w:val="none"/>
              <w:bottom w:val="single" w:sz="4" w:space="0" w:color="CBD5E1"/>
              <w:right w:val="none"/>
            </w:tcBorders>
            <w:shd w:val="clear" w:fill="F8FAFC"/>
            <w:tcMar>
              <w:top w:w="90" w:type="dxa"/>
              <w:left w:w="130" w:type="dxa"/>
              <w:bottom w:w="90" w:type="dxa"/>
              <w:right w:w="130" w:type="dxa"/>
            </w:tcMar>
          </w:tcPr>
          <w:p w14:paraId="11CD8E03">
            <w:pPr>
              <w:spacing w:before="20" w:after="20"/>
              <w:jc w:val="left"/>
            </w:pPr>
            <w:r>
              <w:rPr>
                <w:rFonts w:ascii="Calibri" w:hAnsi="Calibri" w:eastAsia="ＭＳ 明朝" w:cs="Calibri" w:eastAsiaTheme="minorEastAsia" w:csTheme="minorBidi"/>
                <w:color w:val="1E293B"/>
                <w:sz w:val="18"/>
                <w:szCs w:val="22"/>
              </w:rPr>
              <w:t>Standards: WHO RED (2018), WHO IIP (2025), IA2030 Aligned</w:t>
            </w:r>
          </w:p>
        </w:tc>
        <w:tc>
          <w:tcPr>
            <w:tcW w:w="4824" w:type="dxa"/>
            <w:tcBorders>
              <w:top w:val="single" w:sz="4" w:space="0" w:color="CBD5E1"/>
              <w:left w:val="none"/>
              <w:bottom w:val="single" w:sz="4" w:space="0" w:color="CBD5E1"/>
              <w:right w:val="none"/>
            </w:tcBorders>
            <w:shd w:val="clear" w:fill="F8FAFC"/>
            <w:tcMar>
              <w:top w:w="90" w:type="dxa"/>
              <w:left w:w="130" w:type="dxa"/>
              <w:bottom w:w="90" w:type="dxa"/>
              <w:right w:w="130" w:type="dxa"/>
            </w:tcMar>
          </w:tcPr>
          <w:p w14:paraId="31779DBC">
            <w:pPr>
              <w:spacing w:before="20" w:after="20"/>
              <w:jc w:val="left"/>
            </w:pPr>
            <w:r>
              <w:rPr>
                <w:rFonts w:ascii="Calibri" w:hAnsi="Calibri" w:eastAsia="ＭＳ 明朝" w:cs="Calibri" w:eastAsiaTheme="minorEastAsia" w:csTheme="minorBidi"/>
                <w:color w:val="1E293B"/>
                <w:sz w:val="18"/>
                <w:szCs w:val="22"/>
              </w:rPr>
              <w:t>Deployment Scope: Multi-Tenant Sovereign Cloud / On-Premise</w:t>
            </w:r>
          </w:p>
        </w:tc>
      </w:tr>
    </w:tbl>
    <w:p w14:paraId="5BE96FF5">
      <w:pPr>
        <w:spacing w:after="200"/>
      </w:pPr>
    </w:p>
    <w:tbl>
      <w:tblPr>
        <w:tblW w:w="0" w:type="auto"/>
        <w:jc w:val="cente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CellMar>
          <w:top w:w="0" w:type="dxa"/>
          <w:left w:w="108" w:type="dxa"/>
          <w:bottom w:w="0" w:type="dxa"/>
          <w:right w:w="108" w:type="dxa"/>
        </w:tblCellMar>
        <w:tblLook w:firstRow="1" w:firstColumn="1" w:noVBand="1"/>
      </w:tblPr>
      <w:tblGrid>
        <w:gridCol w:w="2412"/>
        <w:gridCol w:w="2412"/>
        <w:gridCol w:w="2412"/>
        <w:gridCol w:w="2412"/>
      </w:tblGrid>
      <w:tr>
        <w:tc>
          <w:tcPr>
            <w:tcW w:w="2340" w:type="dxa"/>
            <w:tcBorders>
              <w:top w:val="single" w:sz="6" w:space="0" w:color="CBD5E1"/>
              <w:left w:val="single" w:sz="6" w:space="0" w:color="CBD5E1"/>
              <w:bottom w:val="single" w:sz="6" w:space="0" w:color="CBD5E1"/>
              <w:right w:val="single" w:sz="6" w:space="0" w:color="CBD5E1"/>
            </w:tcBorders>
            <w:shd w:val="clear" w:fill="F8FAFC"/>
            <w:tcMar>
              <w:top w:w="120" w:type="dxa"/>
              <w:left w:w="120" w:type="dxa"/>
              <w:bottom w:w="120" w:type="dxa"/>
              <w:right w:w="120" w:type="dxa"/>
            </w:tcMar>
          </w:tcPr>
          <w:p w14:paraId="37CD41BA">
            <w:pPr>
              <w:spacing w:before="20" w:after="20"/>
              <w:jc w:val="center"/>
            </w:pPr>
            <w:r>
              <w:rPr>
                <w:rFonts w:ascii="Calibri" w:hAnsi="Calibri" w:eastAsia="ＭＳ 明朝" w:cs="Calibri" w:eastAsiaTheme="minorEastAsia" w:csTheme="minorBidi"/>
                <w:b/>
                <w:bCs/>
                <w:color w:val="2563EB"/>
                <w:sz w:val="32"/>
                <w:szCs w:val="22"/>
              </w:rPr>
              <w:t>35%</w:t>
            </w:r>
            <w:r>
              <w:br w:type="textWrapping"/>
            </w:r>
            <w:r>
              <w:rPr>
                <w:rFonts w:ascii="Calibri" w:hAnsi="Calibri" w:eastAsia="ＭＳ 明朝" w:cs="Calibri" w:eastAsiaTheme="minorEastAsia" w:csTheme="minorBidi"/>
                <w:b/>
                <w:bCs/>
                <w:color w:val="0F172A"/>
                <w:sz w:val="18"/>
                <w:szCs w:val="22"/>
              </w:rPr>
              <w:t>Zero-Dose Reach</w:t>
            </w:r>
            <w:r>
              <w:br w:type="textWrapping"/>
            </w:r>
            <w:r>
              <w:rPr>
                <w:rFonts w:ascii="Calibri" w:hAnsi="Calibri" w:eastAsia="ＭＳ 明朝" w:cs="Calibri" w:eastAsiaTheme="minorEastAsia" w:csTheme="minorBidi"/>
                <w:color w:val="64748B"/>
                <w:sz w:val="15"/>
                <w:szCs w:val="22"/>
              </w:rPr>
              <w:t>Increase in verified unreached communities</w:t>
            </w:r>
          </w:p>
        </w:tc>
        <w:tc>
          <w:tcPr>
            <w:tcW w:w="2340" w:type="dxa"/>
            <w:tcBorders>
              <w:top w:val="single" w:sz="6" w:space="0" w:color="CBD5E1"/>
              <w:left w:val="single" w:sz="6" w:space="0" w:color="CBD5E1"/>
              <w:bottom w:val="single" w:sz="6" w:space="0" w:color="CBD5E1"/>
              <w:right w:val="single" w:sz="6" w:space="0" w:color="CBD5E1"/>
            </w:tcBorders>
            <w:shd w:val="clear" w:fill="F8FAFC"/>
            <w:tcMar>
              <w:top w:w="120" w:type="dxa"/>
              <w:left w:w="120" w:type="dxa"/>
              <w:bottom w:w="120" w:type="dxa"/>
              <w:right w:w="120" w:type="dxa"/>
            </w:tcMar>
          </w:tcPr>
          <w:p w14:paraId="79728E29">
            <w:pPr>
              <w:spacing w:before="20" w:after="20"/>
              <w:jc w:val="center"/>
            </w:pPr>
            <w:r>
              <w:rPr>
                <w:rFonts w:ascii="Calibri" w:hAnsi="Calibri" w:eastAsia="ＭＳ 明朝" w:cs="Calibri" w:eastAsiaTheme="minorEastAsia" w:csTheme="minorBidi"/>
                <w:b/>
                <w:bCs/>
                <w:color w:val="2563EB"/>
                <w:sz w:val="32"/>
                <w:szCs w:val="22"/>
              </w:rPr>
              <w:t>10 Days</w:t>
            </w:r>
            <w:r>
              <w:br w:type="textWrapping"/>
            </w:r>
            <w:r>
              <w:rPr>
                <w:rFonts w:ascii="Calibri" w:hAnsi="Calibri" w:eastAsia="ＭＳ 明朝" w:cs="Calibri" w:eastAsiaTheme="minorEastAsia" w:csTheme="minorBidi"/>
                <w:b/>
                <w:bCs/>
                <w:color w:val="0F172A"/>
                <w:sz w:val="18"/>
                <w:szCs w:val="22"/>
              </w:rPr>
              <w:t>National Turnaround</w:t>
            </w:r>
            <w:r>
              <w:br w:type="textWrapping"/>
            </w:r>
            <w:r>
              <w:rPr>
                <w:rFonts w:ascii="Calibri" w:hAnsi="Calibri" w:eastAsia="ＭＳ 明朝" w:cs="Calibri" w:eastAsiaTheme="minorEastAsia" w:csTheme="minorBidi"/>
                <w:color w:val="64748B"/>
                <w:sz w:val="15"/>
                <w:szCs w:val="22"/>
              </w:rPr>
              <w:t>Compressed from 16 weeks of paper plans</w:t>
            </w:r>
          </w:p>
        </w:tc>
        <w:tc>
          <w:tcPr>
            <w:tcW w:w="2340" w:type="dxa"/>
            <w:tcBorders>
              <w:top w:val="single" w:sz="6" w:space="0" w:color="CBD5E1"/>
              <w:left w:val="single" w:sz="6" w:space="0" w:color="CBD5E1"/>
              <w:bottom w:val="single" w:sz="6" w:space="0" w:color="CBD5E1"/>
              <w:right w:val="single" w:sz="6" w:space="0" w:color="CBD5E1"/>
            </w:tcBorders>
            <w:shd w:val="clear" w:fill="F8FAFC"/>
            <w:tcMar>
              <w:top w:w="120" w:type="dxa"/>
              <w:left w:w="120" w:type="dxa"/>
              <w:bottom w:w="120" w:type="dxa"/>
              <w:right w:w="120" w:type="dxa"/>
            </w:tcMar>
          </w:tcPr>
          <w:p w14:paraId="185A5DAD">
            <w:pPr>
              <w:spacing w:before="20" w:after="20"/>
              <w:jc w:val="center"/>
            </w:pPr>
            <w:r>
              <w:rPr>
                <w:rFonts w:ascii="Calibri" w:hAnsi="Calibri" w:eastAsia="ＭＳ 明朝" w:cs="Calibri" w:eastAsiaTheme="minorEastAsia" w:csTheme="minorBidi"/>
                <w:b/>
                <w:bCs/>
                <w:color w:val="2563EB"/>
                <w:sz w:val="32"/>
                <w:szCs w:val="22"/>
              </w:rPr>
              <w:t>100%</w:t>
            </w:r>
            <w:r>
              <w:br w:type="textWrapping"/>
            </w:r>
            <w:r>
              <w:rPr>
                <w:rFonts w:ascii="Calibri" w:hAnsi="Calibri" w:eastAsia="ＭＳ 明朝" w:cs="Calibri" w:eastAsiaTheme="minorEastAsia" w:csTheme="minorBidi"/>
                <w:b/>
                <w:bCs/>
                <w:color w:val="0F172A"/>
                <w:sz w:val="18"/>
                <w:szCs w:val="22"/>
              </w:rPr>
              <w:t>Cold Chain Sizing</w:t>
            </w:r>
            <w:r>
              <w:br w:type="textWrapping"/>
            </w:r>
            <w:r>
              <w:rPr>
                <w:rFonts w:ascii="Calibri" w:hAnsi="Calibri" w:eastAsia="ＭＳ 明朝" w:cs="Calibri" w:eastAsiaTheme="minorEastAsia" w:csTheme="minorBidi"/>
                <w:color w:val="64748B"/>
                <w:sz w:val="15"/>
                <w:szCs w:val="22"/>
              </w:rPr>
              <w:t>Antigen volume matched to net fridge liters</w:t>
            </w:r>
          </w:p>
        </w:tc>
        <w:tc>
          <w:tcPr>
            <w:tcW w:w="2340" w:type="dxa"/>
            <w:tcBorders>
              <w:top w:val="single" w:sz="6" w:space="0" w:color="CBD5E1"/>
              <w:left w:val="single" w:sz="6" w:space="0" w:color="CBD5E1"/>
              <w:bottom w:val="single" w:sz="6" w:space="0" w:color="CBD5E1"/>
              <w:right w:val="single" w:sz="6" w:space="0" w:color="CBD5E1"/>
            </w:tcBorders>
            <w:shd w:val="clear" w:fill="F8FAFC"/>
            <w:tcMar>
              <w:top w:w="120" w:type="dxa"/>
              <w:left w:w="120" w:type="dxa"/>
              <w:bottom w:w="120" w:type="dxa"/>
              <w:right w:w="120" w:type="dxa"/>
            </w:tcMar>
          </w:tcPr>
          <w:p w14:paraId="13C28EE5">
            <w:pPr>
              <w:spacing w:before="20" w:after="20"/>
              <w:jc w:val="center"/>
            </w:pPr>
            <w:r>
              <w:rPr>
                <w:rFonts w:ascii="Calibri" w:hAnsi="Calibri" w:eastAsia="ＭＳ 明朝" w:cs="Calibri" w:eastAsiaTheme="minorEastAsia" w:csTheme="minorBidi"/>
                <w:b/>
                <w:bCs/>
                <w:color w:val="2563EB"/>
                <w:sz w:val="32"/>
                <w:szCs w:val="22"/>
              </w:rPr>
              <w:t>Offline</w:t>
            </w:r>
            <w:r>
              <w:br w:type="textWrapping"/>
            </w:r>
            <w:r>
              <w:rPr>
                <w:rFonts w:ascii="Calibri" w:hAnsi="Calibri" w:eastAsia="ＭＳ 明朝" w:cs="Calibri" w:eastAsiaTheme="minorEastAsia" w:csTheme="minorBidi"/>
                <w:b/>
                <w:bCs/>
                <w:color w:val="0F172A"/>
                <w:sz w:val="18"/>
                <w:szCs w:val="22"/>
              </w:rPr>
              <w:t>Field Resilience</w:t>
            </w:r>
            <w:r>
              <w:br w:type="textWrapping"/>
            </w:r>
            <w:r>
              <w:rPr>
                <w:rFonts w:ascii="Calibri" w:hAnsi="Calibri" w:eastAsia="ＭＳ 明朝" w:cs="Calibri" w:eastAsiaTheme="minorEastAsia" w:csTheme="minorBidi"/>
                <w:color w:val="64748B"/>
                <w:sz w:val="15"/>
                <w:szCs w:val="22"/>
              </w:rPr>
              <w:t>Encrypted local sync for zero-connectivity posts</w:t>
            </w:r>
          </w:p>
        </w:tc>
      </w:tr>
    </w:tbl>
    <w:p w14:paraId="7353FFF0">
      <w:pPr>
        <w:spacing w:after="80"/>
      </w:pPr>
    </w:p>
    <w:p w14:paraId="79AA4A31">
      <w:pPr>
        <w:keepNext/>
        <w:spacing w:before="360" w:after="120"/>
      </w:pPr>
      <w:r>
        <w:rPr>
          <w:rFonts w:ascii="Calibri" w:hAnsi="Calibri" w:eastAsia="ＭＳ 明朝" w:cs="Calibri" w:eastAsiaTheme="minorEastAsia" w:csTheme="minorBidi"/>
          <w:b/>
          <w:bCs/>
          <w:color w:val="0F172A"/>
          <w:sz w:val="30"/>
          <w:szCs w:val="22"/>
        </w:rPr>
        <w:t>1. Executive Summary: Transforming Immunization Frontlines</w:t>
      </w:r>
    </w:p>
    <w:p w14:paraId="528E33B0">
      <w:pPr>
        <w:spacing w:before="0" w:after="100" w:line="276" w:lineRule="auto"/>
      </w:pPr>
      <w:r>
        <w:rPr>
          <w:rFonts w:ascii="Calibri" w:hAnsi="Calibri" w:eastAsia="ＭＳ 明朝" w:cs="Calibri" w:eastAsiaTheme="minorEastAsia" w:csTheme="minorBidi"/>
          <w:color w:val="1E293B"/>
          <w:sz w:val="19"/>
          <w:szCs w:val="22"/>
        </w:rPr>
        <w:t>Every year, more than 14 million infants globally fail to receive a single dose of life-saving vaccines. An additional 6 million drop out before completing their primary immunization series. Despite global investments exceeding billions of dollars in vaccine research, cold chain refrigerators, and regional storage facilities, the global immunization architecture continues to fail at the last mile: operational microplanning.</w:t>
      </w:r>
    </w:p>
    <w:p w14:paraId="2241A312">
      <w:pPr>
        <w:spacing w:before="0" w:after="100" w:line="276" w:lineRule="auto"/>
      </w:pPr>
      <w:r>
        <w:rPr>
          <w:rFonts w:ascii="Calibri" w:hAnsi="Calibri" w:eastAsia="ＭＳ 明朝" w:cs="Calibri" w:eastAsiaTheme="minorEastAsia" w:csTheme="minorBidi"/>
          <w:color w:val="1E293B"/>
          <w:sz w:val="19"/>
          <w:szCs w:val="22"/>
        </w:rPr>
        <w:t>Traditional microplanning relies on static paper sheets, disconnected spreadsheets, and outdated wall maps. In practice, this creates four systemic operational vulnerabilities:</w:t>
      </w:r>
    </w:p>
    <w:p w14:paraId="08FCC3F0">
      <w:pPr>
        <w:pStyle w:val="ListBullet"/>
        <w:spacing w:before="0" w:after="60" w:line="276" w:lineRule="auto"/>
        <w:ind w:left="360" w:hanging="360"/>
      </w:pPr>
      <w:r>
        <w:rPr>
          <w:rFonts w:ascii="Calibri" w:hAnsi="Calibri" w:eastAsia="ＭＳ 明朝" w:cs="Calibri" w:eastAsiaTheme="minorEastAsia" w:csTheme="minorBidi"/>
          <w:b/>
          <w:bCs/>
          <w:color w:val="0F172A"/>
          <w:sz w:val="19"/>
          <w:szCs w:val="22"/>
        </w:rPr>
        <w:t xml:space="preserve">1. Denominator Blindness: </w:t>
      </w:r>
      <w:r>
        <w:rPr>
          <w:rFonts w:ascii="Calibri" w:hAnsi="Calibri" w:eastAsia="ＭＳ 明朝" w:cs="Calibri" w:eastAsiaTheme="minorEastAsia" w:csTheme="minorBidi"/>
          <w:color w:val="1E293B"/>
          <w:sz w:val="19"/>
          <w:szCs w:val="22"/>
        </w:rPr>
        <w:t>Outdated national censuses overlook rapid urban slum expansion, remote nomadic movements, and seasonal agricultural settlements.</w:t>
      </w:r>
    </w:p>
    <w:p w14:paraId="1A5B0661">
      <w:pPr>
        <w:pStyle w:val="ListBullet"/>
        <w:spacing w:before="0" w:after="60" w:line="276" w:lineRule="auto"/>
        <w:ind w:left="360" w:hanging="360"/>
      </w:pPr>
      <w:r>
        <w:rPr>
          <w:rFonts w:ascii="Calibri" w:hAnsi="Calibri" w:eastAsia="ＭＳ 明朝" w:cs="Calibri" w:eastAsiaTheme="minorEastAsia" w:csTheme="minorBidi"/>
          <w:b/>
          <w:bCs/>
          <w:color w:val="0F172A"/>
          <w:sz w:val="19"/>
          <w:szCs w:val="22"/>
        </w:rPr>
        <w:t xml:space="preserve">2. Ghost Sessions &amp; Wastage: </w:t>
      </w:r>
      <w:r>
        <w:rPr>
          <w:rFonts w:ascii="Calibri" w:hAnsi="Calibri" w:eastAsia="ＭＳ 明朝" w:cs="Calibri" w:eastAsiaTheme="minorEastAsia" w:csTheme="minorBidi"/>
          <w:color w:val="1E293B"/>
          <w:sz w:val="19"/>
          <w:szCs w:val="22"/>
        </w:rPr>
        <w:t>Up to 40% of planned outreach sessions are cancelled on the morning of implementation due to missing transport fuel, uncoordinated nurse shifts, or depleted cold boxes.</w:t>
      </w:r>
    </w:p>
    <w:p w14:paraId="7CF505DB">
      <w:pPr>
        <w:pStyle w:val="ListBullet"/>
        <w:spacing w:before="0" w:after="60" w:line="276" w:lineRule="auto"/>
        <w:ind w:left="360" w:hanging="360"/>
      </w:pPr>
      <w:r>
        <w:rPr>
          <w:rFonts w:ascii="Calibri" w:hAnsi="Calibri" w:eastAsia="ＭＳ 明朝" w:cs="Calibri" w:eastAsiaTheme="minorEastAsia" w:csTheme="minorBidi"/>
          <w:b/>
          <w:bCs/>
          <w:color w:val="0F172A"/>
          <w:sz w:val="19"/>
          <w:szCs w:val="22"/>
        </w:rPr>
        <w:t xml:space="preserve">3. Stagnant Governance: </w:t>
      </w:r>
      <w:r>
        <w:rPr>
          <w:rFonts w:ascii="Calibri" w:hAnsi="Calibri" w:eastAsia="ＭＳ 明朝" w:cs="Calibri" w:eastAsiaTheme="minorEastAsia" w:csTheme="minorBidi"/>
          <w:color w:val="1E293B"/>
          <w:sz w:val="19"/>
          <w:szCs w:val="22"/>
        </w:rPr>
        <w:t>Paper plans take 3 to 6 months to compile, approve, and budget, arriving at clinics long after the planned implementation quarter has expired.</w:t>
      </w:r>
    </w:p>
    <w:p w14:paraId="0B8637DA">
      <w:pPr>
        <w:pStyle w:val="ListBullet"/>
        <w:spacing w:before="0" w:after="60" w:line="276" w:lineRule="auto"/>
        <w:ind w:left="360" w:hanging="360"/>
      </w:pPr>
      <w:r>
        <w:rPr>
          <w:rFonts w:ascii="Calibri" w:hAnsi="Calibri" w:eastAsia="ＭＳ 明朝" w:cs="Calibri" w:eastAsiaTheme="minorEastAsia" w:csTheme="minorBidi"/>
          <w:b/>
          <w:bCs/>
          <w:color w:val="0F172A"/>
          <w:sz w:val="19"/>
          <w:szCs w:val="22"/>
        </w:rPr>
        <w:t xml:space="preserve">4. Critical Data Silos: </w:t>
      </w:r>
      <w:r>
        <w:rPr>
          <w:rFonts w:ascii="Calibri" w:hAnsi="Calibri" w:eastAsia="ＭＳ 明朝" w:cs="Calibri" w:eastAsiaTheme="minorEastAsia" w:csTheme="minorBidi"/>
          <w:color w:val="1E293B"/>
          <w:sz w:val="19"/>
          <w:szCs w:val="22"/>
        </w:rPr>
        <w:t>Frontline registers, cold chain inventories, and disease surveillance logs exist in disconnected physical books that cannot feed national HMIS/DHIS2 platforms.</w:t>
      </w:r>
    </w:p>
    <w:tbl>
      <w:tblPr>
        <w:tblW w:w="0" w:type="auto"/>
        <w:jc w:val="center"/>
        <w:tblBorders>
          <w:top w:val="none"/>
          <w:left w:val="single" w:sz="24" w:space="0" w:color="3B82F6"/>
          <w:bottom w:val="none"/>
          <w:right w:val="none"/>
          <w:insideH w:val="none"/>
          <w:insideV w:val="none"/>
        </w:tblBorders>
        <w:tblLayout w:type="fixed"/>
        <w:tblCellMar>
          <w:top w:w="0" w:type="dxa"/>
          <w:left w:w="108" w:type="dxa"/>
          <w:bottom w:w="0" w:type="dxa"/>
          <w:right w:w="108" w:type="dxa"/>
        </w:tblCellMar>
        <w:tblLook w:firstRow="1" w:firstColumn="1" w:noVBand="1"/>
      </w:tblPr>
      <w:tblGrid>
        <w:gridCol w:w="9360"/>
      </w:tblGrid>
      <w:tr>
        <w:tc>
          <w:tcPr>
            <w:tcW w:w="9648" w:type="dxa"/>
            <w:tcBorders>
              <w:top w:val="none"/>
              <w:left w:val="single" w:sz="24" w:space="0" w:color="3B82F6"/>
              <w:bottom w:val="none"/>
              <w:right w:val="none"/>
            </w:tcBorders>
            <w:shd w:val="clear" w:fill="EFF6FF"/>
            <w:tcMar>
              <w:top w:w="140" w:type="dxa"/>
              <w:left w:w="180" w:type="dxa"/>
              <w:bottom w:w="140" w:type="dxa"/>
              <w:right w:w="180" w:type="dxa"/>
            </w:tcMar>
          </w:tcPr>
          <w:p w14:paraId="7DB62E14">
            <w:pPr>
              <w:spacing w:before="40" w:after="40"/>
            </w:pPr>
            <w:r>
              <w:rPr>
                <w:rFonts w:ascii="Calibri" w:hAnsi="Calibri" w:eastAsia="ＭＳ 明朝" w:cs="Calibri" w:eastAsiaTheme="minorEastAsia" w:csTheme="minorBidi"/>
                <w:b/>
                <w:bCs/>
                <w:color w:val="3B82F6"/>
                <w:sz w:val="20"/>
                <w:szCs w:val="22"/>
              </w:rPr>
              <w:t xml:space="preserve">The VaxPlan Paradigm Shift: </w:t>
            </w:r>
            <w:r>
              <w:rPr>
                <w:rFonts w:ascii="Calibri" w:hAnsi="Calibri" w:eastAsia="ＭＳ 明朝" w:cs="Calibri" w:eastAsiaTheme="minorEastAsia" w:csTheme="minorBidi"/>
                <w:i/>
                <w:iCs/>
                <w:color w:val="1E293B"/>
                <w:sz w:val="19"/>
                <w:szCs w:val="22"/>
              </w:rPr>
              <w:t>VaxPlan transforms immunization microplanning from an annual paper burden into a live, spatial digital operating system. Health facilities, district teams, and national ministries operate on a shared geospatial platform that turns population data into verified vaccination sessions.</w:t>
            </w:r>
          </w:p>
        </w:tc>
      </w:tr>
    </w:tbl>
    <w:p w14:paraId="246D75A4">
      <w:pPr>
        <w:spacing w:after="80"/>
      </w:pPr>
    </w:p>
    <w:p w14:paraId="79595C40">
      <w:pPr>
        <w:keepNext/>
        <w:spacing w:before="360" w:after="120"/>
      </w:pPr>
      <w:r>
        <w:rPr>
          <w:rFonts w:ascii="Calibri" w:hAnsi="Calibri" w:eastAsia="ＭＳ 明朝" w:cs="Calibri" w:eastAsiaTheme="minorEastAsia" w:csTheme="minorBidi"/>
          <w:b/>
          <w:bCs/>
          <w:color w:val="0F172A"/>
          <w:sz w:val="30"/>
          <w:szCs w:val="22"/>
        </w:rPr>
        <w:t>2. End-to-End Platform Architecture &amp; Functional Modules</w:t>
      </w:r>
    </w:p>
    <w:p w14:paraId="28F608EB">
      <w:pPr>
        <w:spacing w:before="0" w:after="100" w:line="276" w:lineRule="auto"/>
      </w:pPr>
      <w:r>
        <w:rPr>
          <w:rFonts w:ascii="Calibri" w:hAnsi="Calibri" w:eastAsia="ＭＳ 明朝" w:cs="Calibri" w:eastAsiaTheme="minorEastAsia" w:csTheme="minorBidi"/>
          <w:color w:val="1E293B"/>
          <w:sz w:val="19"/>
          <w:szCs w:val="22"/>
        </w:rPr>
        <w:t>VaxPlan provides eight deeply integrated core modules engineered to satisfy every operational and governance requirement of national immunization programs:</w:t>
      </w:r>
    </w:p>
    <w:tbl>
      <w:tblPr>
        <w:tblW w:w="0" w:type="auto"/>
        <w:jc w:val="center"/>
        <w:tblBorders>
          <w:top w:val="single" w:sz="8" w:space="0" w:color="1E3A8A"/>
          <w:left w:val="none"/>
          <w:bottom w:val="single" w:sz="8" w:space="0" w:color="1E3A8A"/>
          <w:right w:val="none"/>
          <w:insideH w:val="single" w:sz="8" w:space="0" w:color="1E3A8A"/>
          <w:insideV w:val="none"/>
        </w:tblBorders>
        <w:tblLayout w:type="fixed"/>
        <w:tblCellMar>
          <w:top w:w="0" w:type="dxa"/>
          <w:left w:w="108" w:type="dxa"/>
          <w:bottom w:w="0" w:type="dxa"/>
          <w:right w:w="108" w:type="dxa"/>
        </w:tblCellMar>
        <w:tblLook w:firstRow="1" w:firstColumn="1" w:noVBand="1"/>
      </w:tblPr>
      <w:tblGrid>
        <w:gridCol w:w="2592"/>
        <w:gridCol w:w="4608"/>
        <w:gridCol w:w="2448"/>
      </w:tblGrid>
      <w:tr>
        <w:tc>
          <w:tcPr>
            <w:tcW w:w="3216" w:type="dxa"/>
            <w:tcBorders>
              <w:top w:val="single" w:sz="8" w:space="0" w:color="1E3A8A"/>
              <w:left w:val="none"/>
              <w:bottom w:val="single" w:sz="8" w:space="0" w:color="1E3A8A"/>
              <w:right w:val="none"/>
            </w:tcBorders>
            <w:shd w:val="clear" w:fill="0F172A"/>
            <w:tcMar>
              <w:top w:w="140" w:type="dxa"/>
              <w:left w:w="150" w:type="dxa"/>
              <w:bottom w:w="140" w:type="dxa"/>
              <w:right w:w="150" w:type="dxa"/>
            </w:tcMar>
          </w:tcPr>
          <w:p w14:paraId="4B956433">
            <w:pPr>
              <w:spacing w:before="40" w:after="40"/>
              <w:jc w:val="left"/>
            </w:pPr>
            <w:r>
              <w:rPr>
                <w:rFonts w:ascii="Calibri" w:hAnsi="Calibri" w:eastAsia="ＭＳ 明朝" w:cs="Calibri" w:eastAsiaTheme="minorEastAsia" w:csTheme="minorBidi"/>
                <w:b/>
                <w:bCs/>
                <w:color w:val="FFFFFF"/>
                <w:sz w:val="19"/>
                <w:szCs w:val="22"/>
              </w:rPr>
              <w:t>Module</w:t>
            </w:r>
          </w:p>
        </w:tc>
        <w:tc>
          <w:tcPr>
            <w:tcW w:w="3216" w:type="dxa"/>
            <w:tcBorders>
              <w:top w:val="single" w:sz="8" w:space="0" w:color="1E3A8A"/>
              <w:left w:val="none"/>
              <w:bottom w:val="single" w:sz="8" w:space="0" w:color="1E3A8A"/>
              <w:right w:val="none"/>
            </w:tcBorders>
            <w:shd w:val="clear" w:fill="0F172A"/>
            <w:tcMar>
              <w:top w:w="140" w:type="dxa"/>
              <w:left w:w="150" w:type="dxa"/>
              <w:bottom w:w="140" w:type="dxa"/>
              <w:right w:w="150" w:type="dxa"/>
            </w:tcMar>
          </w:tcPr>
          <w:p w14:paraId="6D8C991D">
            <w:pPr>
              <w:spacing w:before="40" w:after="40"/>
              <w:jc w:val="left"/>
            </w:pPr>
            <w:r>
              <w:rPr>
                <w:rFonts w:ascii="Calibri" w:hAnsi="Calibri" w:eastAsia="ＭＳ 明朝" w:cs="Calibri" w:eastAsiaTheme="minorEastAsia" w:csTheme="minorBidi"/>
                <w:b/>
                <w:bCs/>
                <w:color w:val="FFFFFF"/>
                <w:sz w:val="19"/>
                <w:szCs w:val="22"/>
              </w:rPr>
              <w:t>Core Capabilities &amp; Technological Features</w:t>
            </w:r>
          </w:p>
        </w:tc>
        <w:tc>
          <w:tcPr>
            <w:tcW w:w="3216" w:type="dxa"/>
            <w:tcBorders>
              <w:top w:val="single" w:sz="8" w:space="0" w:color="1E3A8A"/>
              <w:left w:val="none"/>
              <w:bottom w:val="single" w:sz="8" w:space="0" w:color="1E3A8A"/>
              <w:right w:val="none"/>
            </w:tcBorders>
            <w:shd w:val="clear" w:fill="0F172A"/>
            <w:tcMar>
              <w:top w:w="140" w:type="dxa"/>
              <w:left w:w="150" w:type="dxa"/>
              <w:bottom w:w="140" w:type="dxa"/>
              <w:right w:w="150" w:type="dxa"/>
            </w:tcMar>
          </w:tcPr>
          <w:p w14:paraId="7E222EAF">
            <w:pPr>
              <w:spacing w:before="40" w:after="40"/>
              <w:jc w:val="left"/>
            </w:pPr>
            <w:r>
              <w:rPr>
                <w:rFonts w:ascii="Calibri" w:hAnsi="Calibri" w:eastAsia="ＭＳ 明朝" w:cs="Calibri" w:eastAsiaTheme="minorEastAsia" w:csTheme="minorBidi"/>
                <w:b/>
                <w:bCs/>
                <w:color w:val="FFFFFF"/>
                <w:sz w:val="19"/>
                <w:szCs w:val="22"/>
              </w:rPr>
              <w:t>Operational Value</w:t>
            </w:r>
          </w:p>
        </w:tc>
      </w:tr>
      <w:tr>
        <w:tc>
          <w:tcPr>
            <w:tcW w:w="3216" w:type="dxa"/>
            <w:tcBorders>
              <w:top w:val="single" w:sz="4" w:space="0" w:color="CBD5E1"/>
              <w:left w:val="none"/>
              <w:bottom w:val="single" w:sz="4" w:space="0" w:color="CBD5E1"/>
              <w:right w:val="none"/>
            </w:tcBorders>
            <w:shd w:val="clear" w:fill="F8FAFC"/>
            <w:tcMar>
              <w:top w:w="90" w:type="dxa"/>
              <w:left w:w="130" w:type="dxa"/>
              <w:bottom w:w="90" w:type="dxa"/>
              <w:right w:w="130" w:type="dxa"/>
            </w:tcMar>
          </w:tcPr>
          <w:p w14:paraId="12762603">
            <w:pPr>
              <w:spacing w:before="20" w:after="20"/>
              <w:jc w:val="left"/>
            </w:pPr>
            <w:r>
              <w:rPr>
                <w:rFonts w:ascii="Calibri" w:hAnsi="Calibri" w:eastAsia="ＭＳ 明朝" w:cs="Calibri" w:eastAsiaTheme="minorEastAsia" w:csTheme="minorBidi"/>
                <w:b/>
                <w:bCs/>
                <w:color w:val="1E3A8A"/>
                <w:sz w:val="18"/>
                <w:szCs w:val="22"/>
              </w:rPr>
              <w:t>1. Spatial Population Intelligence</w:t>
            </w:r>
          </w:p>
        </w:tc>
        <w:tc>
          <w:tcPr>
            <w:tcW w:w="3216" w:type="dxa"/>
            <w:tcBorders>
              <w:top w:val="single" w:sz="4" w:space="0" w:color="CBD5E1"/>
              <w:left w:val="none"/>
              <w:bottom w:val="single" w:sz="4" w:space="0" w:color="CBD5E1"/>
              <w:right w:val="none"/>
            </w:tcBorders>
            <w:shd w:val="clear" w:fill="F8FAFC"/>
            <w:tcMar>
              <w:top w:w="90" w:type="dxa"/>
              <w:left w:w="130" w:type="dxa"/>
              <w:bottom w:w="90" w:type="dxa"/>
              <w:right w:w="130" w:type="dxa"/>
            </w:tcMar>
          </w:tcPr>
          <w:p w14:paraId="1E0085E4">
            <w:pPr>
              <w:spacing w:before="20" w:after="20"/>
              <w:jc w:val="left"/>
            </w:pPr>
            <w:r>
              <w:rPr>
                <w:rFonts w:ascii="Calibri" w:hAnsi="Calibri" w:eastAsia="ＭＳ 明朝" w:cs="Calibri" w:eastAsiaTheme="minorEastAsia" w:csTheme="minorBidi"/>
                <w:color w:val="1E293B"/>
                <w:sz w:val="18"/>
                <w:szCs w:val="22"/>
              </w:rPr>
              <w:t>Harmonizes NSO census, DHIS2, and WorldPop 100m rasters. Real-time facility catchment polygon editing and automated settlement harvesting.</w:t>
            </w:r>
          </w:p>
        </w:tc>
        <w:tc>
          <w:tcPr>
            <w:tcW w:w="3216" w:type="dxa"/>
            <w:tcBorders>
              <w:top w:val="single" w:sz="4" w:space="0" w:color="CBD5E1"/>
              <w:left w:val="none"/>
              <w:bottom w:val="single" w:sz="4" w:space="0" w:color="CBD5E1"/>
              <w:right w:val="none"/>
            </w:tcBorders>
            <w:shd w:val="clear" w:fill="F8FAFC"/>
            <w:tcMar>
              <w:top w:w="90" w:type="dxa"/>
              <w:left w:w="130" w:type="dxa"/>
              <w:bottom w:w="90" w:type="dxa"/>
              <w:right w:w="130" w:type="dxa"/>
            </w:tcMar>
          </w:tcPr>
          <w:p w14:paraId="4919E08A">
            <w:pPr>
              <w:spacing w:before="20" w:after="20"/>
              <w:jc w:val="left"/>
            </w:pPr>
            <w:r>
              <w:rPr>
                <w:rFonts w:ascii="Calibri" w:hAnsi="Calibri" w:eastAsia="ＭＳ 明朝" w:cs="Calibri" w:eastAsiaTheme="minorEastAsia" w:csTheme="minorBidi"/>
                <w:b/>
                <w:bCs/>
                <w:color w:val="059669"/>
                <w:sz w:val="18"/>
                <w:szCs w:val="22"/>
              </w:rPr>
              <w:t>Eliminates uncounted zero-dose communities.</w:t>
            </w:r>
          </w:p>
        </w:tc>
      </w:tr>
      <w:tr>
        <w:tc>
          <w:tcPr>
            <w:tcW w:w="3216" w:type="dxa"/>
            <w:tcBorders>
              <w:top w:val="single" w:sz="4" w:space="0" w:color="CBD5E1"/>
              <w:left w:val="none"/>
              <w:bottom w:val="single" w:sz="4" w:space="0" w:color="CBD5E1"/>
              <w:right w:val="none"/>
            </w:tcBorders>
            <w:shd w:val="clear" w:fill="FFFFFF"/>
            <w:tcMar>
              <w:top w:w="90" w:type="dxa"/>
              <w:left w:w="130" w:type="dxa"/>
              <w:bottom w:w="90" w:type="dxa"/>
              <w:right w:w="130" w:type="dxa"/>
            </w:tcMar>
          </w:tcPr>
          <w:p w14:paraId="215CD0EC">
            <w:pPr>
              <w:spacing w:before="20" w:after="20"/>
              <w:jc w:val="left"/>
            </w:pPr>
            <w:r>
              <w:rPr>
                <w:rFonts w:ascii="Calibri" w:hAnsi="Calibri" w:eastAsia="ＭＳ 明朝" w:cs="Calibri" w:eastAsiaTheme="minorEastAsia" w:csTheme="minorBidi"/>
                <w:b/>
                <w:bCs/>
                <w:color w:val="1E3A8A"/>
                <w:sz w:val="18"/>
                <w:szCs w:val="22"/>
              </w:rPr>
              <w:t>2. 12-Step Guided Microplanning Engine</w:t>
            </w:r>
          </w:p>
        </w:tc>
        <w:tc>
          <w:tcPr>
            <w:tcW w:w="3216" w:type="dxa"/>
            <w:tcBorders>
              <w:top w:val="single" w:sz="4" w:space="0" w:color="CBD5E1"/>
              <w:left w:val="none"/>
              <w:bottom w:val="single" w:sz="4" w:space="0" w:color="CBD5E1"/>
              <w:right w:val="none"/>
            </w:tcBorders>
            <w:shd w:val="clear" w:fill="FFFFFF"/>
            <w:tcMar>
              <w:top w:w="90" w:type="dxa"/>
              <w:left w:w="130" w:type="dxa"/>
              <w:bottom w:w="90" w:type="dxa"/>
              <w:right w:w="130" w:type="dxa"/>
            </w:tcMar>
          </w:tcPr>
          <w:p w14:paraId="765D963B">
            <w:pPr>
              <w:spacing w:before="20" w:after="20"/>
              <w:jc w:val="left"/>
            </w:pPr>
            <w:r>
              <w:rPr>
                <w:rFonts w:ascii="Calibri" w:hAnsi="Calibri" w:eastAsia="ＭＳ 明朝" w:cs="Calibri" w:eastAsiaTheme="minorEastAsia" w:csTheme="minorBidi"/>
                <w:color w:val="1E293B"/>
                <w:sz w:val="18"/>
                <w:szCs w:val="22"/>
              </w:rPr>
              <w:t>Complete digital workflow: Coverage &amp; RED matrix, mapping, BeSD root-causes, calendar sizing, staffing, cold chain forecast, defaulter tracing, budget, and supervision.</w:t>
            </w:r>
          </w:p>
        </w:tc>
        <w:tc>
          <w:tcPr>
            <w:tcW w:w="3216" w:type="dxa"/>
            <w:tcBorders>
              <w:top w:val="single" w:sz="4" w:space="0" w:color="CBD5E1"/>
              <w:left w:val="none"/>
              <w:bottom w:val="single" w:sz="4" w:space="0" w:color="CBD5E1"/>
              <w:right w:val="none"/>
            </w:tcBorders>
            <w:shd w:val="clear" w:fill="FFFFFF"/>
            <w:tcMar>
              <w:top w:w="90" w:type="dxa"/>
              <w:left w:w="130" w:type="dxa"/>
              <w:bottom w:w="90" w:type="dxa"/>
              <w:right w:w="130" w:type="dxa"/>
            </w:tcMar>
          </w:tcPr>
          <w:p w14:paraId="1722C080">
            <w:pPr>
              <w:spacing w:before="20" w:after="20"/>
              <w:jc w:val="left"/>
            </w:pPr>
            <w:r>
              <w:rPr>
                <w:rFonts w:ascii="Calibri" w:hAnsi="Calibri" w:eastAsia="ＭＳ 明朝" w:cs="Calibri" w:eastAsiaTheme="minorEastAsia" w:csTheme="minorBidi"/>
                <w:b/>
                <w:bCs/>
                <w:color w:val="059669"/>
                <w:sz w:val="18"/>
                <w:szCs w:val="22"/>
              </w:rPr>
              <w:t>Compresses planning cycle from 16 weeks to 10 days.</w:t>
            </w:r>
          </w:p>
        </w:tc>
      </w:tr>
      <w:tr>
        <w:tc>
          <w:tcPr>
            <w:tcW w:w="3216" w:type="dxa"/>
            <w:tcBorders>
              <w:top w:val="single" w:sz="4" w:space="0" w:color="CBD5E1"/>
              <w:left w:val="none"/>
              <w:bottom w:val="single" w:sz="4" w:space="0" w:color="CBD5E1"/>
              <w:right w:val="none"/>
            </w:tcBorders>
            <w:shd w:val="clear" w:fill="F8FAFC"/>
            <w:tcMar>
              <w:top w:w="90" w:type="dxa"/>
              <w:left w:w="130" w:type="dxa"/>
              <w:bottom w:w="90" w:type="dxa"/>
              <w:right w:w="130" w:type="dxa"/>
            </w:tcMar>
          </w:tcPr>
          <w:p w14:paraId="7572E027">
            <w:pPr>
              <w:spacing w:before="20" w:after="20"/>
              <w:jc w:val="left"/>
            </w:pPr>
            <w:r>
              <w:rPr>
                <w:rFonts w:ascii="Calibri" w:hAnsi="Calibri" w:eastAsia="ＭＳ 明朝" w:cs="Calibri" w:eastAsiaTheme="minorEastAsia" w:csTheme="minorBidi"/>
                <w:b/>
                <w:bCs/>
                <w:color w:val="1E3A8A"/>
                <w:sz w:val="18"/>
                <w:szCs w:val="22"/>
              </w:rPr>
              <w:t>3. Dual-Mode WHO RED Worksheet</w:t>
            </w:r>
          </w:p>
        </w:tc>
        <w:tc>
          <w:tcPr>
            <w:tcW w:w="3216" w:type="dxa"/>
            <w:tcBorders>
              <w:top w:val="single" w:sz="4" w:space="0" w:color="CBD5E1"/>
              <w:left w:val="none"/>
              <w:bottom w:val="single" w:sz="4" w:space="0" w:color="CBD5E1"/>
              <w:right w:val="none"/>
            </w:tcBorders>
            <w:shd w:val="clear" w:fill="F8FAFC"/>
            <w:tcMar>
              <w:top w:w="90" w:type="dxa"/>
              <w:left w:w="130" w:type="dxa"/>
              <w:bottom w:w="90" w:type="dxa"/>
              <w:right w:w="130" w:type="dxa"/>
            </w:tcMar>
          </w:tcPr>
          <w:p w14:paraId="7EB4A138">
            <w:pPr>
              <w:spacing w:before="20" w:after="20"/>
              <w:jc w:val="left"/>
            </w:pPr>
            <w:r>
              <w:rPr>
                <w:rFonts w:ascii="Calibri" w:hAnsi="Calibri" w:eastAsia="ＭＳ 明朝" w:cs="Calibri" w:eastAsiaTheme="minorEastAsia" w:csTheme="minorBidi"/>
                <w:color w:val="1E293B"/>
                <w:sz w:val="18"/>
                <w:szCs w:val="22"/>
              </w:rPr>
              <w:t>Dedicated View Mode switcher toggling between Guided Digital Flow and formal 10-step WHO Reach Every District tables (pages 9–37) with zero duplicate data entry.</w:t>
            </w:r>
          </w:p>
        </w:tc>
        <w:tc>
          <w:tcPr>
            <w:tcW w:w="3216" w:type="dxa"/>
            <w:tcBorders>
              <w:top w:val="single" w:sz="4" w:space="0" w:color="CBD5E1"/>
              <w:left w:val="none"/>
              <w:bottom w:val="single" w:sz="4" w:space="0" w:color="CBD5E1"/>
              <w:right w:val="none"/>
            </w:tcBorders>
            <w:shd w:val="clear" w:fill="F8FAFC"/>
            <w:tcMar>
              <w:top w:w="90" w:type="dxa"/>
              <w:left w:w="130" w:type="dxa"/>
              <w:bottom w:w="90" w:type="dxa"/>
              <w:right w:w="130" w:type="dxa"/>
            </w:tcMar>
          </w:tcPr>
          <w:p w14:paraId="0039FD17">
            <w:pPr>
              <w:spacing w:before="20" w:after="20"/>
              <w:jc w:val="left"/>
            </w:pPr>
            <w:r>
              <w:rPr>
                <w:rFonts w:ascii="Calibri" w:hAnsi="Calibri" w:eastAsia="ＭＳ 明朝" w:cs="Calibri" w:eastAsiaTheme="minorEastAsia" w:csTheme="minorBidi"/>
                <w:b/>
                <w:bCs/>
                <w:color w:val="059669"/>
                <w:sz w:val="18"/>
                <w:szCs w:val="22"/>
              </w:rPr>
              <w:t>100% WHO/UNICEF audit and export compliance.</w:t>
            </w:r>
          </w:p>
        </w:tc>
      </w:tr>
      <w:tr>
        <w:tc>
          <w:tcPr>
            <w:tcW w:w="3216" w:type="dxa"/>
            <w:tcBorders>
              <w:top w:val="single" w:sz="4" w:space="0" w:color="CBD5E1"/>
              <w:left w:val="none"/>
              <w:bottom w:val="single" w:sz="4" w:space="0" w:color="CBD5E1"/>
              <w:right w:val="none"/>
            </w:tcBorders>
            <w:shd w:val="clear" w:fill="FFFFFF"/>
            <w:tcMar>
              <w:top w:w="90" w:type="dxa"/>
              <w:left w:w="130" w:type="dxa"/>
              <w:bottom w:w="90" w:type="dxa"/>
              <w:right w:w="130" w:type="dxa"/>
            </w:tcMar>
          </w:tcPr>
          <w:p w14:paraId="25BCCFB6">
            <w:pPr>
              <w:spacing w:before="20" w:after="20"/>
              <w:jc w:val="left"/>
            </w:pPr>
            <w:r>
              <w:rPr>
                <w:rFonts w:ascii="Calibri" w:hAnsi="Calibri" w:eastAsia="ＭＳ 明朝" w:cs="Calibri" w:eastAsiaTheme="minorEastAsia" w:csTheme="minorBidi"/>
                <w:b/>
                <w:bCs/>
                <w:color w:val="1E3A8A"/>
                <w:sz w:val="18"/>
                <w:szCs w:val="22"/>
              </w:rPr>
              <w:t>4. SIA Mass Campaign Engine</w:t>
            </w:r>
          </w:p>
        </w:tc>
        <w:tc>
          <w:tcPr>
            <w:tcW w:w="3216" w:type="dxa"/>
            <w:tcBorders>
              <w:top w:val="single" w:sz="4" w:space="0" w:color="CBD5E1"/>
              <w:left w:val="none"/>
              <w:bottom w:val="single" w:sz="4" w:space="0" w:color="CBD5E1"/>
              <w:right w:val="none"/>
            </w:tcBorders>
            <w:shd w:val="clear" w:fill="FFFFFF"/>
            <w:tcMar>
              <w:top w:w="90" w:type="dxa"/>
              <w:left w:w="130" w:type="dxa"/>
              <w:bottom w:w="90" w:type="dxa"/>
              <w:right w:w="130" w:type="dxa"/>
            </w:tcMar>
          </w:tcPr>
          <w:p w14:paraId="3593761F">
            <w:pPr>
              <w:spacing w:before="20" w:after="20"/>
              <w:jc w:val="left"/>
            </w:pPr>
            <w:r>
              <w:rPr>
                <w:rFonts w:ascii="Calibri" w:hAnsi="Calibri" w:eastAsia="ＭＳ 明朝" w:cs="Calibri" w:eastAsiaTheme="minorEastAsia" w:csTheme="minorBidi"/>
                <w:color w:val="1E293B"/>
                <w:sz w:val="18"/>
                <w:szCs w:val="22"/>
              </w:rPr>
              <w:t>Independent campaign planning (Polio, Measles-Rubella, HPV, Cholera). Flexible age bands, house-to-house tallying, and rapid convenience monitoring.</w:t>
            </w:r>
          </w:p>
        </w:tc>
        <w:tc>
          <w:tcPr>
            <w:tcW w:w="3216" w:type="dxa"/>
            <w:tcBorders>
              <w:top w:val="single" w:sz="4" w:space="0" w:color="CBD5E1"/>
              <w:left w:val="none"/>
              <w:bottom w:val="single" w:sz="4" w:space="0" w:color="CBD5E1"/>
              <w:right w:val="none"/>
            </w:tcBorders>
            <w:shd w:val="clear" w:fill="FFFFFF"/>
            <w:tcMar>
              <w:top w:w="90" w:type="dxa"/>
              <w:left w:w="130" w:type="dxa"/>
              <w:bottom w:w="90" w:type="dxa"/>
              <w:right w:w="130" w:type="dxa"/>
            </w:tcMar>
          </w:tcPr>
          <w:p w14:paraId="607BC6DF">
            <w:pPr>
              <w:spacing w:before="20" w:after="20"/>
              <w:jc w:val="left"/>
            </w:pPr>
            <w:r>
              <w:rPr>
                <w:rFonts w:ascii="Calibri" w:hAnsi="Calibri" w:eastAsia="ＭＳ 明朝" w:cs="Calibri" w:eastAsiaTheme="minorEastAsia" w:csTheme="minorBidi"/>
                <w:b/>
                <w:bCs/>
                <w:color w:val="059669"/>
                <w:sz w:val="18"/>
                <w:szCs w:val="22"/>
              </w:rPr>
              <w:t>Prevents contamination of routine EPI statistics.</w:t>
            </w:r>
          </w:p>
        </w:tc>
      </w:tr>
      <w:tr>
        <w:tc>
          <w:tcPr>
            <w:tcW w:w="3216" w:type="dxa"/>
            <w:tcBorders>
              <w:top w:val="single" w:sz="4" w:space="0" w:color="CBD5E1"/>
              <w:left w:val="none"/>
              <w:bottom w:val="single" w:sz="4" w:space="0" w:color="CBD5E1"/>
              <w:right w:val="none"/>
            </w:tcBorders>
            <w:shd w:val="clear" w:fill="F8FAFC"/>
            <w:tcMar>
              <w:top w:w="90" w:type="dxa"/>
              <w:left w:w="130" w:type="dxa"/>
              <w:bottom w:w="90" w:type="dxa"/>
              <w:right w:w="130" w:type="dxa"/>
            </w:tcMar>
          </w:tcPr>
          <w:p w14:paraId="247728E2">
            <w:pPr>
              <w:spacing w:before="20" w:after="20"/>
              <w:jc w:val="left"/>
            </w:pPr>
            <w:r>
              <w:rPr>
                <w:rFonts w:ascii="Calibri" w:hAnsi="Calibri" w:eastAsia="ＭＳ 明朝" w:cs="Calibri" w:eastAsiaTheme="minorEastAsia" w:csTheme="minorBidi"/>
                <w:b/>
                <w:bCs/>
                <w:color w:val="1E3A8A"/>
                <w:sz w:val="18"/>
                <w:szCs w:val="22"/>
              </w:rPr>
              <w:t>5. Cold Chain &amp; EVM Inventory</w:t>
            </w:r>
          </w:p>
        </w:tc>
        <w:tc>
          <w:tcPr>
            <w:tcW w:w="3216" w:type="dxa"/>
            <w:tcBorders>
              <w:top w:val="single" w:sz="4" w:space="0" w:color="CBD5E1"/>
              <w:left w:val="none"/>
              <w:bottom w:val="single" w:sz="4" w:space="0" w:color="CBD5E1"/>
              <w:right w:val="none"/>
            </w:tcBorders>
            <w:shd w:val="clear" w:fill="F8FAFC"/>
            <w:tcMar>
              <w:top w:w="90" w:type="dxa"/>
              <w:left w:w="130" w:type="dxa"/>
              <w:bottom w:w="90" w:type="dxa"/>
              <w:right w:w="130" w:type="dxa"/>
            </w:tcMar>
          </w:tcPr>
          <w:p w14:paraId="00180F88">
            <w:pPr>
              <w:spacing w:before="20" w:after="20"/>
              <w:jc w:val="left"/>
            </w:pPr>
            <w:r>
              <w:rPr>
                <w:rFonts w:ascii="Calibri" w:hAnsi="Calibri" w:eastAsia="ＭＳ 明朝" w:cs="Calibri" w:eastAsiaTheme="minorEastAsia" w:csTheme="minorBidi"/>
                <w:color w:val="1E293B"/>
                <w:sz w:val="18"/>
                <w:szCs w:val="22"/>
              </w:rPr>
              <w:t>Fridge and cold box registry, net storage volume vs vaccine volume calculations, twice-daily temperature logs with automated breach alerts.</w:t>
            </w:r>
          </w:p>
        </w:tc>
        <w:tc>
          <w:tcPr>
            <w:tcW w:w="3216" w:type="dxa"/>
            <w:tcBorders>
              <w:top w:val="single" w:sz="4" w:space="0" w:color="CBD5E1"/>
              <w:left w:val="none"/>
              <w:bottom w:val="single" w:sz="4" w:space="0" w:color="CBD5E1"/>
              <w:right w:val="none"/>
            </w:tcBorders>
            <w:shd w:val="clear" w:fill="F8FAFC"/>
            <w:tcMar>
              <w:top w:w="90" w:type="dxa"/>
              <w:left w:w="130" w:type="dxa"/>
              <w:bottom w:w="90" w:type="dxa"/>
              <w:right w:w="130" w:type="dxa"/>
            </w:tcMar>
          </w:tcPr>
          <w:p w14:paraId="4677F2C3">
            <w:pPr>
              <w:spacing w:before="20" w:after="20"/>
              <w:jc w:val="left"/>
            </w:pPr>
            <w:r>
              <w:rPr>
                <w:rFonts w:ascii="Calibri" w:hAnsi="Calibri" w:eastAsia="ＭＳ 明朝" w:cs="Calibri" w:eastAsiaTheme="minorEastAsia" w:csTheme="minorBidi"/>
                <w:b/>
                <w:bCs/>
                <w:color w:val="059669"/>
                <w:sz w:val="18"/>
                <w:szCs w:val="22"/>
              </w:rPr>
              <w:t>Guarantees vaccine potency and eliminates stockouts.</w:t>
            </w:r>
          </w:p>
        </w:tc>
      </w:tr>
      <w:tr>
        <w:tc>
          <w:tcPr>
            <w:tcW w:w="3216" w:type="dxa"/>
            <w:tcBorders>
              <w:top w:val="single" w:sz="4" w:space="0" w:color="CBD5E1"/>
              <w:left w:val="none"/>
              <w:bottom w:val="single" w:sz="4" w:space="0" w:color="CBD5E1"/>
              <w:right w:val="none"/>
            </w:tcBorders>
            <w:shd w:val="clear" w:fill="FFFFFF"/>
            <w:tcMar>
              <w:top w:w="90" w:type="dxa"/>
              <w:left w:w="130" w:type="dxa"/>
              <w:bottom w:w="90" w:type="dxa"/>
              <w:right w:w="130" w:type="dxa"/>
            </w:tcMar>
          </w:tcPr>
          <w:p w14:paraId="1C7E9EB3">
            <w:pPr>
              <w:spacing w:before="20" w:after="20"/>
              <w:jc w:val="left"/>
            </w:pPr>
            <w:r>
              <w:rPr>
                <w:rFonts w:ascii="Calibri" w:hAnsi="Calibri" w:eastAsia="ＭＳ 明朝" w:cs="Calibri" w:eastAsiaTheme="minorEastAsia" w:csTheme="minorBidi"/>
                <w:b/>
                <w:bCs/>
                <w:color w:val="1E3A8A"/>
                <w:sz w:val="18"/>
                <w:szCs w:val="22"/>
              </w:rPr>
              <w:t>6. Offline-First Client Logbook</w:t>
            </w:r>
          </w:p>
        </w:tc>
        <w:tc>
          <w:tcPr>
            <w:tcW w:w="3216" w:type="dxa"/>
            <w:tcBorders>
              <w:top w:val="single" w:sz="4" w:space="0" w:color="CBD5E1"/>
              <w:left w:val="none"/>
              <w:bottom w:val="single" w:sz="4" w:space="0" w:color="CBD5E1"/>
              <w:right w:val="none"/>
            </w:tcBorders>
            <w:shd w:val="clear" w:fill="FFFFFF"/>
            <w:tcMar>
              <w:top w:w="90" w:type="dxa"/>
              <w:left w:w="130" w:type="dxa"/>
              <w:bottom w:w="90" w:type="dxa"/>
              <w:right w:w="130" w:type="dxa"/>
            </w:tcMar>
          </w:tcPr>
          <w:p w14:paraId="5E66A908">
            <w:pPr>
              <w:spacing w:before="20" w:after="20"/>
              <w:jc w:val="left"/>
            </w:pPr>
            <w:r>
              <w:rPr>
                <w:rFonts w:ascii="Calibri" w:hAnsi="Calibri" w:eastAsia="ＭＳ 明朝" w:cs="Calibri" w:eastAsiaTheme="minorEastAsia" w:csTheme="minorBidi"/>
                <w:color w:val="1E293B"/>
                <w:sz w:val="18"/>
                <w:szCs w:val="22"/>
              </w:rPr>
              <w:t>Progressive Web App (PWA) with IndexedDB client-side encryption. Tallying, dose tracking, and automatic conflict-free sync when reconnected.</w:t>
            </w:r>
          </w:p>
        </w:tc>
        <w:tc>
          <w:tcPr>
            <w:tcW w:w="3216" w:type="dxa"/>
            <w:tcBorders>
              <w:top w:val="single" w:sz="4" w:space="0" w:color="CBD5E1"/>
              <w:left w:val="none"/>
              <w:bottom w:val="single" w:sz="4" w:space="0" w:color="CBD5E1"/>
              <w:right w:val="none"/>
            </w:tcBorders>
            <w:shd w:val="clear" w:fill="FFFFFF"/>
            <w:tcMar>
              <w:top w:w="90" w:type="dxa"/>
              <w:left w:w="130" w:type="dxa"/>
              <w:bottom w:w="90" w:type="dxa"/>
              <w:right w:w="130" w:type="dxa"/>
            </w:tcMar>
          </w:tcPr>
          <w:p w14:paraId="3E4AE2F8">
            <w:pPr>
              <w:spacing w:before="20" w:after="20"/>
              <w:jc w:val="left"/>
            </w:pPr>
            <w:r>
              <w:rPr>
                <w:rFonts w:ascii="Calibri" w:hAnsi="Calibri" w:eastAsia="ＭＳ 明朝" w:cs="Calibri" w:eastAsiaTheme="minorEastAsia" w:csTheme="minorBidi"/>
                <w:b/>
                <w:bCs/>
                <w:color w:val="059669"/>
                <w:sz w:val="18"/>
                <w:szCs w:val="22"/>
              </w:rPr>
              <w:t>Uninterrupted operation in zero-connectivity posts.</w:t>
            </w:r>
          </w:p>
        </w:tc>
      </w:tr>
      <w:tr>
        <w:tc>
          <w:tcPr>
            <w:tcW w:w="3216" w:type="dxa"/>
            <w:tcBorders>
              <w:top w:val="single" w:sz="4" w:space="0" w:color="CBD5E1"/>
              <w:left w:val="none"/>
              <w:bottom w:val="single" w:sz="4" w:space="0" w:color="CBD5E1"/>
              <w:right w:val="none"/>
            </w:tcBorders>
            <w:shd w:val="clear" w:fill="F8FAFC"/>
            <w:tcMar>
              <w:top w:w="90" w:type="dxa"/>
              <w:left w:w="130" w:type="dxa"/>
              <w:bottom w:w="90" w:type="dxa"/>
              <w:right w:w="130" w:type="dxa"/>
            </w:tcMar>
          </w:tcPr>
          <w:p w14:paraId="13BEC1E6">
            <w:pPr>
              <w:spacing w:before="20" w:after="20"/>
              <w:jc w:val="left"/>
            </w:pPr>
            <w:r>
              <w:rPr>
                <w:rFonts w:ascii="Calibri" w:hAnsi="Calibri" w:eastAsia="ＭＳ 明朝" w:cs="Calibri" w:eastAsiaTheme="minorEastAsia" w:csTheme="minorBidi"/>
                <w:b/>
                <w:bCs/>
                <w:color w:val="1E3A8A"/>
                <w:sz w:val="18"/>
                <w:szCs w:val="22"/>
              </w:rPr>
              <w:t>7. VPD Early Warning Surveillance</w:t>
            </w:r>
          </w:p>
        </w:tc>
        <w:tc>
          <w:tcPr>
            <w:tcW w:w="3216" w:type="dxa"/>
            <w:tcBorders>
              <w:top w:val="single" w:sz="4" w:space="0" w:color="CBD5E1"/>
              <w:left w:val="none"/>
              <w:bottom w:val="single" w:sz="4" w:space="0" w:color="CBD5E1"/>
              <w:right w:val="none"/>
            </w:tcBorders>
            <w:shd w:val="clear" w:fill="F8FAFC"/>
            <w:tcMar>
              <w:top w:w="90" w:type="dxa"/>
              <w:left w:w="130" w:type="dxa"/>
              <w:bottom w:w="90" w:type="dxa"/>
              <w:right w:w="130" w:type="dxa"/>
            </w:tcMar>
          </w:tcPr>
          <w:p w14:paraId="451A3BD1">
            <w:pPr>
              <w:spacing w:before="20" w:after="20"/>
              <w:jc w:val="left"/>
            </w:pPr>
            <w:r>
              <w:rPr>
                <w:rFonts w:ascii="Calibri" w:hAnsi="Calibri" w:eastAsia="ＭＳ 明朝" w:cs="Calibri" w:eastAsiaTheme="minorEastAsia" w:csTheme="minorBidi"/>
                <w:color w:val="1E293B"/>
                <w:sz w:val="18"/>
                <w:szCs w:val="22"/>
              </w:rPr>
              <w:t>Case recording for Measles, Polio/AFP, Diphtheria, Pertussis, and Yellow Fever. AEFI reporting linked to vaccine lot numbers and spatial cluster mapping.</w:t>
            </w:r>
          </w:p>
        </w:tc>
        <w:tc>
          <w:tcPr>
            <w:tcW w:w="3216" w:type="dxa"/>
            <w:tcBorders>
              <w:top w:val="single" w:sz="4" w:space="0" w:color="CBD5E1"/>
              <w:left w:val="none"/>
              <w:bottom w:val="single" w:sz="4" w:space="0" w:color="CBD5E1"/>
              <w:right w:val="none"/>
            </w:tcBorders>
            <w:shd w:val="clear" w:fill="F8FAFC"/>
            <w:tcMar>
              <w:top w:w="90" w:type="dxa"/>
              <w:left w:w="130" w:type="dxa"/>
              <w:bottom w:w="90" w:type="dxa"/>
              <w:right w:w="130" w:type="dxa"/>
            </w:tcMar>
          </w:tcPr>
          <w:p w14:paraId="7495DF43">
            <w:pPr>
              <w:spacing w:before="20" w:after="20"/>
              <w:jc w:val="left"/>
            </w:pPr>
            <w:r>
              <w:rPr>
                <w:rFonts w:ascii="Calibri" w:hAnsi="Calibri" w:eastAsia="ＭＳ 明朝" w:cs="Calibri" w:eastAsiaTheme="minorEastAsia" w:csTheme="minorBidi"/>
                <w:b/>
                <w:bCs/>
                <w:color w:val="059669"/>
                <w:sz w:val="18"/>
                <w:szCs w:val="22"/>
              </w:rPr>
              <w:t>Rapid outbreak detection and localized response.</w:t>
            </w:r>
          </w:p>
        </w:tc>
      </w:tr>
      <w:tr>
        <w:tc>
          <w:tcPr>
            <w:tcW w:w="3216" w:type="dxa"/>
            <w:tcBorders>
              <w:top w:val="single" w:sz="4" w:space="0" w:color="CBD5E1"/>
              <w:left w:val="none"/>
              <w:bottom w:val="single" w:sz="4" w:space="0" w:color="CBD5E1"/>
              <w:right w:val="none"/>
            </w:tcBorders>
            <w:shd w:val="clear" w:fill="FFFFFF"/>
            <w:tcMar>
              <w:top w:w="90" w:type="dxa"/>
              <w:left w:w="130" w:type="dxa"/>
              <w:bottom w:w="90" w:type="dxa"/>
              <w:right w:w="130" w:type="dxa"/>
            </w:tcMar>
          </w:tcPr>
          <w:p w14:paraId="0E5F347F">
            <w:pPr>
              <w:spacing w:before="20" w:after="20"/>
              <w:jc w:val="left"/>
            </w:pPr>
            <w:r>
              <w:rPr>
                <w:rFonts w:ascii="Calibri" w:hAnsi="Calibri" w:eastAsia="ＭＳ 明朝" w:cs="Calibri" w:eastAsiaTheme="minorEastAsia" w:csTheme="minorBidi"/>
                <w:b/>
                <w:bCs/>
                <w:color w:val="1E3A8A"/>
                <w:sz w:val="18"/>
                <w:szCs w:val="22"/>
              </w:rPr>
              <w:t>8. Interactive Analytics &amp; Reporting</w:t>
            </w:r>
          </w:p>
        </w:tc>
        <w:tc>
          <w:tcPr>
            <w:tcW w:w="3216" w:type="dxa"/>
            <w:tcBorders>
              <w:top w:val="single" w:sz="4" w:space="0" w:color="CBD5E1"/>
              <w:left w:val="none"/>
              <w:bottom w:val="single" w:sz="4" w:space="0" w:color="CBD5E1"/>
              <w:right w:val="none"/>
            </w:tcBorders>
            <w:shd w:val="clear" w:fill="FFFFFF"/>
            <w:tcMar>
              <w:top w:w="90" w:type="dxa"/>
              <w:left w:w="130" w:type="dxa"/>
              <w:bottom w:w="90" w:type="dxa"/>
              <w:right w:w="130" w:type="dxa"/>
            </w:tcMar>
          </w:tcPr>
          <w:p w14:paraId="34FA419B">
            <w:pPr>
              <w:spacing w:before="20" w:after="20"/>
              <w:jc w:val="left"/>
            </w:pPr>
            <w:r>
              <w:rPr>
                <w:rFonts w:ascii="Calibri" w:hAnsi="Calibri" w:eastAsia="ＭＳ 明朝" w:cs="Calibri" w:eastAsiaTheme="minorEastAsia" w:csTheme="minorBidi"/>
                <w:color w:val="1E293B"/>
                <w:sz w:val="18"/>
                <w:szCs w:val="22"/>
              </w:rPr>
              <w:t>Cross-filtering executive dashboards, WHO wall monitoring charts, multi-level drilldowns, and automated PDF/Excel/Word export compilation.</w:t>
            </w:r>
          </w:p>
        </w:tc>
        <w:tc>
          <w:tcPr>
            <w:tcW w:w="3216" w:type="dxa"/>
            <w:tcBorders>
              <w:top w:val="single" w:sz="4" w:space="0" w:color="CBD5E1"/>
              <w:left w:val="none"/>
              <w:bottom w:val="single" w:sz="4" w:space="0" w:color="CBD5E1"/>
              <w:right w:val="none"/>
            </w:tcBorders>
            <w:shd w:val="clear" w:fill="FFFFFF"/>
            <w:tcMar>
              <w:top w:w="90" w:type="dxa"/>
              <w:left w:w="130" w:type="dxa"/>
              <w:bottom w:w="90" w:type="dxa"/>
              <w:right w:w="130" w:type="dxa"/>
            </w:tcMar>
          </w:tcPr>
          <w:p w14:paraId="0CC5306C">
            <w:pPr>
              <w:spacing w:before="20" w:after="20"/>
              <w:jc w:val="left"/>
            </w:pPr>
            <w:r>
              <w:rPr>
                <w:rFonts w:ascii="Calibri" w:hAnsi="Calibri" w:eastAsia="ＭＳ 明朝" w:cs="Calibri" w:eastAsiaTheme="minorEastAsia" w:csTheme="minorBidi"/>
                <w:b/>
                <w:bCs/>
                <w:color w:val="059669"/>
                <w:sz w:val="18"/>
                <w:szCs w:val="22"/>
              </w:rPr>
              <w:t>Real-time decision support for leadership.</w:t>
            </w:r>
          </w:p>
        </w:tc>
      </w:tr>
    </w:tbl>
    <w:p w14:paraId="44CEBFF9">
      <w:pPr>
        <w:spacing w:after="160"/>
      </w:pPr>
    </w:p>
    <w:p w14:paraId="2D7FD6CA">
      <w:pPr>
        <w:keepNext/>
        <w:spacing w:before="360" w:after="120"/>
      </w:pPr>
      <w:r>
        <w:rPr>
          <w:rFonts w:ascii="Calibri" w:hAnsi="Calibri" w:eastAsia="ＭＳ 明朝" w:cs="Calibri" w:eastAsiaTheme="minorEastAsia" w:csTheme="minorBidi"/>
          <w:b/>
          <w:bCs/>
          <w:color w:val="0F172A"/>
          <w:sz w:val="30"/>
          <w:szCs w:val="22"/>
        </w:rPr>
        <w:t>3. Fast-Track Country Adaptation Blueprint (30-Day Deployment)</w:t>
      </w:r>
    </w:p>
    <w:p w14:paraId="455D9059">
      <w:pPr>
        <w:spacing w:before="0" w:after="100" w:line="276" w:lineRule="auto"/>
      </w:pPr>
      <w:r>
        <w:rPr>
          <w:rFonts w:ascii="Calibri" w:hAnsi="Calibri" w:eastAsia="ＭＳ 明朝" w:cs="Calibri" w:eastAsiaTheme="minorEastAsia" w:csTheme="minorBidi"/>
          <w:color w:val="1E293B"/>
          <w:sz w:val="19"/>
          <w:szCs w:val="22"/>
        </w:rPr>
        <w:t>VaxPlan has been deliberately designed as an open, modular, multi-tenant digital health platform. Rather than requiring multi-year software engineering cycles, any Ministry of Health can achieve nationwide operational deployment within 30 business days following our proven 5-phase onboarding framework:</w:t>
      </w:r>
    </w:p>
    <w:tbl>
      <w:tblPr>
        <w:tblW w:w="0" w:type="auto"/>
        <w:jc w:val="center"/>
        <w:tblBorders>
          <w:top w:val="single" w:sz="8" w:space="0" w:color="1E3A8A"/>
          <w:left w:val="none"/>
          <w:bottom w:val="single" w:sz="8" w:space="0" w:color="1E3A8A"/>
          <w:right w:val="none"/>
          <w:insideH w:val="single" w:sz="8" w:space="0" w:color="1E3A8A"/>
          <w:insideV w:val="none"/>
        </w:tblBorders>
        <w:tblLayout w:type="fixed"/>
        <w:tblCellMar>
          <w:top w:w="0" w:type="dxa"/>
          <w:left w:w="108" w:type="dxa"/>
          <w:bottom w:w="0" w:type="dxa"/>
          <w:right w:w="108" w:type="dxa"/>
        </w:tblCellMar>
        <w:tblLook w:firstRow="1" w:firstColumn="1" w:noVBand="1"/>
      </w:tblPr>
      <w:tblGrid>
        <w:gridCol w:w="2592"/>
        <w:gridCol w:w="4608"/>
        <w:gridCol w:w="2448"/>
      </w:tblGrid>
      <w:tr>
        <w:tc>
          <w:tcPr>
            <w:tcW w:w="3216" w:type="dxa"/>
            <w:tcBorders>
              <w:top w:val="single" w:sz="8" w:space="0" w:color="1E3A8A"/>
              <w:left w:val="none"/>
              <w:bottom w:val="single" w:sz="8" w:space="0" w:color="1E3A8A"/>
              <w:right w:val="none"/>
            </w:tcBorders>
            <w:shd w:val="clear" w:fill="0F172A"/>
            <w:tcMar>
              <w:top w:w="140" w:type="dxa"/>
              <w:left w:w="150" w:type="dxa"/>
              <w:bottom w:w="140" w:type="dxa"/>
              <w:right w:w="150" w:type="dxa"/>
            </w:tcMar>
          </w:tcPr>
          <w:p w14:paraId="36FEF4BD">
            <w:pPr>
              <w:spacing w:before="40" w:after="40"/>
              <w:jc w:val="left"/>
            </w:pPr>
            <w:r>
              <w:rPr>
                <w:rFonts w:ascii="Calibri" w:hAnsi="Calibri" w:eastAsia="ＭＳ 明朝" w:cs="Calibri" w:eastAsiaTheme="minorEastAsia" w:csTheme="minorBidi"/>
                <w:b/>
                <w:bCs/>
                <w:color w:val="FFFFFF"/>
                <w:sz w:val="19"/>
                <w:szCs w:val="22"/>
              </w:rPr>
              <w:t>Timeline</w:t>
            </w:r>
          </w:p>
        </w:tc>
        <w:tc>
          <w:tcPr>
            <w:tcW w:w="3216" w:type="dxa"/>
            <w:tcBorders>
              <w:top w:val="single" w:sz="8" w:space="0" w:color="1E3A8A"/>
              <w:left w:val="none"/>
              <w:bottom w:val="single" w:sz="8" w:space="0" w:color="1E3A8A"/>
              <w:right w:val="none"/>
            </w:tcBorders>
            <w:shd w:val="clear" w:fill="0F172A"/>
            <w:tcMar>
              <w:top w:w="140" w:type="dxa"/>
              <w:left w:w="150" w:type="dxa"/>
              <w:bottom w:w="140" w:type="dxa"/>
              <w:right w:w="150" w:type="dxa"/>
            </w:tcMar>
          </w:tcPr>
          <w:p w14:paraId="61940623">
            <w:pPr>
              <w:spacing w:before="40" w:after="40"/>
              <w:jc w:val="left"/>
            </w:pPr>
            <w:r>
              <w:rPr>
                <w:rFonts w:ascii="Calibri" w:hAnsi="Calibri" w:eastAsia="ＭＳ 明朝" w:cs="Calibri" w:eastAsiaTheme="minorEastAsia" w:csTheme="minorBidi"/>
                <w:b/>
                <w:bCs/>
                <w:color w:val="FFFFFF"/>
                <w:sz w:val="19"/>
                <w:szCs w:val="22"/>
              </w:rPr>
              <w:t>Milestone Activities &amp; Deliverables</w:t>
            </w:r>
          </w:p>
        </w:tc>
        <w:tc>
          <w:tcPr>
            <w:tcW w:w="3216" w:type="dxa"/>
            <w:tcBorders>
              <w:top w:val="single" w:sz="8" w:space="0" w:color="1E3A8A"/>
              <w:left w:val="none"/>
              <w:bottom w:val="single" w:sz="8" w:space="0" w:color="1E3A8A"/>
              <w:right w:val="none"/>
            </w:tcBorders>
            <w:shd w:val="clear" w:fill="0F172A"/>
            <w:tcMar>
              <w:top w:w="140" w:type="dxa"/>
              <w:left w:w="150" w:type="dxa"/>
              <w:bottom w:w="140" w:type="dxa"/>
              <w:right w:w="150" w:type="dxa"/>
            </w:tcMar>
          </w:tcPr>
          <w:p w14:paraId="2DFBA9F4">
            <w:pPr>
              <w:spacing w:before="40" w:after="40"/>
              <w:jc w:val="left"/>
            </w:pPr>
            <w:r>
              <w:rPr>
                <w:rFonts w:ascii="Calibri" w:hAnsi="Calibri" w:eastAsia="ＭＳ 明朝" w:cs="Calibri" w:eastAsiaTheme="minorEastAsia" w:csTheme="minorBidi"/>
                <w:b/>
                <w:bCs/>
                <w:color w:val="FFFFFF"/>
                <w:sz w:val="19"/>
                <w:szCs w:val="22"/>
              </w:rPr>
              <w:t>National Responsibility</w:t>
            </w:r>
          </w:p>
        </w:tc>
      </w:tr>
      <w:tr>
        <w:tc>
          <w:tcPr>
            <w:tcW w:w="3216" w:type="dxa"/>
            <w:tcBorders>
              <w:top w:val="single" w:sz="4" w:space="0" w:color="CBD5E1"/>
              <w:left w:val="none"/>
              <w:bottom w:val="single" w:sz="4" w:space="0" w:color="CBD5E1"/>
              <w:right w:val="none"/>
            </w:tcBorders>
            <w:shd w:val="clear" w:fill="F8FAFC"/>
            <w:tcMar>
              <w:top w:w="90" w:type="dxa"/>
              <w:left w:w="130" w:type="dxa"/>
              <w:bottom w:w="90" w:type="dxa"/>
              <w:right w:w="130" w:type="dxa"/>
            </w:tcMar>
          </w:tcPr>
          <w:p w14:paraId="79617D71">
            <w:pPr>
              <w:spacing w:before="20" w:after="20"/>
              <w:jc w:val="left"/>
            </w:pPr>
            <w:r>
              <w:rPr>
                <w:rFonts w:ascii="Calibri" w:hAnsi="Calibri" w:eastAsia="ＭＳ 明朝" w:cs="Calibri" w:eastAsiaTheme="minorEastAsia" w:csTheme="minorBidi"/>
                <w:b/>
                <w:bCs/>
                <w:color w:val="2563EB"/>
                <w:sz w:val="18"/>
                <w:szCs w:val="22"/>
              </w:rPr>
              <w:t>Phase 1: Days 1–5</w:t>
            </w:r>
          </w:p>
        </w:tc>
        <w:tc>
          <w:tcPr>
            <w:tcW w:w="3216" w:type="dxa"/>
            <w:tcBorders>
              <w:top w:val="single" w:sz="4" w:space="0" w:color="CBD5E1"/>
              <w:left w:val="none"/>
              <w:bottom w:val="single" w:sz="4" w:space="0" w:color="CBD5E1"/>
              <w:right w:val="none"/>
            </w:tcBorders>
            <w:shd w:val="clear" w:fill="F8FAFC"/>
            <w:tcMar>
              <w:top w:w="90" w:type="dxa"/>
              <w:left w:w="130" w:type="dxa"/>
              <w:bottom w:w="90" w:type="dxa"/>
              <w:right w:w="130" w:type="dxa"/>
            </w:tcMar>
          </w:tcPr>
          <w:p w14:paraId="1DAAD0D6">
            <w:pPr>
              <w:spacing w:before="20" w:after="20"/>
              <w:jc w:val="left"/>
            </w:pPr>
            <w:r>
              <w:rPr>
                <w:rFonts w:ascii="Calibri" w:hAnsi="Calibri" w:eastAsia="ＭＳ 明朝" w:cs="Calibri" w:eastAsiaTheme="minorEastAsia" w:csTheme="minorBidi"/>
                <w:color w:val="1E293B"/>
                <w:sz w:val="18"/>
                <w:szCs w:val="22"/>
              </w:rPr>
              <w:t>Tenant &amp; Geographic Baseline Ingestion: Ingest national GeoJSON boundaries, master facility lists (MFL), and settlement registries. Configure country ISO codes and spatial coordinate projections.</w:t>
            </w:r>
          </w:p>
        </w:tc>
        <w:tc>
          <w:tcPr>
            <w:tcW w:w="3216" w:type="dxa"/>
            <w:tcBorders>
              <w:top w:val="single" w:sz="4" w:space="0" w:color="CBD5E1"/>
              <w:left w:val="none"/>
              <w:bottom w:val="single" w:sz="4" w:space="0" w:color="CBD5E1"/>
              <w:right w:val="none"/>
            </w:tcBorders>
            <w:shd w:val="clear" w:fill="F8FAFC"/>
            <w:tcMar>
              <w:top w:w="90" w:type="dxa"/>
              <w:left w:w="130" w:type="dxa"/>
              <w:bottom w:w="90" w:type="dxa"/>
              <w:right w:w="130" w:type="dxa"/>
            </w:tcMar>
          </w:tcPr>
          <w:p w14:paraId="2A71059D">
            <w:pPr>
              <w:spacing w:before="20" w:after="20"/>
              <w:jc w:val="left"/>
            </w:pPr>
            <w:r>
              <w:rPr>
                <w:rFonts w:ascii="Calibri" w:hAnsi="Calibri" w:eastAsia="ＭＳ 明朝" w:cs="Calibri" w:eastAsiaTheme="minorEastAsia" w:csTheme="minorBidi"/>
                <w:color w:val="1E293B"/>
                <w:sz w:val="18"/>
                <w:szCs w:val="22"/>
              </w:rPr>
              <w:t>Provide MFL and official administrative shapefiles.</w:t>
            </w:r>
          </w:p>
        </w:tc>
      </w:tr>
      <w:tr>
        <w:tc>
          <w:tcPr>
            <w:tcW w:w="3216" w:type="dxa"/>
            <w:tcBorders>
              <w:top w:val="single" w:sz="4" w:space="0" w:color="CBD5E1"/>
              <w:left w:val="none"/>
              <w:bottom w:val="single" w:sz="4" w:space="0" w:color="CBD5E1"/>
              <w:right w:val="none"/>
            </w:tcBorders>
            <w:shd w:val="clear" w:fill="FFFFFF"/>
            <w:tcMar>
              <w:top w:w="90" w:type="dxa"/>
              <w:left w:w="130" w:type="dxa"/>
              <w:bottom w:w="90" w:type="dxa"/>
              <w:right w:w="130" w:type="dxa"/>
            </w:tcMar>
          </w:tcPr>
          <w:p w14:paraId="0C8A6076">
            <w:pPr>
              <w:spacing w:before="20" w:after="20"/>
              <w:jc w:val="left"/>
            </w:pPr>
            <w:r>
              <w:rPr>
                <w:rFonts w:ascii="Calibri" w:hAnsi="Calibri" w:eastAsia="ＭＳ 明朝" w:cs="Calibri" w:eastAsiaTheme="minorEastAsia" w:csTheme="minorBidi"/>
                <w:b/>
                <w:bCs/>
                <w:color w:val="2563EB"/>
                <w:sz w:val="18"/>
                <w:szCs w:val="22"/>
              </w:rPr>
              <w:t>Phase 2: Days 6–10</w:t>
            </w:r>
          </w:p>
        </w:tc>
        <w:tc>
          <w:tcPr>
            <w:tcW w:w="3216" w:type="dxa"/>
            <w:tcBorders>
              <w:top w:val="single" w:sz="4" w:space="0" w:color="CBD5E1"/>
              <w:left w:val="none"/>
              <w:bottom w:val="single" w:sz="4" w:space="0" w:color="CBD5E1"/>
              <w:right w:val="none"/>
            </w:tcBorders>
            <w:shd w:val="clear" w:fill="FFFFFF"/>
            <w:tcMar>
              <w:top w:w="90" w:type="dxa"/>
              <w:left w:w="130" w:type="dxa"/>
              <w:bottom w:w="90" w:type="dxa"/>
              <w:right w:w="130" w:type="dxa"/>
            </w:tcMar>
          </w:tcPr>
          <w:p w14:paraId="020C4B49">
            <w:pPr>
              <w:spacing w:before="20" w:after="20"/>
              <w:jc w:val="left"/>
            </w:pPr>
            <w:r>
              <w:rPr>
                <w:rFonts w:ascii="Calibri" w:hAnsi="Calibri" w:eastAsia="ＭＳ 明朝" w:cs="Calibri" w:eastAsiaTheme="minorEastAsia" w:csTheme="minorBidi"/>
                <w:color w:val="1E293B"/>
                <w:sz w:val="18"/>
                <w:szCs w:val="22"/>
              </w:rPr>
              <w:t>EPI Schedule &amp; Policy Configuration: Define national antigens, target cohorts (infants, pregnant women, girls 9-14), vial presentations, wastage rates, transport per diems, and the 7-day review lead-time window.</w:t>
            </w:r>
          </w:p>
        </w:tc>
        <w:tc>
          <w:tcPr>
            <w:tcW w:w="3216" w:type="dxa"/>
            <w:tcBorders>
              <w:top w:val="single" w:sz="4" w:space="0" w:color="CBD5E1"/>
              <w:left w:val="none"/>
              <w:bottom w:val="single" w:sz="4" w:space="0" w:color="CBD5E1"/>
              <w:right w:val="none"/>
            </w:tcBorders>
            <w:shd w:val="clear" w:fill="FFFFFF"/>
            <w:tcMar>
              <w:top w:w="90" w:type="dxa"/>
              <w:left w:w="130" w:type="dxa"/>
              <w:bottom w:w="90" w:type="dxa"/>
              <w:right w:w="130" w:type="dxa"/>
            </w:tcMar>
          </w:tcPr>
          <w:p w14:paraId="1C05C924">
            <w:pPr>
              <w:spacing w:before="20" w:after="20"/>
              <w:jc w:val="left"/>
            </w:pPr>
            <w:r>
              <w:rPr>
                <w:rFonts w:ascii="Calibri" w:hAnsi="Calibri" w:eastAsia="ＭＳ 明朝" w:cs="Calibri" w:eastAsiaTheme="minorEastAsia" w:csTheme="minorBidi"/>
                <w:color w:val="1E293B"/>
                <w:sz w:val="18"/>
                <w:szCs w:val="22"/>
              </w:rPr>
              <w:t>Review and approve national immunization parameters.</w:t>
            </w:r>
          </w:p>
        </w:tc>
      </w:tr>
      <w:tr>
        <w:tc>
          <w:tcPr>
            <w:tcW w:w="3216" w:type="dxa"/>
            <w:tcBorders>
              <w:top w:val="single" w:sz="4" w:space="0" w:color="CBD5E1"/>
              <w:left w:val="none"/>
              <w:bottom w:val="single" w:sz="4" w:space="0" w:color="CBD5E1"/>
              <w:right w:val="none"/>
            </w:tcBorders>
            <w:shd w:val="clear" w:fill="F8FAFC"/>
            <w:tcMar>
              <w:top w:w="90" w:type="dxa"/>
              <w:left w:w="130" w:type="dxa"/>
              <w:bottom w:w="90" w:type="dxa"/>
              <w:right w:w="130" w:type="dxa"/>
            </w:tcMar>
          </w:tcPr>
          <w:p w14:paraId="1CBF5705">
            <w:pPr>
              <w:spacing w:before="20" w:after="20"/>
              <w:jc w:val="left"/>
            </w:pPr>
            <w:r>
              <w:rPr>
                <w:rFonts w:ascii="Calibri" w:hAnsi="Calibri" w:eastAsia="ＭＳ 明朝" w:cs="Calibri" w:eastAsiaTheme="minorEastAsia" w:csTheme="minorBidi"/>
                <w:b/>
                <w:bCs/>
                <w:color w:val="2563EB"/>
                <w:sz w:val="18"/>
                <w:szCs w:val="22"/>
              </w:rPr>
              <w:t>Phase 3: Days 11–15</w:t>
            </w:r>
          </w:p>
        </w:tc>
        <w:tc>
          <w:tcPr>
            <w:tcW w:w="3216" w:type="dxa"/>
            <w:tcBorders>
              <w:top w:val="single" w:sz="4" w:space="0" w:color="CBD5E1"/>
              <w:left w:val="none"/>
              <w:bottom w:val="single" w:sz="4" w:space="0" w:color="CBD5E1"/>
              <w:right w:val="none"/>
            </w:tcBorders>
            <w:shd w:val="clear" w:fill="F8FAFC"/>
            <w:tcMar>
              <w:top w:w="90" w:type="dxa"/>
              <w:left w:w="130" w:type="dxa"/>
              <w:bottom w:w="90" w:type="dxa"/>
              <w:right w:w="130" w:type="dxa"/>
            </w:tcMar>
          </w:tcPr>
          <w:p w14:paraId="1575D52B">
            <w:pPr>
              <w:spacing w:before="20" w:after="20"/>
              <w:jc w:val="left"/>
            </w:pPr>
            <w:r>
              <w:rPr>
                <w:rFonts w:ascii="Calibri" w:hAnsi="Calibri" w:eastAsia="ＭＳ 明朝" w:cs="Calibri" w:eastAsiaTheme="minorEastAsia" w:csTheme="minorBidi"/>
                <w:color w:val="1E293B"/>
                <w:sz w:val="18"/>
                <w:szCs w:val="22"/>
              </w:rPr>
              <w:t>Interoperability &amp; Data Pipelines: Configure bidirectional DHIS2 data exchange (Tracker and Aggregated data), eLMIS stock interfaces, and single sign-on (SSO) credentials.</w:t>
            </w:r>
          </w:p>
        </w:tc>
        <w:tc>
          <w:tcPr>
            <w:tcW w:w="3216" w:type="dxa"/>
            <w:tcBorders>
              <w:top w:val="single" w:sz="4" w:space="0" w:color="CBD5E1"/>
              <w:left w:val="none"/>
              <w:bottom w:val="single" w:sz="4" w:space="0" w:color="CBD5E1"/>
              <w:right w:val="none"/>
            </w:tcBorders>
            <w:shd w:val="clear" w:fill="F8FAFC"/>
            <w:tcMar>
              <w:top w:w="90" w:type="dxa"/>
              <w:left w:w="130" w:type="dxa"/>
              <w:bottom w:w="90" w:type="dxa"/>
              <w:right w:w="130" w:type="dxa"/>
            </w:tcMar>
          </w:tcPr>
          <w:p w14:paraId="7C481EEA">
            <w:pPr>
              <w:spacing w:before="20" w:after="20"/>
              <w:jc w:val="left"/>
            </w:pPr>
            <w:r>
              <w:rPr>
                <w:rFonts w:ascii="Calibri" w:hAnsi="Calibri" w:eastAsia="ＭＳ 明朝" w:cs="Calibri" w:eastAsiaTheme="minorEastAsia" w:csTheme="minorBidi"/>
                <w:color w:val="1E293B"/>
                <w:sz w:val="18"/>
                <w:szCs w:val="22"/>
              </w:rPr>
              <w:t>Provide DHIS2 sandbox credentials and user directory.</w:t>
            </w:r>
          </w:p>
        </w:tc>
      </w:tr>
      <w:tr>
        <w:tc>
          <w:tcPr>
            <w:tcW w:w="3216" w:type="dxa"/>
            <w:tcBorders>
              <w:top w:val="single" w:sz="4" w:space="0" w:color="CBD5E1"/>
              <w:left w:val="none"/>
              <w:bottom w:val="single" w:sz="4" w:space="0" w:color="CBD5E1"/>
              <w:right w:val="none"/>
            </w:tcBorders>
            <w:shd w:val="clear" w:fill="FFFFFF"/>
            <w:tcMar>
              <w:top w:w="90" w:type="dxa"/>
              <w:left w:w="130" w:type="dxa"/>
              <w:bottom w:w="90" w:type="dxa"/>
              <w:right w:w="130" w:type="dxa"/>
            </w:tcMar>
          </w:tcPr>
          <w:p w14:paraId="33C89FB5">
            <w:pPr>
              <w:spacing w:before="20" w:after="20"/>
              <w:jc w:val="left"/>
            </w:pPr>
            <w:r>
              <w:rPr>
                <w:rFonts w:ascii="Calibri" w:hAnsi="Calibri" w:eastAsia="ＭＳ 明朝" w:cs="Calibri" w:eastAsiaTheme="minorEastAsia" w:csTheme="minorBidi"/>
                <w:b/>
                <w:bCs/>
                <w:color w:val="2563EB"/>
                <w:sz w:val="18"/>
                <w:szCs w:val="22"/>
              </w:rPr>
              <w:t>Phase 4: Days 16–22</w:t>
            </w:r>
          </w:p>
        </w:tc>
        <w:tc>
          <w:tcPr>
            <w:tcW w:w="3216" w:type="dxa"/>
            <w:tcBorders>
              <w:top w:val="single" w:sz="4" w:space="0" w:color="CBD5E1"/>
              <w:left w:val="none"/>
              <w:bottom w:val="single" w:sz="4" w:space="0" w:color="CBD5E1"/>
              <w:right w:val="none"/>
            </w:tcBorders>
            <w:shd w:val="clear" w:fill="FFFFFF"/>
            <w:tcMar>
              <w:top w:w="90" w:type="dxa"/>
              <w:left w:w="130" w:type="dxa"/>
              <w:bottom w:w="90" w:type="dxa"/>
              <w:right w:w="130" w:type="dxa"/>
            </w:tcMar>
          </w:tcPr>
          <w:p w14:paraId="5C90C925">
            <w:pPr>
              <w:spacing w:before="20" w:after="20"/>
              <w:jc w:val="left"/>
            </w:pPr>
            <w:r>
              <w:rPr>
                <w:rFonts w:ascii="Calibri" w:hAnsi="Calibri" w:eastAsia="ＭＳ 明朝" w:cs="Calibri" w:eastAsiaTheme="minorEastAsia" w:csTheme="minorBidi"/>
                <w:color w:val="1E293B"/>
                <w:sz w:val="18"/>
                <w:szCs w:val="22"/>
              </w:rPr>
              <w:t>Master Training &amp; Field Validation: Conduct Training of Trainers (ToT) for provincial and district teams. Execute dry-run microplanning across 2 pilot districts to validate offline sync.</w:t>
            </w:r>
          </w:p>
        </w:tc>
        <w:tc>
          <w:tcPr>
            <w:tcW w:w="3216" w:type="dxa"/>
            <w:tcBorders>
              <w:top w:val="single" w:sz="4" w:space="0" w:color="CBD5E1"/>
              <w:left w:val="none"/>
              <w:bottom w:val="single" w:sz="4" w:space="0" w:color="CBD5E1"/>
              <w:right w:val="none"/>
            </w:tcBorders>
            <w:shd w:val="clear" w:fill="FFFFFF"/>
            <w:tcMar>
              <w:top w:w="90" w:type="dxa"/>
              <w:left w:w="130" w:type="dxa"/>
              <w:bottom w:w="90" w:type="dxa"/>
              <w:right w:w="130" w:type="dxa"/>
            </w:tcMar>
          </w:tcPr>
          <w:p w14:paraId="52FB7D7A">
            <w:pPr>
              <w:spacing w:before="20" w:after="20"/>
              <w:jc w:val="left"/>
            </w:pPr>
            <w:r>
              <w:rPr>
                <w:rFonts w:ascii="Calibri" w:hAnsi="Calibri" w:eastAsia="ＭＳ 明朝" w:cs="Calibri" w:eastAsiaTheme="minorEastAsia" w:csTheme="minorBidi"/>
                <w:color w:val="1E293B"/>
                <w:sz w:val="18"/>
                <w:szCs w:val="22"/>
              </w:rPr>
              <w:t>Designate national trainers and 2 pilot districts.</w:t>
            </w:r>
          </w:p>
        </w:tc>
      </w:tr>
      <w:tr>
        <w:tc>
          <w:tcPr>
            <w:tcW w:w="3216" w:type="dxa"/>
            <w:tcBorders>
              <w:top w:val="single" w:sz="4" w:space="0" w:color="CBD5E1"/>
              <w:left w:val="none"/>
              <w:bottom w:val="single" w:sz="4" w:space="0" w:color="CBD5E1"/>
              <w:right w:val="none"/>
            </w:tcBorders>
            <w:shd w:val="clear" w:fill="F8FAFC"/>
            <w:tcMar>
              <w:top w:w="90" w:type="dxa"/>
              <w:left w:w="130" w:type="dxa"/>
              <w:bottom w:w="90" w:type="dxa"/>
              <w:right w:w="130" w:type="dxa"/>
            </w:tcMar>
          </w:tcPr>
          <w:p w14:paraId="1414B034">
            <w:pPr>
              <w:spacing w:before="20" w:after="20"/>
              <w:jc w:val="left"/>
            </w:pPr>
            <w:r>
              <w:rPr>
                <w:rFonts w:ascii="Calibri" w:hAnsi="Calibri" w:eastAsia="ＭＳ 明朝" w:cs="Calibri" w:eastAsiaTheme="minorEastAsia" w:csTheme="minorBidi"/>
                <w:b/>
                <w:bCs/>
                <w:color w:val="2563EB"/>
                <w:sz w:val="18"/>
                <w:szCs w:val="22"/>
              </w:rPr>
              <w:t>Phase 5: Days 23–30</w:t>
            </w:r>
          </w:p>
        </w:tc>
        <w:tc>
          <w:tcPr>
            <w:tcW w:w="3216" w:type="dxa"/>
            <w:tcBorders>
              <w:top w:val="single" w:sz="4" w:space="0" w:color="CBD5E1"/>
              <w:left w:val="none"/>
              <w:bottom w:val="single" w:sz="4" w:space="0" w:color="CBD5E1"/>
              <w:right w:val="none"/>
            </w:tcBorders>
            <w:shd w:val="clear" w:fill="F8FAFC"/>
            <w:tcMar>
              <w:top w:w="90" w:type="dxa"/>
              <w:left w:w="130" w:type="dxa"/>
              <w:bottom w:w="90" w:type="dxa"/>
              <w:right w:w="130" w:type="dxa"/>
            </w:tcMar>
          </w:tcPr>
          <w:p w14:paraId="7FF70871">
            <w:pPr>
              <w:spacing w:before="20" w:after="20"/>
              <w:jc w:val="left"/>
            </w:pPr>
            <w:r>
              <w:rPr>
                <w:rFonts w:ascii="Calibri" w:hAnsi="Calibri" w:eastAsia="ＭＳ 明朝" w:cs="Calibri" w:eastAsiaTheme="minorEastAsia" w:csTheme="minorBidi"/>
                <w:color w:val="1E293B"/>
                <w:sz w:val="18"/>
                <w:szCs w:val="22"/>
              </w:rPr>
              <w:t>Nationwide Cutover &amp; Governance Rollout: Activate production cloud instance, initiate quarterly microplanning authoring across all health facilities, and launch national oversight dashboard.</w:t>
            </w:r>
          </w:p>
        </w:tc>
        <w:tc>
          <w:tcPr>
            <w:tcW w:w="3216" w:type="dxa"/>
            <w:tcBorders>
              <w:top w:val="single" w:sz="4" w:space="0" w:color="CBD5E1"/>
              <w:left w:val="none"/>
              <w:bottom w:val="single" w:sz="4" w:space="0" w:color="CBD5E1"/>
              <w:right w:val="none"/>
            </w:tcBorders>
            <w:shd w:val="clear" w:fill="F8FAFC"/>
            <w:tcMar>
              <w:top w:w="90" w:type="dxa"/>
              <w:left w:w="130" w:type="dxa"/>
              <w:bottom w:w="90" w:type="dxa"/>
              <w:right w:w="130" w:type="dxa"/>
            </w:tcMar>
          </w:tcPr>
          <w:p w14:paraId="25E3439B">
            <w:pPr>
              <w:spacing w:before="20" w:after="20"/>
              <w:jc w:val="left"/>
            </w:pPr>
            <w:r>
              <w:rPr>
                <w:rFonts w:ascii="Calibri" w:hAnsi="Calibri" w:eastAsia="ＭＳ 明朝" w:cs="Calibri" w:eastAsiaTheme="minorEastAsia" w:csTheme="minorBidi"/>
                <w:color w:val="1E293B"/>
                <w:sz w:val="18"/>
                <w:szCs w:val="22"/>
              </w:rPr>
              <w:t>Issue national circular mandating VaxPlan adoption.</w:t>
            </w:r>
          </w:p>
        </w:tc>
      </w:tr>
    </w:tbl>
    <w:p w14:paraId="07D01DBB">
      <w:pPr>
        <w:spacing w:after="160"/>
      </w:pPr>
    </w:p>
    <w:tbl>
      <w:tblPr>
        <w:tblW w:w="0" w:type="auto"/>
        <w:jc w:val="center"/>
        <w:tblBorders>
          <w:top w:val="none"/>
          <w:left w:val="single" w:sz="24" w:space="0" w:color="3B82F6"/>
          <w:bottom w:val="none"/>
          <w:right w:val="none"/>
          <w:insideH w:val="none"/>
          <w:insideV w:val="none"/>
        </w:tblBorders>
        <w:tblLayout w:type="fixed"/>
        <w:tblCellMar>
          <w:top w:w="0" w:type="dxa"/>
          <w:left w:w="108" w:type="dxa"/>
          <w:bottom w:w="0" w:type="dxa"/>
          <w:right w:w="108" w:type="dxa"/>
        </w:tblCellMar>
        <w:tblLook w:firstRow="1" w:firstColumn="1" w:noVBand="1"/>
      </w:tblPr>
      <w:tblGrid>
        <w:gridCol w:w="9360"/>
      </w:tblGrid>
      <w:tr>
        <w:tc>
          <w:tcPr>
            <w:tcW w:w="9648" w:type="dxa"/>
            <w:tcBorders>
              <w:top w:val="none"/>
              <w:left w:val="single" w:sz="24" w:space="0" w:color="3B82F6"/>
              <w:bottom w:val="none"/>
              <w:right w:val="none"/>
            </w:tcBorders>
            <w:shd w:val="clear" w:fill="EFF6FF"/>
            <w:tcMar>
              <w:top w:w="140" w:type="dxa"/>
              <w:left w:w="180" w:type="dxa"/>
              <w:bottom w:w="140" w:type="dxa"/>
              <w:right w:w="180" w:type="dxa"/>
            </w:tcMar>
          </w:tcPr>
          <w:p w14:paraId="2C3BD61B">
            <w:pPr>
              <w:spacing w:before="40" w:after="40"/>
            </w:pPr>
            <w:r>
              <w:rPr>
                <w:rFonts w:ascii="Calibri" w:hAnsi="Calibri" w:eastAsia="ＭＳ 明朝" w:cs="Calibri" w:eastAsiaTheme="minorEastAsia" w:csTheme="minorBidi"/>
                <w:b/>
                <w:bCs/>
                <w:color w:val="3B82F6"/>
                <w:sz w:val="20"/>
                <w:szCs w:val="22"/>
              </w:rPr>
              <w:t xml:space="preserve">Rapid Localization Architecture: </w:t>
            </w:r>
            <w:r>
              <w:rPr>
                <w:rFonts w:ascii="Calibri" w:hAnsi="Calibri" w:eastAsia="ＭＳ 明朝" w:cs="Calibri" w:eastAsiaTheme="minorEastAsia" w:csTheme="minorBidi"/>
                <w:i/>
                <w:iCs/>
                <w:color w:val="1E293B"/>
                <w:sz w:val="19"/>
                <w:szCs w:val="22"/>
              </w:rPr>
              <w:t>Zero Code Customization: National adaptation does not require modifying platform source code. All national schedules, per-diem rates, wastage assumptions, and administrative tiers are driven entirely by dynamic configuration schemas.</w:t>
            </w:r>
          </w:p>
        </w:tc>
      </w:tr>
    </w:tbl>
    <w:p w14:paraId="730910B0">
      <w:pPr>
        <w:spacing w:after="80"/>
      </w:pPr>
    </w:p>
    <w:p w14:paraId="29EB56ED">
      <w:pPr>
        <w:keepNext/>
        <w:spacing w:before="360" w:after="120"/>
      </w:pPr>
      <w:r>
        <w:rPr>
          <w:rFonts w:ascii="Calibri" w:hAnsi="Calibri" w:eastAsia="ＭＳ 明朝" w:cs="Calibri" w:eastAsiaTheme="minorEastAsia" w:csTheme="minorBidi"/>
          <w:b/>
          <w:bCs/>
          <w:color w:val="0F172A"/>
          <w:sz w:val="30"/>
          <w:szCs w:val="22"/>
        </w:rPr>
        <w:t>4. Enterprise Architecture, Security &amp; Data Sovereignty</w:t>
      </w:r>
    </w:p>
    <w:p w14:paraId="56275918">
      <w:pPr>
        <w:spacing w:before="0" w:after="100" w:line="276" w:lineRule="auto"/>
      </w:pPr>
      <w:r>
        <w:rPr>
          <w:rFonts w:ascii="Calibri" w:hAnsi="Calibri" w:eastAsia="ＭＳ 明朝" w:cs="Calibri" w:eastAsiaTheme="minorEastAsia" w:csTheme="minorBidi"/>
          <w:color w:val="1E293B"/>
          <w:sz w:val="19"/>
          <w:szCs w:val="22"/>
        </w:rPr>
        <w:t>VaxPlan is built on a modern, hardened open-source stack that satisfies enterprise scalability, public health data privacy regulations, and sovereign cloud mandates:</w:t>
      </w:r>
    </w:p>
    <w:p w14:paraId="65285734">
      <w:pPr>
        <w:pStyle w:val="ListBullet"/>
        <w:spacing w:before="0" w:after="60" w:line="276" w:lineRule="auto"/>
        <w:ind w:left="360" w:hanging="360"/>
      </w:pPr>
      <w:r>
        <w:rPr>
          <w:rFonts w:ascii="Calibri" w:hAnsi="Calibri" w:eastAsia="ＭＳ 明朝" w:cs="Calibri" w:eastAsiaTheme="minorEastAsia" w:csTheme="minorBidi"/>
          <w:b/>
          <w:bCs/>
          <w:color w:val="0F172A"/>
          <w:sz w:val="19"/>
          <w:szCs w:val="22"/>
        </w:rPr>
        <w:t xml:space="preserve">National Data Sovereignty: </w:t>
      </w:r>
      <w:r>
        <w:rPr>
          <w:rFonts w:ascii="Calibri" w:hAnsi="Calibri" w:eastAsia="ＭＳ 明朝" w:cs="Calibri" w:eastAsiaTheme="minorEastAsia" w:csTheme="minorBidi"/>
          <w:color w:val="1E293B"/>
          <w:sz w:val="19"/>
          <w:szCs w:val="22"/>
        </w:rPr>
        <w:t>Full data ownership remains with the Ministry of Health. VaxPlan can be hosted within national sovereign government data centers, regional cloud facilities, or dedicated VPS clusters.</w:t>
      </w:r>
    </w:p>
    <w:p w14:paraId="4F1704F7">
      <w:pPr>
        <w:pStyle w:val="ListBullet"/>
        <w:spacing w:before="0" w:after="60" w:line="276" w:lineRule="auto"/>
        <w:ind w:left="360" w:hanging="360"/>
      </w:pPr>
      <w:r>
        <w:rPr>
          <w:rFonts w:ascii="Calibri" w:hAnsi="Calibri" w:eastAsia="ＭＳ 明朝" w:cs="Calibri" w:eastAsiaTheme="minorEastAsia" w:csTheme="minorBidi"/>
          <w:b/>
          <w:bCs/>
          <w:color w:val="0F172A"/>
          <w:sz w:val="19"/>
          <w:szCs w:val="22"/>
        </w:rPr>
        <w:t xml:space="preserve">Multi-Tenant Row-Level Security (RLS): </w:t>
      </w:r>
      <w:r>
        <w:rPr>
          <w:rFonts w:ascii="Calibri" w:hAnsi="Calibri" w:eastAsia="ＭＳ 明朝" w:cs="Calibri" w:eastAsiaTheme="minorEastAsia" w:csTheme="minorBidi"/>
          <w:color w:val="1E293B"/>
          <w:sz w:val="19"/>
          <w:szCs w:val="22"/>
        </w:rPr>
        <w:t>Cryptographically isolated multi-tenant architecture. Every database transaction is partitioned by tenant ID, preventing cross-country or cross-jurisdiction data leaks.</w:t>
      </w:r>
    </w:p>
    <w:p w14:paraId="0AD3E241">
      <w:pPr>
        <w:pStyle w:val="ListBullet"/>
        <w:spacing w:before="0" w:after="60" w:line="276" w:lineRule="auto"/>
        <w:ind w:left="360" w:hanging="360"/>
      </w:pPr>
      <w:r>
        <w:rPr>
          <w:rFonts w:ascii="Calibri" w:hAnsi="Calibri" w:eastAsia="ＭＳ 明朝" w:cs="Calibri" w:eastAsiaTheme="minorEastAsia" w:csTheme="minorBidi"/>
          <w:b/>
          <w:bCs/>
          <w:color w:val="0F172A"/>
          <w:sz w:val="19"/>
          <w:szCs w:val="22"/>
        </w:rPr>
        <w:t xml:space="preserve">Role-Based Access Control (RBAC): </w:t>
      </w:r>
      <w:r>
        <w:rPr>
          <w:rFonts w:ascii="Calibri" w:hAnsi="Calibri" w:eastAsia="ＭＳ 明朝" w:cs="Calibri" w:eastAsiaTheme="minorEastAsia" w:csTheme="minorBidi"/>
          <w:color w:val="1E293B"/>
          <w:sz w:val="19"/>
          <w:szCs w:val="22"/>
        </w:rPr>
        <w:t>Six granular access tiers ensuring users interact strictly with authorized geographic scopes (National Admin, Provincial Coordinator, District Manager, Facility In-Charge, Nurse Vaccinator, Community Health Volunteer).</w:t>
      </w:r>
    </w:p>
    <w:p w14:paraId="0FCBD993">
      <w:pPr>
        <w:pStyle w:val="ListBullet"/>
        <w:spacing w:before="0" w:after="60" w:line="276" w:lineRule="auto"/>
        <w:ind w:left="360" w:hanging="360"/>
      </w:pPr>
      <w:r>
        <w:rPr>
          <w:rFonts w:ascii="Calibri" w:hAnsi="Calibri" w:eastAsia="ＭＳ 明朝" w:cs="Calibri" w:eastAsiaTheme="minorEastAsia" w:csTheme="minorBidi"/>
          <w:b/>
          <w:bCs/>
          <w:color w:val="0F172A"/>
          <w:sz w:val="19"/>
          <w:szCs w:val="22"/>
        </w:rPr>
        <w:t xml:space="preserve">Tamper-Proof Audit Trails: </w:t>
      </w:r>
      <w:r>
        <w:rPr>
          <w:rFonts w:ascii="Calibri" w:hAnsi="Calibri" w:eastAsia="ＭＳ 明朝" w:cs="Calibri" w:eastAsiaTheme="minorEastAsia" w:csTheme="minorBidi"/>
          <w:color w:val="1E293B"/>
          <w:sz w:val="19"/>
          <w:szCs w:val="22"/>
        </w:rPr>
        <w:t>Every record creation, edit, status transition, and approval is immutably logged with timestamp, user ID, and IP address for comprehensive audit compliance.</w:t>
      </w:r>
    </w:p>
    <w:p w14:paraId="52DB2DAE">
      <w:pPr>
        <w:pStyle w:val="ListBullet"/>
        <w:spacing w:before="0" w:after="60" w:line="276" w:lineRule="auto"/>
        <w:ind w:left="360" w:hanging="360"/>
      </w:pPr>
      <w:r>
        <w:rPr>
          <w:rFonts w:ascii="Calibri" w:hAnsi="Calibri" w:eastAsia="ＭＳ 明朝" w:cs="Calibri" w:eastAsiaTheme="minorEastAsia" w:csTheme="minorBidi"/>
          <w:b/>
          <w:bCs/>
          <w:color w:val="0F172A"/>
          <w:sz w:val="19"/>
          <w:szCs w:val="22"/>
        </w:rPr>
        <w:t xml:space="preserve">Standards-Based Interoperability: </w:t>
      </w:r>
      <w:r>
        <w:rPr>
          <w:rFonts w:ascii="Calibri" w:hAnsi="Calibri" w:eastAsia="ＭＳ 明朝" w:cs="Calibri" w:eastAsiaTheme="minorEastAsia" w:csTheme="minorBidi"/>
          <w:color w:val="1E293B"/>
          <w:sz w:val="19"/>
          <w:szCs w:val="22"/>
        </w:rPr>
        <w:t>Standardized RESTful APIs, Webhooks, and FHIR Immunization Recommendation profiles guarantee frictionless interoperability with DHIS2, OpenLMIS, and national e-Registry portals.</w:t>
      </w:r>
    </w:p>
    <w:p w14:paraId="207F7FFA">
      <w:pPr>
        <w:keepNext/>
        <w:spacing w:before="360" w:after="120"/>
      </w:pPr>
      <w:r>
        <w:rPr>
          <w:rFonts w:ascii="Calibri" w:hAnsi="Calibri" w:eastAsia="ＭＳ 明朝" w:cs="Calibri" w:eastAsiaTheme="minorEastAsia" w:csTheme="minorBidi"/>
          <w:b/>
          <w:bCs/>
          <w:color w:val="0F172A"/>
          <w:sz w:val="30"/>
          <w:szCs w:val="22"/>
        </w:rPr>
        <w:t>5. Return on Investment &amp; Multi-Year Economic Impact</w:t>
      </w:r>
    </w:p>
    <w:p w14:paraId="30CE9684">
      <w:pPr>
        <w:spacing w:before="0" w:after="100" w:line="276" w:lineRule="auto"/>
      </w:pPr>
      <w:r>
        <w:rPr>
          <w:rFonts w:ascii="Calibri" w:hAnsi="Calibri" w:eastAsia="ＭＳ 明朝" w:cs="Calibri" w:eastAsiaTheme="minorEastAsia" w:csTheme="minorBidi"/>
          <w:color w:val="1E293B"/>
          <w:sz w:val="19"/>
          <w:szCs w:val="22"/>
        </w:rPr>
        <w:t>Deploying VaxPlan delivers immediate and substantial financial returns for national governments and global health donors by transforming administrative waste into frontline service delivery:</w:t>
      </w:r>
    </w:p>
    <w:tbl>
      <w:tblPr>
        <w:tblW w:w="0" w:type="auto"/>
        <w:jc w:val="center"/>
        <w:tblBorders>
          <w:top w:val="single" w:sz="8" w:space="0" w:color="1E3A8A"/>
          <w:left w:val="none"/>
          <w:bottom w:val="single" w:sz="8" w:space="0" w:color="1E3A8A"/>
          <w:right w:val="none"/>
          <w:insideH w:val="single" w:sz="8" w:space="0" w:color="1E3A8A"/>
          <w:insideV w:val="none"/>
        </w:tblBorders>
        <w:tblLayout w:type="fixed"/>
        <w:tblCellMar>
          <w:top w:w="0" w:type="dxa"/>
          <w:left w:w="108" w:type="dxa"/>
          <w:bottom w:w="0" w:type="dxa"/>
          <w:right w:w="108" w:type="dxa"/>
        </w:tblCellMar>
        <w:tblLook w:firstRow="1" w:firstColumn="1" w:noVBand="1"/>
      </w:tblPr>
      <w:tblGrid>
        <w:gridCol w:w="3216"/>
        <w:gridCol w:w="3216"/>
        <w:gridCol w:w="3216"/>
      </w:tblGrid>
      <w:tr>
        <w:tc>
          <w:tcPr>
            <w:tcW w:w="3216" w:type="dxa"/>
            <w:tcBorders>
              <w:top w:val="single" w:sz="8" w:space="0" w:color="1E3A8A"/>
              <w:left w:val="none"/>
              <w:bottom w:val="single" w:sz="8" w:space="0" w:color="1E3A8A"/>
              <w:right w:val="none"/>
            </w:tcBorders>
            <w:shd w:val="clear" w:fill="0F172A"/>
            <w:tcMar>
              <w:top w:w="140" w:type="dxa"/>
              <w:left w:w="150" w:type="dxa"/>
              <w:bottom w:w="140" w:type="dxa"/>
              <w:right w:w="150" w:type="dxa"/>
            </w:tcMar>
          </w:tcPr>
          <w:p w14:paraId="5FB5419D">
            <w:pPr>
              <w:spacing w:before="40" w:after="40"/>
              <w:jc w:val="left"/>
            </w:pPr>
            <w:r>
              <w:rPr>
                <w:rFonts w:ascii="Calibri" w:hAnsi="Calibri" w:eastAsia="ＭＳ 明朝" w:cs="Calibri" w:eastAsiaTheme="minorEastAsia" w:csTheme="minorBidi"/>
                <w:b/>
                <w:bCs/>
                <w:color w:val="FFFFFF"/>
                <w:sz w:val="19"/>
                <w:szCs w:val="22"/>
              </w:rPr>
              <w:t>Economic Indicator</w:t>
            </w:r>
          </w:p>
        </w:tc>
        <w:tc>
          <w:tcPr>
            <w:tcW w:w="3216" w:type="dxa"/>
            <w:tcBorders>
              <w:top w:val="single" w:sz="8" w:space="0" w:color="1E3A8A"/>
              <w:left w:val="none"/>
              <w:bottom w:val="single" w:sz="8" w:space="0" w:color="1E3A8A"/>
              <w:right w:val="none"/>
            </w:tcBorders>
            <w:shd w:val="clear" w:fill="0F172A"/>
            <w:tcMar>
              <w:top w:w="140" w:type="dxa"/>
              <w:left w:w="150" w:type="dxa"/>
              <w:bottom w:w="140" w:type="dxa"/>
              <w:right w:w="150" w:type="dxa"/>
            </w:tcMar>
          </w:tcPr>
          <w:p w14:paraId="297EF98B">
            <w:pPr>
              <w:spacing w:before="40" w:after="40"/>
              <w:jc w:val="left"/>
            </w:pPr>
            <w:r>
              <w:rPr>
                <w:rFonts w:ascii="Calibri" w:hAnsi="Calibri" w:eastAsia="ＭＳ 明朝" w:cs="Calibri" w:eastAsiaTheme="minorEastAsia" w:csTheme="minorBidi"/>
                <w:b/>
                <w:bCs/>
                <w:color w:val="FFFFFF"/>
                <w:sz w:val="19"/>
                <w:szCs w:val="22"/>
              </w:rPr>
              <w:t>Traditional Paper Operations</w:t>
            </w:r>
          </w:p>
        </w:tc>
        <w:tc>
          <w:tcPr>
            <w:tcW w:w="3216" w:type="dxa"/>
            <w:tcBorders>
              <w:top w:val="single" w:sz="8" w:space="0" w:color="1E3A8A"/>
              <w:left w:val="none"/>
              <w:bottom w:val="single" w:sz="8" w:space="0" w:color="1E3A8A"/>
              <w:right w:val="none"/>
            </w:tcBorders>
            <w:shd w:val="clear" w:fill="0F172A"/>
            <w:tcMar>
              <w:top w:w="140" w:type="dxa"/>
              <w:left w:w="150" w:type="dxa"/>
              <w:bottom w:w="140" w:type="dxa"/>
              <w:right w:w="150" w:type="dxa"/>
            </w:tcMar>
          </w:tcPr>
          <w:p w14:paraId="276E5AA2">
            <w:pPr>
              <w:spacing w:before="40" w:after="40"/>
              <w:jc w:val="left"/>
            </w:pPr>
            <w:r>
              <w:rPr>
                <w:rFonts w:ascii="Calibri" w:hAnsi="Calibri" w:eastAsia="ＭＳ 明朝" w:cs="Calibri" w:eastAsiaTheme="minorEastAsia" w:csTheme="minorBidi"/>
                <w:b/>
                <w:bCs/>
                <w:color w:val="FFFFFF"/>
                <w:sz w:val="19"/>
                <w:szCs w:val="22"/>
              </w:rPr>
              <w:t>VaxPlan Digital Operations</w:t>
            </w:r>
          </w:p>
        </w:tc>
      </w:tr>
      <w:tr>
        <w:tc>
          <w:tcPr>
            <w:tcW w:w="3216" w:type="dxa"/>
            <w:tcBorders>
              <w:top w:val="single" w:sz="4" w:space="0" w:color="CBD5E1"/>
              <w:left w:val="none"/>
              <w:bottom w:val="single" w:sz="4" w:space="0" w:color="CBD5E1"/>
              <w:right w:val="none"/>
            </w:tcBorders>
            <w:shd w:val="clear" w:fill="F8FAFC"/>
            <w:tcMar>
              <w:top w:w="90" w:type="dxa"/>
              <w:left w:w="130" w:type="dxa"/>
              <w:bottom w:w="90" w:type="dxa"/>
              <w:right w:w="130" w:type="dxa"/>
            </w:tcMar>
          </w:tcPr>
          <w:p w14:paraId="1B4EA42A">
            <w:pPr>
              <w:spacing w:before="20" w:after="20"/>
              <w:jc w:val="left"/>
            </w:pPr>
            <w:r>
              <w:rPr>
                <w:rFonts w:ascii="Calibri" w:hAnsi="Calibri" w:eastAsia="ＭＳ 明朝" w:cs="Calibri" w:eastAsiaTheme="minorEastAsia" w:csTheme="minorBidi"/>
                <w:b/>
                <w:bCs/>
                <w:color w:val="0F172A"/>
                <w:sz w:val="18"/>
                <w:szCs w:val="22"/>
              </w:rPr>
              <w:t>Annual Microplanning Workshops</w:t>
            </w:r>
          </w:p>
        </w:tc>
        <w:tc>
          <w:tcPr>
            <w:tcW w:w="3216" w:type="dxa"/>
            <w:tcBorders>
              <w:top w:val="single" w:sz="4" w:space="0" w:color="CBD5E1"/>
              <w:left w:val="none"/>
              <w:bottom w:val="single" w:sz="4" w:space="0" w:color="CBD5E1"/>
              <w:right w:val="none"/>
            </w:tcBorders>
            <w:shd w:val="clear" w:fill="F8FAFC"/>
            <w:tcMar>
              <w:top w:w="90" w:type="dxa"/>
              <w:left w:w="130" w:type="dxa"/>
              <w:bottom w:w="90" w:type="dxa"/>
              <w:right w:w="130" w:type="dxa"/>
            </w:tcMar>
          </w:tcPr>
          <w:p w14:paraId="36FACA15">
            <w:pPr>
              <w:spacing w:before="20" w:after="20"/>
              <w:jc w:val="left"/>
            </w:pPr>
            <w:r>
              <w:rPr>
                <w:rFonts w:ascii="Calibri" w:hAnsi="Calibri" w:eastAsia="ＭＳ 明朝" w:cs="Calibri" w:eastAsiaTheme="minorEastAsia" w:csTheme="minorBidi"/>
                <w:color w:val="1E293B"/>
                <w:sz w:val="18"/>
                <w:szCs w:val="22"/>
              </w:rPr>
              <w:t>High recurring expenditure: hotel per diems, travel stipends, stationery, printing ($400k - $900k / yr)</w:t>
            </w:r>
          </w:p>
        </w:tc>
        <w:tc>
          <w:tcPr>
            <w:tcW w:w="3216" w:type="dxa"/>
            <w:tcBorders>
              <w:top w:val="single" w:sz="4" w:space="0" w:color="CBD5E1"/>
              <w:left w:val="none"/>
              <w:bottom w:val="single" w:sz="4" w:space="0" w:color="CBD5E1"/>
              <w:right w:val="none"/>
            </w:tcBorders>
            <w:shd w:val="clear" w:fill="F8FAFC"/>
            <w:tcMar>
              <w:top w:w="90" w:type="dxa"/>
              <w:left w:w="130" w:type="dxa"/>
              <w:bottom w:w="90" w:type="dxa"/>
              <w:right w:w="130" w:type="dxa"/>
            </w:tcMar>
          </w:tcPr>
          <w:p w14:paraId="2EB21105">
            <w:pPr>
              <w:spacing w:before="20" w:after="20"/>
              <w:jc w:val="left"/>
            </w:pPr>
            <w:r>
              <w:rPr>
                <w:rFonts w:ascii="Calibri" w:hAnsi="Calibri" w:eastAsia="ＭＳ 明朝" w:cs="Calibri" w:eastAsiaTheme="minorEastAsia" w:csTheme="minorBidi"/>
                <w:b/>
                <w:bCs/>
                <w:color w:val="059669"/>
                <w:sz w:val="18"/>
                <w:szCs w:val="22"/>
              </w:rPr>
              <w:t>Over 70% reduction: continuous digital collaboration, automated compilation, remote reviews</w:t>
            </w:r>
          </w:p>
        </w:tc>
      </w:tr>
      <w:tr>
        <w:tc>
          <w:tcPr>
            <w:tcW w:w="3216" w:type="dxa"/>
            <w:tcBorders>
              <w:top w:val="single" w:sz="4" w:space="0" w:color="CBD5E1"/>
              <w:left w:val="none"/>
              <w:bottom w:val="single" w:sz="4" w:space="0" w:color="CBD5E1"/>
              <w:right w:val="none"/>
            </w:tcBorders>
            <w:shd w:val="clear" w:fill="FFFFFF"/>
            <w:tcMar>
              <w:top w:w="90" w:type="dxa"/>
              <w:left w:w="130" w:type="dxa"/>
              <w:bottom w:w="90" w:type="dxa"/>
              <w:right w:w="130" w:type="dxa"/>
            </w:tcMar>
          </w:tcPr>
          <w:p w14:paraId="2BD77966">
            <w:pPr>
              <w:spacing w:before="20" w:after="20"/>
              <w:jc w:val="left"/>
            </w:pPr>
            <w:r>
              <w:rPr>
                <w:rFonts w:ascii="Calibri" w:hAnsi="Calibri" w:eastAsia="ＭＳ 明朝" w:cs="Calibri" w:eastAsiaTheme="minorEastAsia" w:csTheme="minorBidi"/>
                <w:b/>
                <w:bCs/>
                <w:color w:val="0F172A"/>
                <w:sz w:val="18"/>
                <w:szCs w:val="22"/>
              </w:rPr>
              <w:t>Vaccine Wastage Rates</w:t>
            </w:r>
          </w:p>
        </w:tc>
        <w:tc>
          <w:tcPr>
            <w:tcW w:w="3216" w:type="dxa"/>
            <w:tcBorders>
              <w:top w:val="single" w:sz="4" w:space="0" w:color="CBD5E1"/>
              <w:left w:val="none"/>
              <w:bottom w:val="single" w:sz="4" w:space="0" w:color="CBD5E1"/>
              <w:right w:val="none"/>
            </w:tcBorders>
            <w:shd w:val="clear" w:fill="FFFFFF"/>
            <w:tcMar>
              <w:top w:w="90" w:type="dxa"/>
              <w:left w:w="130" w:type="dxa"/>
              <w:bottom w:w="90" w:type="dxa"/>
              <w:right w:w="130" w:type="dxa"/>
            </w:tcMar>
          </w:tcPr>
          <w:p w14:paraId="0B2BF41C">
            <w:pPr>
              <w:spacing w:before="20" w:after="20"/>
              <w:jc w:val="left"/>
            </w:pPr>
            <w:r>
              <w:rPr>
                <w:rFonts w:ascii="Calibri" w:hAnsi="Calibri" w:eastAsia="ＭＳ 明朝" w:cs="Calibri" w:eastAsiaTheme="minorEastAsia" w:csTheme="minorBidi"/>
                <w:color w:val="1E293B"/>
                <w:sz w:val="18"/>
                <w:szCs w:val="22"/>
              </w:rPr>
              <w:t>High wastage (25% to 45%) due to blind over-ordering, poor session sizing, and fridge storage mismatch</w:t>
            </w:r>
          </w:p>
        </w:tc>
        <w:tc>
          <w:tcPr>
            <w:tcW w:w="3216" w:type="dxa"/>
            <w:tcBorders>
              <w:top w:val="single" w:sz="4" w:space="0" w:color="CBD5E1"/>
              <w:left w:val="none"/>
              <w:bottom w:val="single" w:sz="4" w:space="0" w:color="CBD5E1"/>
              <w:right w:val="none"/>
            </w:tcBorders>
            <w:shd w:val="clear" w:fill="FFFFFF"/>
            <w:tcMar>
              <w:top w:w="90" w:type="dxa"/>
              <w:left w:w="130" w:type="dxa"/>
              <w:bottom w:w="90" w:type="dxa"/>
              <w:right w:w="130" w:type="dxa"/>
            </w:tcMar>
          </w:tcPr>
          <w:p w14:paraId="4932D2D3">
            <w:pPr>
              <w:spacing w:before="20" w:after="20"/>
              <w:jc w:val="left"/>
            </w:pPr>
            <w:r>
              <w:rPr>
                <w:rFonts w:ascii="Calibri" w:hAnsi="Calibri" w:eastAsia="ＭＳ 明朝" w:cs="Calibri" w:eastAsiaTheme="minorEastAsia" w:csTheme="minorBidi"/>
                <w:b/>
                <w:bCs/>
                <w:color w:val="059669"/>
                <w:sz w:val="18"/>
                <w:szCs w:val="22"/>
              </w:rPr>
              <w:t>Reduced to 10% - 15% through precision antigen forecasting and net storage volume checks</w:t>
            </w:r>
          </w:p>
        </w:tc>
      </w:tr>
      <w:tr>
        <w:tc>
          <w:tcPr>
            <w:tcW w:w="3216" w:type="dxa"/>
            <w:tcBorders>
              <w:top w:val="single" w:sz="4" w:space="0" w:color="CBD5E1"/>
              <w:left w:val="none"/>
              <w:bottom w:val="single" w:sz="4" w:space="0" w:color="CBD5E1"/>
              <w:right w:val="none"/>
            </w:tcBorders>
            <w:shd w:val="clear" w:fill="F8FAFC"/>
            <w:tcMar>
              <w:top w:w="90" w:type="dxa"/>
              <w:left w:w="130" w:type="dxa"/>
              <w:bottom w:w="90" w:type="dxa"/>
              <w:right w:w="130" w:type="dxa"/>
            </w:tcMar>
          </w:tcPr>
          <w:p w14:paraId="36B238E8">
            <w:pPr>
              <w:spacing w:before="20" w:after="20"/>
              <w:jc w:val="left"/>
            </w:pPr>
            <w:r>
              <w:rPr>
                <w:rFonts w:ascii="Calibri" w:hAnsi="Calibri" w:eastAsia="ＭＳ 明朝" w:cs="Calibri" w:eastAsiaTheme="minorEastAsia" w:csTheme="minorBidi"/>
                <w:b/>
                <w:bCs/>
                <w:color w:val="0F172A"/>
                <w:sz w:val="18"/>
                <w:szCs w:val="22"/>
              </w:rPr>
              <w:t>Outreach Session Cancellations</w:t>
            </w:r>
          </w:p>
        </w:tc>
        <w:tc>
          <w:tcPr>
            <w:tcW w:w="3216" w:type="dxa"/>
            <w:tcBorders>
              <w:top w:val="single" w:sz="4" w:space="0" w:color="CBD5E1"/>
              <w:left w:val="none"/>
              <w:bottom w:val="single" w:sz="4" w:space="0" w:color="CBD5E1"/>
              <w:right w:val="none"/>
            </w:tcBorders>
            <w:shd w:val="clear" w:fill="F8FAFC"/>
            <w:tcMar>
              <w:top w:w="90" w:type="dxa"/>
              <w:left w:w="130" w:type="dxa"/>
              <w:bottom w:w="90" w:type="dxa"/>
              <w:right w:w="130" w:type="dxa"/>
            </w:tcMar>
          </w:tcPr>
          <w:p w14:paraId="1D107FC4">
            <w:pPr>
              <w:spacing w:before="20" w:after="20"/>
              <w:jc w:val="left"/>
            </w:pPr>
            <w:r>
              <w:rPr>
                <w:rFonts w:ascii="Calibri" w:hAnsi="Calibri" w:eastAsia="ＭＳ 明朝" w:cs="Calibri" w:eastAsiaTheme="minorEastAsia" w:csTheme="minorBidi"/>
                <w:color w:val="1E293B"/>
                <w:sz w:val="18"/>
                <w:szCs w:val="22"/>
              </w:rPr>
              <w:t>Frequently cancelled due to missing transport funds or lost field rosters (up to 40% loss)</w:t>
            </w:r>
          </w:p>
        </w:tc>
        <w:tc>
          <w:tcPr>
            <w:tcW w:w="3216" w:type="dxa"/>
            <w:tcBorders>
              <w:top w:val="single" w:sz="4" w:space="0" w:color="CBD5E1"/>
              <w:left w:val="none"/>
              <w:bottom w:val="single" w:sz="4" w:space="0" w:color="CBD5E1"/>
              <w:right w:val="none"/>
            </w:tcBorders>
            <w:shd w:val="clear" w:fill="F8FAFC"/>
            <w:tcMar>
              <w:top w:w="90" w:type="dxa"/>
              <w:left w:w="130" w:type="dxa"/>
              <w:bottom w:w="90" w:type="dxa"/>
              <w:right w:w="130" w:type="dxa"/>
            </w:tcMar>
          </w:tcPr>
          <w:p w14:paraId="6CEED68D">
            <w:pPr>
              <w:spacing w:before="20" w:after="20"/>
              <w:jc w:val="left"/>
            </w:pPr>
            <w:r>
              <w:rPr>
                <w:rFonts w:ascii="Calibri" w:hAnsi="Calibri" w:eastAsia="ＭＳ 明朝" w:cs="Calibri" w:eastAsiaTheme="minorEastAsia" w:csTheme="minorBidi"/>
                <w:b/>
                <w:bCs/>
                <w:color w:val="059669"/>
                <w:sz w:val="18"/>
                <w:szCs w:val="22"/>
              </w:rPr>
              <w:t>Reduced to under 5% via enforced 7-day budget lead times and automated supervisory tracking</w:t>
            </w:r>
          </w:p>
        </w:tc>
      </w:tr>
      <w:tr>
        <w:tc>
          <w:tcPr>
            <w:tcW w:w="3216" w:type="dxa"/>
            <w:tcBorders>
              <w:top w:val="single" w:sz="4" w:space="0" w:color="CBD5E1"/>
              <w:left w:val="none"/>
              <w:bottom w:val="single" w:sz="4" w:space="0" w:color="CBD5E1"/>
              <w:right w:val="none"/>
            </w:tcBorders>
            <w:shd w:val="clear" w:fill="FFFFFF"/>
            <w:tcMar>
              <w:top w:w="90" w:type="dxa"/>
              <w:left w:w="130" w:type="dxa"/>
              <w:bottom w:w="90" w:type="dxa"/>
              <w:right w:w="130" w:type="dxa"/>
            </w:tcMar>
          </w:tcPr>
          <w:p w14:paraId="14C20ECA">
            <w:pPr>
              <w:spacing w:before="20" w:after="20"/>
              <w:jc w:val="left"/>
            </w:pPr>
            <w:r>
              <w:rPr>
                <w:rFonts w:ascii="Calibri" w:hAnsi="Calibri" w:eastAsia="ＭＳ 明朝" w:cs="Calibri" w:eastAsiaTheme="minorEastAsia" w:csTheme="minorBidi"/>
                <w:b/>
                <w:bCs/>
                <w:color w:val="0F172A"/>
                <w:sz w:val="18"/>
                <w:szCs w:val="22"/>
              </w:rPr>
              <w:t>Zero-Dose Cohort Reach</w:t>
            </w:r>
          </w:p>
        </w:tc>
        <w:tc>
          <w:tcPr>
            <w:tcW w:w="3216" w:type="dxa"/>
            <w:tcBorders>
              <w:top w:val="single" w:sz="4" w:space="0" w:color="CBD5E1"/>
              <w:left w:val="none"/>
              <w:bottom w:val="single" w:sz="4" w:space="0" w:color="CBD5E1"/>
              <w:right w:val="none"/>
            </w:tcBorders>
            <w:shd w:val="clear" w:fill="FFFFFF"/>
            <w:tcMar>
              <w:top w:w="90" w:type="dxa"/>
              <w:left w:w="130" w:type="dxa"/>
              <w:bottom w:w="90" w:type="dxa"/>
              <w:right w:w="130" w:type="dxa"/>
            </w:tcMar>
          </w:tcPr>
          <w:p w14:paraId="43914B76">
            <w:pPr>
              <w:spacing w:before="20" w:after="20"/>
              <w:jc w:val="left"/>
            </w:pPr>
            <w:r>
              <w:rPr>
                <w:rFonts w:ascii="Calibri" w:hAnsi="Calibri" w:eastAsia="ＭＳ 明朝" w:cs="Calibri" w:eastAsiaTheme="minorEastAsia" w:csTheme="minorBidi"/>
                <w:color w:val="1E293B"/>
                <w:sz w:val="18"/>
                <w:szCs w:val="22"/>
              </w:rPr>
              <w:t>Stagnant reach in remote, peri-urban, and informal settlements due to census blindness</w:t>
            </w:r>
          </w:p>
        </w:tc>
        <w:tc>
          <w:tcPr>
            <w:tcW w:w="3216" w:type="dxa"/>
            <w:tcBorders>
              <w:top w:val="single" w:sz="4" w:space="0" w:color="CBD5E1"/>
              <w:left w:val="none"/>
              <w:bottom w:val="single" w:sz="4" w:space="0" w:color="CBD5E1"/>
              <w:right w:val="none"/>
            </w:tcBorders>
            <w:shd w:val="clear" w:fill="FFFFFF"/>
            <w:tcMar>
              <w:top w:w="90" w:type="dxa"/>
              <w:left w:w="130" w:type="dxa"/>
              <w:bottom w:w="90" w:type="dxa"/>
              <w:right w:w="130" w:type="dxa"/>
            </w:tcMar>
          </w:tcPr>
          <w:p w14:paraId="4A9FB63B">
            <w:pPr>
              <w:spacing w:before="20" w:after="20"/>
              <w:jc w:val="left"/>
            </w:pPr>
            <w:r>
              <w:rPr>
                <w:rFonts w:ascii="Calibri" w:hAnsi="Calibri" w:eastAsia="ＭＳ 明朝" w:cs="Calibri" w:eastAsiaTheme="minorEastAsia" w:csTheme="minorBidi"/>
                <w:b/>
                <w:bCs/>
                <w:color w:val="059669"/>
                <w:sz w:val="18"/>
                <w:szCs w:val="22"/>
              </w:rPr>
              <w:t>15% to 35% increase in verified immunized infants, maximizing health outcome ROI per dollar spent</w:t>
            </w:r>
          </w:p>
        </w:tc>
      </w:tr>
    </w:tbl>
    <w:p w14:paraId="2E9ECE4E">
      <w:pPr>
        <w:spacing w:after="160"/>
      </w:pPr>
    </w:p>
    <w:p w14:paraId="1CAC03F1">
      <w:pPr>
        <w:keepNext/>
        <w:spacing w:before="360" w:after="120"/>
      </w:pPr>
      <w:r>
        <w:rPr>
          <w:rFonts w:ascii="Calibri" w:hAnsi="Calibri" w:eastAsia="ＭＳ 明朝" w:cs="Calibri" w:eastAsiaTheme="minorEastAsia" w:csTheme="minorBidi"/>
          <w:b/>
          <w:bCs/>
          <w:color w:val="0F172A"/>
          <w:sz w:val="30"/>
          <w:szCs w:val="22"/>
        </w:rPr>
        <w:t>6. Executive Action Framework &amp; Engagement Next Steps</w:t>
      </w:r>
    </w:p>
    <w:p w14:paraId="563302C7">
      <w:pPr>
        <w:spacing w:before="0" w:after="100" w:line="276" w:lineRule="auto"/>
      </w:pPr>
      <w:r>
        <w:rPr>
          <w:rFonts w:ascii="Calibri" w:hAnsi="Calibri" w:eastAsia="ＭＳ 明朝" w:cs="Calibri" w:eastAsiaTheme="minorEastAsia" w:csTheme="minorBidi"/>
          <w:color w:val="1E293B"/>
          <w:sz w:val="19"/>
          <w:szCs w:val="22"/>
        </w:rPr>
        <w:t>National health authorities, Gavi/WHO/UNICEF country offices, and technical implementing partners can initiate engagement via three immediate pathways:</w:t>
      </w:r>
    </w:p>
    <w:p w14:paraId="4C29C30C">
      <w:pPr>
        <w:pStyle w:val="ListBullet"/>
        <w:spacing w:before="0" w:after="60" w:line="276" w:lineRule="auto"/>
        <w:ind w:left="360" w:hanging="360"/>
      </w:pPr>
      <w:r>
        <w:rPr>
          <w:rFonts w:ascii="Calibri" w:hAnsi="Calibri" w:eastAsia="ＭＳ 明朝" w:cs="Calibri" w:eastAsiaTheme="minorEastAsia" w:csTheme="minorBidi"/>
          <w:b/>
          <w:bCs/>
          <w:color w:val="0F172A"/>
          <w:sz w:val="19"/>
          <w:szCs w:val="22"/>
        </w:rPr>
        <w:t xml:space="preserve">1. Executive Platform Demonstration: </w:t>
      </w:r>
      <w:r>
        <w:rPr>
          <w:rFonts w:ascii="Calibri" w:hAnsi="Calibri" w:eastAsia="ＭＳ 明朝" w:cs="Calibri" w:eastAsiaTheme="minorEastAsia" w:csTheme="minorBidi"/>
          <w:color w:val="1E293B"/>
          <w:sz w:val="19"/>
          <w:szCs w:val="22"/>
        </w:rPr>
        <w:t>Request a comprehensive interactive demonstration featuring your country's administrative boundaries and national vaccine schedule.</w:t>
      </w:r>
    </w:p>
    <w:p w14:paraId="240BD37B">
      <w:pPr>
        <w:pStyle w:val="ListBullet"/>
        <w:spacing w:before="0" w:after="60" w:line="276" w:lineRule="auto"/>
        <w:ind w:left="360" w:hanging="360"/>
      </w:pPr>
      <w:r>
        <w:rPr>
          <w:rFonts w:ascii="Calibri" w:hAnsi="Calibri" w:eastAsia="ＭＳ 明朝" w:cs="Calibri" w:eastAsiaTheme="minorEastAsia" w:csTheme="minorBidi"/>
          <w:b/>
          <w:bCs/>
          <w:color w:val="0F172A"/>
          <w:sz w:val="19"/>
          <w:szCs w:val="22"/>
        </w:rPr>
        <w:t xml:space="preserve">2. Rapid 2-District Pilot: </w:t>
      </w:r>
      <w:r>
        <w:rPr>
          <w:rFonts w:ascii="Calibri" w:hAnsi="Calibri" w:eastAsia="ＭＳ 明朝" w:cs="Calibri" w:eastAsiaTheme="minorEastAsia" w:csTheme="minorBidi"/>
          <w:color w:val="1E293B"/>
          <w:sz w:val="19"/>
          <w:szCs w:val="22"/>
        </w:rPr>
        <w:t>Launch a low-risk, rapid 14-day field validation across 20 to 50 health facilities in a high-burden zero-dose district.</w:t>
      </w:r>
    </w:p>
    <w:p w14:paraId="242C9C97">
      <w:pPr>
        <w:pStyle w:val="ListBullet"/>
        <w:spacing w:before="0" w:after="60" w:line="276" w:lineRule="auto"/>
        <w:ind w:left="360" w:hanging="360"/>
      </w:pPr>
      <w:r>
        <w:rPr>
          <w:rFonts w:ascii="Calibri" w:hAnsi="Calibri" w:eastAsia="ＭＳ 明朝" w:cs="Calibri" w:eastAsiaTheme="minorEastAsia" w:csTheme="minorBidi"/>
          <w:b/>
          <w:bCs/>
          <w:color w:val="0F172A"/>
          <w:sz w:val="19"/>
          <w:szCs w:val="22"/>
        </w:rPr>
        <w:t xml:space="preserve">3. Full National Rollout: </w:t>
      </w:r>
      <w:r>
        <w:rPr>
          <w:rFonts w:ascii="Calibri" w:hAnsi="Calibri" w:eastAsia="ＭＳ 明朝" w:cs="Calibri" w:eastAsiaTheme="minorEastAsia" w:csTheme="minorBidi"/>
          <w:color w:val="1E293B"/>
          <w:sz w:val="19"/>
          <w:szCs w:val="22"/>
        </w:rPr>
        <w:t>Engage our technical deployment architects to establish sovereign cloud hosting, DHIS2 data pipelines, and national training cascades.</w:t>
      </w:r>
    </w:p>
    <w:p w14:paraId="4FAC849E">
      <w:pPr>
        <w:spacing w:after="160"/>
      </w:pPr>
    </w:p>
    <w:tbl>
      <w:tblPr>
        <w:tblW w:w="0" w:type="auto"/>
        <w:jc w:val="center"/>
        <w:tblBorders>
          <w:top w:val="none"/>
          <w:left w:val="single" w:sz="24" w:space="0" w:color="3B82F6"/>
          <w:bottom w:val="none"/>
          <w:right w:val="none"/>
          <w:insideH w:val="none"/>
          <w:insideV w:val="none"/>
        </w:tblBorders>
        <w:tblLayout w:type="fixed"/>
        <w:tblCellMar>
          <w:top w:w="0" w:type="dxa"/>
          <w:left w:w="108" w:type="dxa"/>
          <w:bottom w:w="0" w:type="dxa"/>
          <w:right w:w="108" w:type="dxa"/>
        </w:tblCellMar>
        <w:tblLook w:firstRow="1" w:firstColumn="1" w:noVBand="1"/>
      </w:tblPr>
      <w:tblGrid>
        <w:gridCol w:w="9360"/>
      </w:tblGrid>
      <w:tr>
        <w:tc>
          <w:tcPr>
            <w:tcW w:w="9648" w:type="dxa"/>
            <w:tcBorders>
              <w:top w:val="none"/>
              <w:left w:val="single" w:sz="24" w:space="0" w:color="3B82F6"/>
              <w:bottom w:val="none"/>
              <w:right w:val="none"/>
            </w:tcBorders>
            <w:shd w:val="clear" w:fill="EFF6FF"/>
            <w:tcMar>
              <w:top w:w="140" w:type="dxa"/>
              <w:left w:w="180" w:type="dxa"/>
              <w:bottom w:w="140" w:type="dxa"/>
              <w:right w:w="180" w:type="dxa"/>
            </w:tcMar>
          </w:tcPr>
          <w:p w14:paraId="1E8C7BE9">
            <w:pPr>
              <w:spacing w:before="40" w:after="40"/>
            </w:pPr>
            <w:r>
              <w:rPr>
                <w:rFonts w:ascii="Calibri" w:hAnsi="Calibri" w:eastAsia="ＭＳ 明朝" w:cs="Calibri" w:eastAsiaTheme="minorEastAsia" w:csTheme="minorBidi"/>
                <w:b/>
                <w:bCs/>
                <w:color w:val="3B82F6"/>
                <w:sz w:val="20"/>
                <w:szCs w:val="22"/>
              </w:rPr>
              <w:t xml:space="preserve">Global Partnership Office: </w:t>
            </w:r>
            <w:r>
              <w:rPr>
                <w:rFonts w:ascii="Calibri" w:hAnsi="Calibri" w:eastAsia="ＭＳ 明朝" w:cs="Calibri" w:eastAsiaTheme="minorEastAsia" w:csTheme="minorBidi"/>
                <w:i/>
                <w:iCs/>
                <w:color w:val="1E293B"/>
                <w:sz w:val="19"/>
                <w:szCs w:val="22"/>
              </w:rPr>
              <w:t>For strategic partnership inquiries, national onboarding support, and technical demonstrations, please contact the Global Immunization Platform Directorate at VaxPlan Systems or visit the digital documentation suite in-app.</w:t>
            </w:r>
          </w:p>
        </w:tc>
      </w:tr>
    </w:tbl>
    <w:p w14:paraId="69ADDD70">
      <w:pPr>
        <w:spacing w:after="80"/>
      </w:pPr>
    </w:p>
    <w:sectPr>
      <w:headerReference w:type="default" r:id="rId10"/>
      <w:footerReference w:type="default" r:id="rId9"/>
      <w:pgSz w:w="12240" w:h="15840"/>
      <w:pgMar w:top="1152" w:right="1296" w:bottom="1152" w:left="1296" w:header="720" w:footer="720"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pPr>
      <w:pStyle w:val="Footer"/>
      <w:jc w:val="right"/>
    </w:pPr>
    <w:r>
      <w:rPr>
        <w:rFonts w:ascii="Calibri" w:hAnsi="Calibri"/>
        <w:color w:val="64748B"/>
        <w:sz w:val="16"/>
      </w:rPr>
      <w:t>VaxPlan Enterprise Platform Brief | Confidential — For Stakeholder Review Only</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pPr>
      <w:pStyle w:val="Header"/>
      <w:jc w:val="left"/>
    </w:pPr>
    <w:r>
      <w:rPr>
        <w:rFonts w:ascii="Calibri" w:hAnsi="Calibri"/>
        <w:color w:val="64748B"/>
        <w:sz w:val="15"/>
      </w:rPr>
      <w:t>VAXPLAN: STRATEGIC ENTERPRISE PROSPECTUS &amp;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2026-09-10T06:01:14.799Z</dcterms:modified>
  <cp:category/>
</cp:coreProperties>
</file>